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399"/>
        <w:spacing w:after="0"/>
        <w:rPr>
          <w:sz w:val="20"/>
          <w:szCs w:val="20"/>
          <w:color w:val="auto"/>
        </w:rPr>
      </w:pPr>
      <w:r>
        <w:rPr>
          <w:rFonts w:ascii="Arial" w:cs="Arial" w:eastAsia="Arial" w:hAnsi="Arial"/>
          <w:sz w:val="32"/>
          <w:szCs w:val="32"/>
          <w:b w:val="1"/>
          <w:bCs w:val="1"/>
          <w:color w:val="auto"/>
        </w:rPr>
        <w:drawing>
          <wp:anchor simplePos="0" relativeHeight="251657728" behindDoc="1" locked="0" layoutInCell="0" allowOverlap="1">
            <wp:simplePos x="0" y="0"/>
            <wp:positionH relativeFrom="page">
              <wp:posOffset>276860</wp:posOffset>
            </wp:positionH>
            <wp:positionV relativeFrom="page">
              <wp:posOffset>166370</wp:posOffset>
            </wp:positionV>
            <wp:extent cx="6995160" cy="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6995160" cy="8255"/>
                    </a:xfrm>
                    <a:prstGeom prst="rect">
                      <a:avLst/>
                    </a:prstGeom>
                    <a:noFill/>
                  </pic:spPr>
                </pic:pic>
              </a:graphicData>
            </a:graphic>
          </wp:anchor>
        </w:drawing>
        <w:drawing>
          <wp:anchor simplePos="0" relativeHeight="251657728" behindDoc="1" locked="0" layoutInCell="0" allowOverlap="1">
            <wp:simplePos x="0" y="0"/>
            <wp:positionH relativeFrom="page">
              <wp:posOffset>276860</wp:posOffset>
            </wp:positionH>
            <wp:positionV relativeFrom="page">
              <wp:posOffset>208915</wp:posOffset>
            </wp:positionV>
            <wp:extent cx="6995160" cy="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995160" cy="8255"/>
                    </a:xfrm>
                    <a:prstGeom prst="rect">
                      <a:avLst/>
                    </a:prstGeom>
                    <a:noFill/>
                  </pic:spPr>
                </pic:pic>
              </a:graphicData>
            </a:graphic>
          </wp:anchor>
        </w:drawing>
        <w:t>UNITED STATES</w:t>
      </w:r>
    </w:p>
    <w:p>
      <w:pPr>
        <w:spacing w:after="0" w:line="31" w:lineRule="exact"/>
        <w:rPr>
          <w:sz w:val="24"/>
          <w:szCs w:val="24"/>
          <w:color w:val="auto"/>
        </w:rPr>
      </w:pPr>
    </w:p>
    <w:p>
      <w:pPr>
        <w:jc w:val="center"/>
        <w:ind w:right="-399"/>
        <w:spacing w:after="0"/>
        <w:rPr>
          <w:sz w:val="20"/>
          <w:szCs w:val="20"/>
          <w:color w:val="auto"/>
        </w:rPr>
      </w:pPr>
      <w:r>
        <w:rPr>
          <w:rFonts w:ascii="Arial" w:cs="Arial" w:eastAsia="Arial" w:hAnsi="Arial"/>
          <w:sz w:val="32"/>
          <w:szCs w:val="32"/>
          <w:b w:val="1"/>
          <w:bCs w:val="1"/>
          <w:color w:val="auto"/>
        </w:rPr>
        <w:t>SECURITIES AND EXCHANGE COMMISSION</w:t>
      </w:r>
    </w:p>
    <w:p>
      <w:pPr>
        <w:jc w:val="center"/>
        <w:ind w:right="-399"/>
        <w:spacing w:after="0"/>
        <w:rPr>
          <w:sz w:val="20"/>
          <w:szCs w:val="20"/>
          <w:color w:val="auto"/>
        </w:rPr>
      </w:pPr>
      <w:r>
        <w:rPr>
          <w:rFonts w:ascii="Arial" w:cs="Arial" w:eastAsia="Arial" w:hAnsi="Arial"/>
          <w:sz w:val="22"/>
          <w:szCs w:val="22"/>
          <w:b w:val="1"/>
          <w:bCs w:val="1"/>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2757805</wp:posOffset>
            </wp:positionH>
            <wp:positionV relativeFrom="paragraph">
              <wp:posOffset>227330</wp:posOffset>
            </wp:positionV>
            <wp:extent cx="1474470" cy="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474470" cy="8255"/>
                    </a:xfrm>
                    <a:prstGeom prst="rect">
                      <a:avLst/>
                    </a:prstGeom>
                    <a:noFill/>
                  </pic:spPr>
                </pic:pic>
              </a:graphicData>
            </a:graphic>
          </wp:anchor>
        </w:drawing>
      </w:r>
    </w:p>
    <w:p>
      <w:pPr>
        <w:spacing w:after="0" w:line="200" w:lineRule="exact"/>
        <w:rPr>
          <w:sz w:val="24"/>
          <w:szCs w:val="24"/>
          <w:color w:val="auto"/>
        </w:rPr>
      </w:pPr>
    </w:p>
    <w:p>
      <w:pPr>
        <w:spacing w:after="0" w:line="326" w:lineRule="exact"/>
        <w:rPr>
          <w:sz w:val="24"/>
          <w:szCs w:val="24"/>
          <w:color w:val="auto"/>
        </w:rPr>
      </w:pPr>
    </w:p>
    <w:p>
      <w:pPr>
        <w:jc w:val="center"/>
        <w:ind w:right="-399"/>
        <w:spacing w:after="0"/>
        <w:rPr>
          <w:sz w:val="20"/>
          <w:szCs w:val="20"/>
          <w:color w:val="auto"/>
        </w:rPr>
      </w:pPr>
      <w:r>
        <w:rPr>
          <w:rFonts w:ascii="Arial" w:cs="Arial" w:eastAsia="Arial" w:hAnsi="Arial"/>
          <w:sz w:val="32"/>
          <w:szCs w:val="32"/>
          <w:b w:val="1"/>
          <w:bCs w:val="1"/>
          <w:color w:val="auto"/>
        </w:rPr>
        <w:t>FORM 6-K</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2757805</wp:posOffset>
            </wp:positionH>
            <wp:positionV relativeFrom="paragraph">
              <wp:posOffset>247015</wp:posOffset>
            </wp:positionV>
            <wp:extent cx="1474470" cy="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474470" cy="8255"/>
                    </a:xfrm>
                    <a:prstGeom prst="rect">
                      <a:avLst/>
                    </a:prstGeom>
                    <a:noFill/>
                  </pic:spPr>
                </pic:pic>
              </a:graphicData>
            </a:graphic>
          </wp:anchor>
        </w:drawing>
      </w:r>
    </w:p>
    <w:p>
      <w:pPr>
        <w:spacing w:after="0" w:line="200" w:lineRule="exact"/>
        <w:rPr>
          <w:sz w:val="24"/>
          <w:szCs w:val="24"/>
          <w:color w:val="auto"/>
        </w:rPr>
      </w:pPr>
    </w:p>
    <w:p>
      <w:pPr>
        <w:spacing w:after="0" w:line="371" w:lineRule="exact"/>
        <w:rPr>
          <w:sz w:val="24"/>
          <w:szCs w:val="24"/>
          <w:color w:val="auto"/>
        </w:rPr>
      </w:pPr>
    </w:p>
    <w:p>
      <w:pPr>
        <w:jc w:val="center"/>
        <w:ind w:right="-399"/>
        <w:spacing w:after="0"/>
        <w:rPr>
          <w:sz w:val="20"/>
          <w:szCs w:val="20"/>
          <w:color w:val="auto"/>
        </w:rPr>
      </w:pPr>
      <w:r>
        <w:rPr>
          <w:rFonts w:ascii="Arial" w:cs="Arial" w:eastAsia="Arial" w:hAnsi="Arial"/>
          <w:sz w:val="22"/>
          <w:szCs w:val="22"/>
          <w:b w:val="1"/>
          <w:bCs w:val="1"/>
          <w:color w:val="auto"/>
        </w:rPr>
        <w:t>REPORT OF FOREIGN PRIVATE ISSUER</w:t>
      </w:r>
    </w:p>
    <w:p>
      <w:pPr>
        <w:spacing w:after="0" w:line="4" w:lineRule="exact"/>
        <w:rPr>
          <w:sz w:val="24"/>
          <w:szCs w:val="24"/>
          <w:color w:val="auto"/>
        </w:rPr>
      </w:pPr>
    </w:p>
    <w:p>
      <w:pPr>
        <w:jc w:val="center"/>
        <w:ind w:right="-399"/>
        <w:spacing w:after="0"/>
        <w:rPr>
          <w:sz w:val="20"/>
          <w:szCs w:val="20"/>
          <w:color w:val="auto"/>
        </w:rPr>
      </w:pPr>
      <w:r>
        <w:rPr>
          <w:rFonts w:ascii="Arial" w:cs="Arial" w:eastAsia="Arial" w:hAnsi="Arial"/>
          <w:sz w:val="22"/>
          <w:szCs w:val="22"/>
          <w:b w:val="1"/>
          <w:bCs w:val="1"/>
          <w:color w:val="auto"/>
        </w:rPr>
        <w:t>PURSUANT TO RULE 13a-16 OR 15d-16</w:t>
      </w:r>
    </w:p>
    <w:p>
      <w:pPr>
        <w:jc w:val="center"/>
        <w:ind w:right="-399"/>
        <w:spacing w:after="0"/>
        <w:rPr>
          <w:sz w:val="20"/>
          <w:szCs w:val="20"/>
          <w:color w:val="auto"/>
        </w:rPr>
      </w:pPr>
      <w:r>
        <w:rPr>
          <w:rFonts w:ascii="Arial" w:cs="Arial" w:eastAsia="Arial" w:hAnsi="Arial"/>
          <w:sz w:val="22"/>
          <w:szCs w:val="22"/>
          <w:b w:val="1"/>
          <w:bCs w:val="1"/>
          <w:color w:val="auto"/>
        </w:rPr>
        <w:t>UNDER THE SECURITIES EXCHANGE ACT OF 1934</w:t>
      </w:r>
    </w:p>
    <w:p>
      <w:pPr>
        <w:spacing w:after="0" w:line="191" w:lineRule="exact"/>
        <w:rPr>
          <w:sz w:val="24"/>
          <w:szCs w:val="24"/>
          <w:color w:val="auto"/>
        </w:rPr>
      </w:pPr>
    </w:p>
    <w:p>
      <w:pPr>
        <w:jc w:val="center"/>
        <w:ind w:right="-399"/>
        <w:spacing w:after="0"/>
        <w:rPr>
          <w:sz w:val="20"/>
          <w:szCs w:val="20"/>
          <w:color w:val="auto"/>
        </w:rPr>
      </w:pPr>
      <w:r>
        <w:rPr>
          <w:rFonts w:ascii="Arial" w:cs="Arial" w:eastAsia="Arial" w:hAnsi="Arial"/>
          <w:sz w:val="18"/>
          <w:szCs w:val="18"/>
          <w:b w:val="1"/>
          <w:bCs w:val="1"/>
          <w:color w:val="auto"/>
        </w:rPr>
        <w:t>April 27, 2021</w:t>
      </w:r>
    </w:p>
    <w:p>
      <w:pPr>
        <w:spacing w:after="0" w:line="225" w:lineRule="exact"/>
        <w:rPr>
          <w:sz w:val="24"/>
          <w:szCs w:val="24"/>
          <w:color w:val="auto"/>
        </w:rPr>
      </w:pPr>
    </w:p>
    <w:p>
      <w:pPr>
        <w:jc w:val="center"/>
        <w:ind w:right="-399"/>
        <w:spacing w:after="0"/>
        <w:rPr>
          <w:sz w:val="20"/>
          <w:szCs w:val="20"/>
          <w:color w:val="auto"/>
        </w:rPr>
      </w:pPr>
      <w:r>
        <w:rPr>
          <w:rFonts w:ascii="Arial" w:cs="Arial" w:eastAsia="Arial" w:hAnsi="Arial"/>
          <w:sz w:val="18"/>
          <w:szCs w:val="18"/>
          <w:b w:val="1"/>
          <w:bCs w:val="1"/>
          <w:color w:val="auto"/>
        </w:rPr>
        <w:t>Commission File Number 001-33725</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2757805</wp:posOffset>
            </wp:positionH>
            <wp:positionV relativeFrom="paragraph">
              <wp:posOffset>240030</wp:posOffset>
            </wp:positionV>
            <wp:extent cx="1474470" cy="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474470" cy="8255"/>
                    </a:xfrm>
                    <a:prstGeom prst="rect">
                      <a:avLst/>
                    </a:prstGeom>
                    <a:noFill/>
                  </pic:spPr>
                </pic:pic>
              </a:graphicData>
            </a:graphic>
          </wp:anchor>
        </w:drawing>
      </w:r>
    </w:p>
    <w:p>
      <w:pPr>
        <w:spacing w:after="0" w:line="200" w:lineRule="exact"/>
        <w:rPr>
          <w:sz w:val="24"/>
          <w:szCs w:val="24"/>
          <w:color w:val="auto"/>
        </w:rPr>
      </w:pPr>
    </w:p>
    <w:p>
      <w:pPr>
        <w:spacing w:after="0" w:line="344" w:lineRule="exact"/>
        <w:rPr>
          <w:sz w:val="24"/>
          <w:szCs w:val="24"/>
          <w:color w:val="auto"/>
        </w:rPr>
      </w:pPr>
    </w:p>
    <w:p>
      <w:pPr>
        <w:jc w:val="center"/>
        <w:ind w:right="-399"/>
        <w:spacing w:after="0"/>
        <w:rPr>
          <w:sz w:val="20"/>
          <w:szCs w:val="20"/>
          <w:color w:val="auto"/>
        </w:rPr>
      </w:pPr>
      <w:r>
        <w:rPr>
          <w:rFonts w:ascii="Arial" w:cs="Arial" w:eastAsia="Arial" w:hAnsi="Arial"/>
          <w:sz w:val="43"/>
          <w:szCs w:val="43"/>
          <w:b w:val="1"/>
          <w:bCs w:val="1"/>
          <w:color w:val="auto"/>
        </w:rPr>
        <w:t>Textainer Group Holdings Limited</w:t>
      </w:r>
    </w:p>
    <w:p>
      <w:pPr>
        <w:spacing w:after="0" w:line="50" w:lineRule="exact"/>
        <w:rPr>
          <w:sz w:val="24"/>
          <w:szCs w:val="24"/>
          <w:color w:val="auto"/>
        </w:rPr>
      </w:pPr>
    </w:p>
    <w:p>
      <w:pPr>
        <w:ind w:left="3720"/>
        <w:spacing w:after="0"/>
        <w:rPr>
          <w:sz w:val="20"/>
          <w:szCs w:val="20"/>
          <w:color w:val="auto"/>
        </w:rPr>
      </w:pPr>
      <w:r>
        <w:rPr>
          <w:rFonts w:ascii="Arial" w:cs="Arial" w:eastAsia="Arial" w:hAnsi="Arial"/>
          <w:sz w:val="18"/>
          <w:szCs w:val="18"/>
          <w:b w:val="1"/>
          <w:bCs w:val="1"/>
          <w:color w:val="auto"/>
        </w:rPr>
        <w:t>(Translation of registrant’s name into English)</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2757805</wp:posOffset>
            </wp:positionH>
            <wp:positionV relativeFrom="paragraph">
              <wp:posOffset>236220</wp:posOffset>
            </wp:positionV>
            <wp:extent cx="1474470" cy="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474470" cy="8255"/>
                    </a:xfrm>
                    <a:prstGeom prst="rect">
                      <a:avLst/>
                    </a:prstGeom>
                    <a:noFill/>
                  </pic:spPr>
                </pic:pic>
              </a:graphicData>
            </a:graphic>
          </wp:anchor>
        </w:drawing>
      </w:r>
    </w:p>
    <w:p>
      <w:pPr>
        <w:spacing w:after="0" w:line="200" w:lineRule="exact"/>
        <w:rPr>
          <w:sz w:val="24"/>
          <w:szCs w:val="24"/>
          <w:color w:val="auto"/>
        </w:rPr>
      </w:pPr>
    </w:p>
    <w:p>
      <w:pPr>
        <w:spacing w:after="0" w:line="363" w:lineRule="exact"/>
        <w:rPr>
          <w:sz w:val="24"/>
          <w:szCs w:val="24"/>
          <w:color w:val="auto"/>
        </w:rPr>
      </w:pPr>
    </w:p>
    <w:p>
      <w:pPr>
        <w:jc w:val="center"/>
        <w:ind w:right="-399"/>
        <w:spacing w:after="0"/>
        <w:rPr>
          <w:sz w:val="20"/>
          <w:szCs w:val="20"/>
          <w:color w:val="auto"/>
        </w:rPr>
      </w:pPr>
      <w:r>
        <w:rPr>
          <w:rFonts w:ascii="Arial" w:cs="Arial" w:eastAsia="Arial" w:hAnsi="Arial"/>
          <w:sz w:val="18"/>
          <w:szCs w:val="18"/>
          <w:b w:val="1"/>
          <w:bCs w:val="1"/>
          <w:color w:val="auto"/>
        </w:rPr>
        <w:t>Century House</w:t>
      </w:r>
    </w:p>
    <w:p>
      <w:pPr>
        <w:spacing w:after="0" w:line="27" w:lineRule="exact"/>
        <w:rPr>
          <w:sz w:val="24"/>
          <w:szCs w:val="24"/>
          <w:color w:val="auto"/>
        </w:rPr>
      </w:pPr>
    </w:p>
    <w:p>
      <w:pPr>
        <w:jc w:val="center"/>
        <w:ind w:right="-399"/>
        <w:spacing w:after="0"/>
        <w:rPr>
          <w:sz w:val="20"/>
          <w:szCs w:val="20"/>
          <w:color w:val="auto"/>
        </w:rPr>
      </w:pPr>
      <w:r>
        <w:rPr>
          <w:rFonts w:ascii="Arial" w:cs="Arial" w:eastAsia="Arial" w:hAnsi="Arial"/>
          <w:sz w:val="18"/>
          <w:szCs w:val="18"/>
          <w:b w:val="1"/>
          <w:bCs w:val="1"/>
          <w:color w:val="auto"/>
        </w:rPr>
        <w:t>16 Par-La-Ville Road</w:t>
      </w:r>
    </w:p>
    <w:p>
      <w:pPr>
        <w:spacing w:after="0" w:line="9" w:lineRule="exact"/>
        <w:rPr>
          <w:sz w:val="24"/>
          <w:szCs w:val="24"/>
          <w:color w:val="auto"/>
        </w:rPr>
      </w:pPr>
    </w:p>
    <w:p>
      <w:pPr>
        <w:jc w:val="center"/>
        <w:ind w:right="-399"/>
        <w:spacing w:after="0"/>
        <w:rPr>
          <w:sz w:val="20"/>
          <w:szCs w:val="20"/>
          <w:color w:val="auto"/>
        </w:rPr>
      </w:pPr>
      <w:r>
        <w:rPr>
          <w:rFonts w:ascii="Arial" w:cs="Arial" w:eastAsia="Arial" w:hAnsi="Arial"/>
          <w:sz w:val="18"/>
          <w:szCs w:val="18"/>
          <w:b w:val="1"/>
          <w:bCs w:val="1"/>
          <w:color w:val="auto"/>
        </w:rPr>
        <w:t>Hamilton HM 08</w:t>
      </w:r>
    </w:p>
    <w:p>
      <w:pPr>
        <w:spacing w:after="0" w:line="9" w:lineRule="exact"/>
        <w:rPr>
          <w:sz w:val="24"/>
          <w:szCs w:val="24"/>
          <w:color w:val="auto"/>
        </w:rPr>
      </w:pPr>
    </w:p>
    <w:p>
      <w:pPr>
        <w:jc w:val="center"/>
        <w:ind w:right="-399"/>
        <w:spacing w:after="0"/>
        <w:rPr>
          <w:sz w:val="20"/>
          <w:szCs w:val="20"/>
          <w:color w:val="auto"/>
        </w:rPr>
      </w:pPr>
      <w:r>
        <w:rPr>
          <w:rFonts w:ascii="Arial" w:cs="Arial" w:eastAsia="Arial" w:hAnsi="Arial"/>
          <w:sz w:val="18"/>
          <w:szCs w:val="18"/>
          <w:b w:val="1"/>
          <w:bCs w:val="1"/>
          <w:color w:val="auto"/>
        </w:rPr>
        <w:t>Bermuda</w:t>
      </w:r>
    </w:p>
    <w:p>
      <w:pPr>
        <w:spacing w:after="0" w:line="9" w:lineRule="exact"/>
        <w:rPr>
          <w:sz w:val="24"/>
          <w:szCs w:val="24"/>
          <w:color w:val="auto"/>
        </w:rPr>
      </w:pPr>
    </w:p>
    <w:p>
      <w:pPr>
        <w:jc w:val="center"/>
        <w:ind w:right="-399"/>
        <w:spacing w:after="0"/>
        <w:rPr>
          <w:sz w:val="20"/>
          <w:szCs w:val="20"/>
          <w:color w:val="auto"/>
        </w:rPr>
      </w:pPr>
      <w:r>
        <w:rPr>
          <w:rFonts w:ascii="Arial" w:cs="Arial" w:eastAsia="Arial" w:hAnsi="Arial"/>
          <w:sz w:val="18"/>
          <w:szCs w:val="18"/>
          <w:b w:val="1"/>
          <w:bCs w:val="1"/>
          <w:color w:val="auto"/>
        </w:rPr>
        <w:t>(441) 296-2500</w:t>
      </w:r>
    </w:p>
    <w:p>
      <w:pPr>
        <w:spacing w:after="0" w:line="2" w:lineRule="exact"/>
        <w:rPr>
          <w:sz w:val="24"/>
          <w:szCs w:val="24"/>
          <w:color w:val="auto"/>
        </w:rPr>
      </w:pPr>
    </w:p>
    <w:p>
      <w:pPr>
        <w:jc w:val="center"/>
        <w:ind w:right="-399"/>
        <w:spacing w:after="0"/>
        <w:rPr>
          <w:sz w:val="20"/>
          <w:szCs w:val="20"/>
          <w:color w:val="auto"/>
        </w:rPr>
      </w:pPr>
      <w:r>
        <w:rPr>
          <w:rFonts w:ascii="Arial" w:cs="Arial" w:eastAsia="Arial" w:hAnsi="Arial"/>
          <w:sz w:val="14"/>
          <w:szCs w:val="14"/>
          <w:b w:val="1"/>
          <w:bCs w:val="1"/>
          <w:color w:val="auto"/>
        </w:rPr>
        <w:t>(Address of principal executive office)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2757805</wp:posOffset>
            </wp:positionH>
            <wp:positionV relativeFrom="paragraph">
              <wp:posOffset>219075</wp:posOffset>
            </wp:positionV>
            <wp:extent cx="1474470" cy="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474470" cy="8255"/>
                    </a:xfrm>
                    <a:prstGeom prst="rect">
                      <a:avLst/>
                    </a:prstGeom>
                    <a:noFill/>
                  </pic:spPr>
                </pic:pic>
              </a:graphicData>
            </a:graphic>
          </wp:anchor>
        </w:drawing>
      </w:r>
    </w:p>
    <w:p>
      <w:pPr>
        <w:spacing w:after="0" w:line="200" w:lineRule="exact"/>
        <w:rPr>
          <w:sz w:val="24"/>
          <w:szCs w:val="24"/>
          <w:color w:val="auto"/>
        </w:rPr>
      </w:pPr>
    </w:p>
    <w:p>
      <w:pPr>
        <w:spacing w:after="0" w:line="340" w:lineRule="exact"/>
        <w:rPr>
          <w:sz w:val="24"/>
          <w:szCs w:val="24"/>
          <w:color w:val="auto"/>
        </w:rPr>
      </w:pPr>
    </w:p>
    <w:p>
      <w:pPr>
        <w:spacing w:after="0"/>
        <w:rPr>
          <w:sz w:val="20"/>
          <w:szCs w:val="20"/>
          <w:color w:val="auto"/>
        </w:rPr>
      </w:pPr>
      <w:r>
        <w:rPr>
          <w:rFonts w:ascii="Arial" w:cs="Arial" w:eastAsia="Arial" w:hAnsi="Arial"/>
          <w:sz w:val="18"/>
          <w:szCs w:val="18"/>
          <w:color w:val="auto"/>
        </w:rPr>
        <w:t>Indicate by check mark whether the registrant files or will file annual reports under cover of Form 20-F or Form 40-F.</w:t>
      </w:r>
    </w:p>
    <w:p>
      <w:pPr>
        <w:spacing w:after="0" w:line="192" w:lineRule="exact"/>
        <w:rPr>
          <w:sz w:val="24"/>
          <w:szCs w:val="24"/>
          <w:color w:val="auto"/>
        </w:rPr>
      </w:pPr>
    </w:p>
    <w:p>
      <w:pPr>
        <w:jc w:val="center"/>
        <w:ind w:right="-399"/>
        <w:spacing w:after="0" w:line="207" w:lineRule="exact"/>
        <w:tabs>
          <w:tab w:leader="none" w:pos="520" w:val="left"/>
        </w:tabs>
        <w:rPr>
          <w:sz w:val="20"/>
          <w:szCs w:val="20"/>
          <w:color w:val="auto"/>
        </w:rPr>
      </w:pPr>
      <w:r>
        <w:rPr>
          <w:rFonts w:ascii="Arial" w:cs="Arial" w:eastAsia="Arial" w:hAnsi="Arial"/>
          <w:sz w:val="18"/>
          <w:szCs w:val="18"/>
          <w:color w:val="auto"/>
        </w:rPr>
        <w:t xml:space="preserve">Form 20-F </w:t>
      </w:r>
      <w:r>
        <w:rPr>
          <w:rFonts w:ascii="MS PGothic" w:cs="MS PGothic" w:eastAsia="MS PGothic" w:hAnsi="MS PGothic"/>
          <w:sz w:val="18"/>
          <w:szCs w:val="18"/>
          <w:color w:val="auto"/>
        </w:rPr>
        <w:t>☒</w:t>
      </w:r>
      <w:r>
        <w:rPr>
          <w:sz w:val="20"/>
          <w:szCs w:val="20"/>
          <w:color w:val="auto"/>
        </w:rPr>
        <w:tab/>
      </w:r>
      <w:r>
        <w:rPr>
          <w:rFonts w:ascii="Arial" w:cs="Arial" w:eastAsia="Arial" w:hAnsi="Arial"/>
          <w:sz w:val="17"/>
          <w:szCs w:val="17"/>
          <w:color w:val="auto"/>
        </w:rPr>
        <w:t xml:space="preserve">Form 40-F </w:t>
      </w:r>
      <w:r>
        <w:rPr>
          <w:rFonts w:ascii="MS PGothic" w:cs="MS PGothic" w:eastAsia="MS PGothic" w:hAnsi="MS PGothic"/>
          <w:sz w:val="17"/>
          <w:szCs w:val="17"/>
          <w:color w:val="auto"/>
        </w:rPr>
        <w:t>☐</w:t>
      </w:r>
    </w:p>
    <w:p>
      <w:pPr>
        <w:spacing w:after="0" w:line="225" w:lineRule="exact"/>
        <w:rPr>
          <w:sz w:val="24"/>
          <w:szCs w:val="24"/>
          <w:color w:val="auto"/>
        </w:rPr>
      </w:pPr>
    </w:p>
    <w:p>
      <w:pPr>
        <w:spacing w:after="0" w:line="207" w:lineRule="exact"/>
        <w:rPr>
          <w:sz w:val="20"/>
          <w:szCs w:val="20"/>
          <w:color w:val="auto"/>
        </w:rPr>
      </w:pPr>
      <w:r>
        <w:rPr>
          <w:rFonts w:ascii="Arial" w:cs="Arial" w:eastAsia="Arial" w:hAnsi="Arial"/>
          <w:sz w:val="18"/>
          <w:szCs w:val="18"/>
          <w:color w:val="auto"/>
        </w:rPr>
        <w:t xml:space="preserve">Indicate by check mark if the registrant is submitting the Form 6-K in paper as permitted by Regulation S-T Rule 101(b)(1): </w:t>
      </w:r>
      <w:r>
        <w:rPr>
          <w:rFonts w:ascii="MS PGothic" w:cs="MS PGothic" w:eastAsia="MS PGothic" w:hAnsi="MS PGothic"/>
          <w:sz w:val="18"/>
          <w:szCs w:val="18"/>
          <w:color w:val="auto"/>
        </w:rPr>
        <w:t>☐</w:t>
      </w:r>
    </w:p>
    <w:p>
      <w:pPr>
        <w:spacing w:after="0" w:line="225" w:lineRule="exact"/>
        <w:rPr>
          <w:sz w:val="24"/>
          <w:szCs w:val="24"/>
          <w:color w:val="auto"/>
        </w:rPr>
      </w:pPr>
    </w:p>
    <w:p>
      <w:pPr>
        <w:spacing w:after="0" w:line="207" w:lineRule="exact"/>
        <w:rPr>
          <w:sz w:val="20"/>
          <w:szCs w:val="20"/>
          <w:color w:val="auto"/>
        </w:rPr>
      </w:pPr>
      <w:r>
        <w:rPr>
          <w:rFonts w:ascii="Arial" w:cs="Arial" w:eastAsia="Arial" w:hAnsi="Arial"/>
          <w:sz w:val="18"/>
          <w:szCs w:val="18"/>
          <w:color w:val="auto"/>
        </w:rPr>
        <w:t xml:space="preserve">Indicate by check mark if the registrant is submitting the Form 6-K in paper as permitted by Regulation S-T Rule 101(b)(7): </w:t>
      </w:r>
      <w:r>
        <w:rPr>
          <w:rFonts w:ascii="MS PGothic" w:cs="MS PGothic" w:eastAsia="MS PGothic" w:hAnsi="MS PGothic"/>
          <w:sz w:val="18"/>
          <w:szCs w:val="18"/>
          <w:color w:val="auto"/>
        </w:rPr>
        <w:t>☐</w:t>
      </w:r>
    </w:p>
    <w:p>
      <w:pPr>
        <w:spacing w:after="0" w:line="258" w:lineRule="exact"/>
        <w:rPr>
          <w:sz w:val="24"/>
          <w:szCs w:val="24"/>
          <w:color w:val="auto"/>
        </w:rPr>
      </w:pPr>
    </w:p>
    <w:p>
      <w:pPr>
        <w:spacing w:after="0" w:line="233" w:lineRule="exact"/>
        <w:rPr>
          <w:sz w:val="20"/>
          <w:szCs w:val="20"/>
          <w:color w:val="auto"/>
        </w:rPr>
      </w:pPr>
      <w:r>
        <w:rPr>
          <w:rFonts w:ascii="Arial" w:cs="Arial" w:eastAsia="Arial" w:hAnsi="Arial"/>
          <w:sz w:val="18"/>
          <w:szCs w:val="18"/>
          <w:color w:val="auto"/>
        </w:rPr>
        <w:t xml:space="preserve">Indicate by check mark whether the registrant by furnishing the information contained in this Form is also thereby furnishing the information to the Commission pursuant to Rule 12g3-2(b) under the Securities Exchange Act of 1934. Yes </w:t>
      </w:r>
      <w:r>
        <w:rPr>
          <w:rFonts w:ascii="MS PGothic" w:cs="MS PGothic" w:eastAsia="MS PGothic" w:hAnsi="MS PGothic"/>
          <w:sz w:val="18"/>
          <w:szCs w:val="18"/>
          <w:color w:val="auto"/>
        </w:rPr>
        <w:t>☐</w:t>
      </w:r>
      <w:r>
        <w:rPr>
          <w:rFonts w:ascii="Arial" w:cs="Arial" w:eastAsia="Arial" w:hAnsi="Arial"/>
          <w:sz w:val="18"/>
          <w:szCs w:val="18"/>
          <w:color w:val="auto"/>
        </w:rPr>
        <w:t xml:space="preserve"> No </w:t>
      </w:r>
      <w:r>
        <w:rPr>
          <w:rFonts w:ascii="MS PGothic" w:cs="MS PGothic" w:eastAsia="MS PGothic" w:hAnsi="MS PGothic"/>
          <w:sz w:val="18"/>
          <w:szCs w:val="18"/>
          <w:color w:val="auto"/>
        </w:rPr>
        <w:t>☒</w:t>
      </w:r>
    </w:p>
    <w:p>
      <w:pPr>
        <w:spacing w:after="0" w:line="182" w:lineRule="exact"/>
        <w:rPr>
          <w:sz w:val="24"/>
          <w:szCs w:val="24"/>
          <w:color w:val="auto"/>
        </w:rPr>
      </w:pPr>
    </w:p>
    <w:p>
      <w:pPr>
        <w:spacing w:after="0"/>
        <w:rPr>
          <w:sz w:val="20"/>
          <w:szCs w:val="20"/>
          <w:color w:val="auto"/>
        </w:rPr>
      </w:pPr>
      <w:r>
        <w:rPr>
          <w:rFonts w:ascii="Arial" w:cs="Arial" w:eastAsia="Arial" w:hAnsi="Arial"/>
          <w:sz w:val="18"/>
          <w:szCs w:val="18"/>
          <w:color w:val="auto"/>
        </w:rPr>
        <w:t>If “Yes” is marked, indicate below the file number assigned to the registrant in connection with Rule 12g3-2(b): Not applicable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-1905</wp:posOffset>
            </wp:positionH>
            <wp:positionV relativeFrom="paragraph">
              <wp:posOffset>160655</wp:posOffset>
            </wp:positionV>
            <wp:extent cx="6995160" cy="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6995160"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203200</wp:posOffset>
            </wp:positionV>
            <wp:extent cx="6995160" cy="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0600"/>
          </w:cols>
          <w:pgMar w:left="440" w:top="368" w:right="859" w:bottom="1440" w:gutter="0" w:footer="0" w:header="0"/>
        </w:sectPr>
      </w:pPr>
    </w:p>
    <w:bookmarkStart w:id="1" w:name="page2"/>
    <w:bookmarkEnd w:id="1"/>
    <w:p>
      <w:pPr>
        <w:ind w:right="220" w:firstLine="440"/>
        <w:spacing w:after="0" w:line="31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174865" cy="38735"/>
                    </a:xfrm>
                    <a:prstGeom prst="rect">
                      <a:avLst/>
                    </a:prstGeom>
                    <a:noFill/>
                  </pic:spPr>
                </pic:pic>
              </a:graphicData>
            </a:graphic>
          </wp:anchor>
        </w:drawing>
        <w:t>On or about April 27, 2021, Textainer Group Holdings Limited (the “Company”) caused copies of the following documents to be mailed to the Company’s shareholders of record: (1) the Company’s 2020 Annual Report to Shareholders and (2) the Company’s Notice of 2021 Annual General Meeting of Shareholders to be held on May 26, 2021, together with the accompanying Proxy Statement and accompanying Form of Proxy Card.</w:t>
      </w:r>
    </w:p>
    <w:p>
      <w:pPr>
        <w:spacing w:after="0" w:line="149" w:lineRule="exact"/>
        <w:rPr>
          <w:sz w:val="20"/>
          <w:szCs w:val="20"/>
          <w:color w:val="auto"/>
        </w:rPr>
      </w:pPr>
    </w:p>
    <w:p>
      <w:pPr>
        <w:ind w:right="120" w:firstLine="440"/>
        <w:spacing w:after="0" w:line="263" w:lineRule="auto"/>
        <w:rPr>
          <w:sz w:val="20"/>
          <w:szCs w:val="20"/>
          <w:color w:val="auto"/>
        </w:rPr>
      </w:pPr>
      <w:r>
        <w:rPr>
          <w:rFonts w:ascii="Arial" w:cs="Arial" w:eastAsia="Arial" w:hAnsi="Arial"/>
          <w:sz w:val="18"/>
          <w:szCs w:val="18"/>
          <w:color w:val="auto"/>
        </w:rPr>
        <w:t>The Company’s 2020 Annual Report to Shareholders includes the Company’s financial highlights, letter to shareholders and Annual Report on Form 20-F for the fiscal year ended December 31, 2020. The following documents, filed as exhibits to this Form 6-K, are incorporated by reference as part of this Form 6-K:</w:t>
      </w:r>
    </w:p>
    <w:p>
      <w:pPr>
        <w:spacing w:after="0" w:line="202" w:lineRule="exact"/>
        <w:rPr>
          <w:sz w:val="20"/>
          <w:szCs w:val="20"/>
          <w:color w:val="auto"/>
        </w:rPr>
      </w:pPr>
    </w:p>
    <w:p>
      <w:pPr>
        <w:spacing w:after="0"/>
        <w:tabs>
          <w:tab w:leader="none" w:pos="860" w:val="left"/>
        </w:tabs>
        <w:rPr>
          <w:sz w:val="20"/>
          <w:szCs w:val="20"/>
          <w:color w:val="auto"/>
        </w:rPr>
      </w:pPr>
      <w:r>
        <w:rPr>
          <w:rFonts w:ascii="Arial" w:cs="Arial" w:eastAsia="Arial" w:hAnsi="Arial"/>
          <w:sz w:val="14"/>
          <w:szCs w:val="14"/>
          <w:b w:val="1"/>
          <w:bCs w:val="1"/>
          <w:u w:val="single" w:color="auto"/>
          <w:color w:val="auto"/>
        </w:rPr>
        <w:t>Exhibit</w:t>
      </w:r>
      <w:r>
        <w:rPr>
          <w:sz w:val="20"/>
          <w:szCs w:val="20"/>
          <w:color w:val="auto"/>
        </w:rPr>
        <w:tab/>
      </w:r>
      <w:r>
        <w:rPr>
          <w:rFonts w:ascii="Arial" w:cs="Arial" w:eastAsia="Arial" w:hAnsi="Arial"/>
          <w:sz w:val="14"/>
          <w:szCs w:val="14"/>
          <w:b w:val="1"/>
          <w:bCs w:val="1"/>
          <w:u w:val="single" w:color="auto"/>
          <w:color w:val="auto"/>
        </w:rPr>
        <w:t>Description of Exhibit</w:t>
      </w:r>
    </w:p>
    <w:p>
      <w:pPr>
        <w:spacing w:after="0" w:line="25" w:lineRule="exact"/>
        <w:rPr>
          <w:sz w:val="20"/>
          <w:szCs w:val="20"/>
          <w:color w:val="auto"/>
        </w:rPr>
      </w:pPr>
    </w:p>
    <w:p>
      <w:pPr>
        <w:spacing w:after="0"/>
        <w:tabs>
          <w:tab w:leader="none" w:pos="860" w:val="left"/>
        </w:tabs>
        <w:rPr>
          <w:rFonts w:ascii="Arial" w:cs="Arial" w:eastAsia="Arial" w:hAnsi="Arial"/>
          <w:sz w:val="16"/>
          <w:szCs w:val="16"/>
          <w:u w:val="single" w:color="auto"/>
          <w:color w:val="0000EE"/>
        </w:rPr>
      </w:pPr>
      <w:r>
        <w:rPr>
          <w:rFonts w:ascii="Arial" w:cs="Arial" w:eastAsia="Arial" w:hAnsi="Arial"/>
          <w:sz w:val="18"/>
          <w:szCs w:val="18"/>
          <w:color w:val="auto"/>
        </w:rPr>
        <w:t>99.1</w:t>
      </w:r>
      <w:r>
        <w:rPr>
          <w:sz w:val="20"/>
          <w:szCs w:val="20"/>
          <w:color w:val="auto"/>
        </w:rPr>
        <w:tab/>
      </w:r>
      <w:hyperlink w:anchor="page5">
        <w:r>
          <w:rPr>
            <w:rFonts w:ascii="Arial" w:cs="Arial" w:eastAsia="Arial" w:hAnsi="Arial"/>
            <w:sz w:val="16"/>
            <w:szCs w:val="16"/>
            <w:u w:val="single" w:color="auto"/>
            <w:color w:val="0000EE"/>
          </w:rPr>
          <w:t>Textainer Group Holdings Limited 2020 Annual Report to Shareholders</w:t>
        </w:r>
      </w:hyperlink>
    </w:p>
    <w:p>
      <w:pPr>
        <w:spacing w:after="0" w:line="8" w:lineRule="exact"/>
        <w:rPr>
          <w:sz w:val="20"/>
          <w:szCs w:val="20"/>
          <w:color w:val="auto"/>
        </w:rPr>
      </w:pPr>
    </w:p>
    <w:p>
      <w:pPr>
        <w:ind w:left="880" w:hanging="876"/>
        <w:spacing w:after="0" w:line="260" w:lineRule="auto"/>
        <w:tabs>
          <w:tab w:leader="none" w:pos="860" w:val="left"/>
        </w:tabs>
        <w:rPr>
          <w:rFonts w:ascii="Arial" w:cs="Arial" w:eastAsia="Arial" w:hAnsi="Arial"/>
          <w:sz w:val="18"/>
          <w:szCs w:val="18"/>
          <w:u w:val="single" w:color="auto"/>
          <w:color w:val="0000EE"/>
        </w:rPr>
      </w:pPr>
      <w:r>
        <w:rPr>
          <w:rFonts w:ascii="Arial" w:cs="Arial" w:eastAsia="Arial" w:hAnsi="Arial"/>
          <w:sz w:val="18"/>
          <w:szCs w:val="18"/>
          <w:color w:val="auto"/>
        </w:rPr>
        <w:t>99.2</w:t>
      </w:r>
      <w:r>
        <w:rPr>
          <w:sz w:val="20"/>
          <w:szCs w:val="20"/>
          <w:color w:val="auto"/>
        </w:rPr>
        <w:tab/>
      </w:r>
      <w:hyperlink w:anchor="page173">
        <w:r>
          <w:rPr>
            <w:rFonts w:ascii="Arial" w:cs="Arial" w:eastAsia="Arial" w:hAnsi="Arial"/>
            <w:sz w:val="18"/>
            <w:szCs w:val="18"/>
            <w:u w:val="single" w:color="auto"/>
            <w:color w:val="0000EE"/>
          </w:rPr>
          <w:t>Textainer Group Holdings Limited Notice of 2021 Annual General Meeting of Shareholders to be Held May 26, 2021, Proxy Statement and</w:t>
        </w:r>
      </w:hyperlink>
      <w:r>
        <w:rPr>
          <w:rFonts w:ascii="Arial" w:cs="Arial" w:eastAsia="Arial" w:hAnsi="Arial"/>
          <w:sz w:val="18"/>
          <w:szCs w:val="18"/>
          <w:u w:val="single" w:color="auto"/>
          <w:color w:val="0000EE"/>
        </w:rPr>
        <w:t xml:space="preserve"> </w:t>
      </w:r>
      <w:hyperlink w:anchor="page173">
        <w:r>
          <w:rPr>
            <w:rFonts w:ascii="Arial" w:cs="Arial" w:eastAsia="Arial" w:hAnsi="Arial"/>
            <w:sz w:val="18"/>
            <w:szCs w:val="18"/>
            <w:u w:val="single" w:color="auto"/>
            <w:color w:val="0000EE"/>
          </w:rPr>
          <w:t>Form of Proxy Card</w:t>
        </w:r>
      </w:hyperlink>
    </w:p>
    <w:p>
      <w:pPr>
        <w:sectPr>
          <w:pgSz w:w="11900" w:h="16838" w:orient="portrait"/>
          <w:cols w:equalWidth="0" w:num="1">
            <w:col w:w="10940"/>
          </w:cols>
          <w:pgMar w:left="440" w:top="274" w:right="519" w:bottom="1440" w:gutter="0" w:footer="0" w:header="0"/>
        </w:sectPr>
      </w:pPr>
    </w:p>
    <w:bookmarkStart w:id="2" w:name="page3"/>
    <w:bookmarkEnd w:id="2"/>
    <w:p>
      <w:pPr>
        <w:jc w:val="center"/>
        <w:ind w:right="-29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SIGNATURE</w:t>
      </w:r>
    </w:p>
    <w:p>
      <w:pPr>
        <w:spacing w:after="0" w:line="229" w:lineRule="exact"/>
        <w:rPr>
          <w:sz w:val="20"/>
          <w:szCs w:val="20"/>
          <w:color w:val="auto"/>
        </w:rPr>
      </w:pPr>
    </w:p>
    <w:p>
      <w:pPr>
        <w:ind w:firstLine="440"/>
        <w:spacing w:after="0" w:line="277" w:lineRule="auto"/>
        <w:rPr>
          <w:sz w:val="20"/>
          <w:szCs w:val="20"/>
          <w:color w:val="auto"/>
        </w:rPr>
      </w:pPr>
      <w:r>
        <w:rPr>
          <w:rFonts w:ascii="Arial" w:cs="Arial" w:eastAsia="Arial" w:hAnsi="Arial"/>
          <w:sz w:val="18"/>
          <w:szCs w:val="18"/>
          <w:color w:val="auto"/>
        </w:rPr>
        <w:t>Pursuant to the requirements of the Securities Exchange Act of 1934, the registrant has duly caused this report to be signed on its behalf by the undersigned, thereunto duly authorized.</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Date: April 27, 2021</w:t>
      </w:r>
    </w:p>
    <w:p>
      <w:pPr>
        <w:spacing w:after="0" w:line="248" w:lineRule="exact"/>
        <w:rPr>
          <w:sz w:val="20"/>
          <w:szCs w:val="20"/>
          <w:color w:val="auto"/>
        </w:rPr>
      </w:pPr>
    </w:p>
    <w:p>
      <w:pPr>
        <w:ind w:left="7480"/>
        <w:spacing w:after="0"/>
        <w:rPr>
          <w:sz w:val="20"/>
          <w:szCs w:val="20"/>
          <w:color w:val="auto"/>
        </w:rPr>
      </w:pPr>
      <w:r>
        <w:rPr>
          <w:rFonts w:ascii="Arial" w:cs="Arial" w:eastAsia="Arial" w:hAnsi="Arial"/>
          <w:sz w:val="18"/>
          <w:szCs w:val="18"/>
          <w:b w:val="1"/>
          <w:bCs w:val="1"/>
          <w:color w:val="auto"/>
        </w:rPr>
        <w:t>Textainer Group Holdings Limited</w:t>
      </w:r>
    </w:p>
    <w:p>
      <w:pPr>
        <w:spacing w:after="0" w:line="200" w:lineRule="exact"/>
        <w:rPr>
          <w:sz w:val="20"/>
          <w:szCs w:val="20"/>
          <w:color w:val="auto"/>
        </w:rPr>
      </w:pPr>
    </w:p>
    <w:p>
      <w:pPr>
        <w:spacing w:after="0" w:line="245" w:lineRule="exact"/>
        <w:rPr>
          <w:sz w:val="20"/>
          <w:szCs w:val="20"/>
          <w:color w:val="auto"/>
        </w:rPr>
      </w:pPr>
    </w:p>
    <w:p>
      <w:pPr>
        <w:ind w:left="7760"/>
        <w:spacing w:after="0"/>
        <w:rPr>
          <w:sz w:val="20"/>
          <w:szCs w:val="20"/>
          <w:color w:val="auto"/>
        </w:rPr>
      </w:pPr>
      <w:r>
        <w:rPr>
          <w:rFonts w:ascii="Arial" w:cs="Arial" w:eastAsia="Arial" w:hAnsi="Arial"/>
          <w:sz w:val="18"/>
          <w:szCs w:val="18"/>
          <w:color w:val="auto"/>
        </w:rPr>
        <w:t>/s/ OLIVIER GHESQUIERE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4197985</wp:posOffset>
            </wp:positionH>
            <wp:positionV relativeFrom="paragraph">
              <wp:posOffset>14605</wp:posOffset>
            </wp:positionV>
            <wp:extent cx="2794635" cy="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2794635" cy="8255"/>
                    </a:xfrm>
                    <a:prstGeom prst="rect">
                      <a:avLst/>
                    </a:prstGeom>
                    <a:noFill/>
                  </pic:spPr>
                </pic:pic>
              </a:graphicData>
            </a:graphic>
          </wp:anchor>
        </w:drawing>
      </w:r>
    </w:p>
    <w:p>
      <w:pPr>
        <w:spacing w:after="0" w:line="16" w:lineRule="exact"/>
        <w:rPr>
          <w:sz w:val="20"/>
          <w:szCs w:val="20"/>
          <w:color w:val="auto"/>
        </w:rPr>
      </w:pPr>
    </w:p>
    <w:p>
      <w:pPr>
        <w:ind w:left="8120"/>
        <w:spacing w:after="0"/>
        <w:rPr>
          <w:sz w:val="20"/>
          <w:szCs w:val="20"/>
          <w:color w:val="auto"/>
        </w:rPr>
      </w:pPr>
      <w:r>
        <w:rPr>
          <w:rFonts w:ascii="Arial" w:cs="Arial" w:eastAsia="Arial" w:hAnsi="Arial"/>
          <w:sz w:val="18"/>
          <w:szCs w:val="18"/>
          <w:color w:val="auto"/>
        </w:rPr>
        <w:t>Olivier Ghesquiere</w:t>
      </w:r>
    </w:p>
    <w:p>
      <w:pPr>
        <w:spacing w:after="0" w:line="23" w:lineRule="exact"/>
        <w:rPr>
          <w:sz w:val="20"/>
          <w:szCs w:val="20"/>
          <w:color w:val="auto"/>
        </w:rPr>
      </w:pPr>
    </w:p>
    <w:p>
      <w:pPr>
        <w:ind w:left="7440"/>
        <w:spacing w:after="0"/>
        <w:rPr>
          <w:sz w:val="20"/>
          <w:szCs w:val="20"/>
          <w:color w:val="auto"/>
        </w:rPr>
      </w:pPr>
      <w:r>
        <w:rPr>
          <w:rFonts w:ascii="Arial" w:cs="Arial" w:eastAsia="Arial" w:hAnsi="Arial"/>
          <w:sz w:val="18"/>
          <w:szCs w:val="18"/>
          <w:color w:val="auto"/>
        </w:rPr>
        <w:t>President and Chief Executive Officer</w:t>
      </w:r>
    </w:p>
    <w:p>
      <w:pPr>
        <w:sectPr>
          <w:pgSz w:w="11900" w:h="16838" w:orient="portrait"/>
          <w:cols w:equalWidth="0" w:num="1">
            <w:col w:w="10700"/>
          </w:cols>
          <w:pgMar w:left="440" w:top="270" w:right="759" w:bottom="1440" w:gutter="0" w:footer="0" w:header="0"/>
        </w:sectPr>
      </w:pPr>
    </w:p>
    <w:bookmarkStart w:id="3" w:name="page4"/>
    <w:bookmarkEnd w:id="3"/>
    <w:tbl>
      <w:tblPr>
        <w:tblLayout w:type="fixed"/>
        <w:tblInd w:w="0" w:type="dxa"/>
        <w:tblCellMar>
          <w:top w:w="0" w:type="dxa"/>
          <w:left w:w="0" w:type="dxa"/>
          <w:bottom w:w="0" w:type="dxa"/>
          <w:right w:w="0" w:type="dxa"/>
        </w:tblCellMar>
      </w:tblPr>
      <w:tr>
        <w:trPr>
          <w:trHeight w:val="234"/>
        </w:trPr>
        <w:tc>
          <w:tcPr>
            <w:tcW w:w="50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1540" w:type="dxa"/>
            <w:vAlign w:val="bottom"/>
          </w:tcPr>
          <w:p>
            <w:pPr>
              <w:spacing w:after="0"/>
              <w:rPr>
                <w:sz w:val="20"/>
                <w:szCs w:val="20"/>
                <w:color w:val="auto"/>
              </w:rPr>
            </w:pPr>
          </w:p>
        </w:tc>
        <w:tc>
          <w:tcPr>
            <w:tcW w:w="8220" w:type="dxa"/>
            <w:vAlign w:val="bottom"/>
          </w:tcPr>
          <w:p>
            <w:pPr>
              <w:ind w:left="2220"/>
              <w:spacing w:after="0"/>
              <w:rPr>
                <w:sz w:val="20"/>
                <w:szCs w:val="20"/>
                <w:color w:val="auto"/>
              </w:rPr>
            </w:pPr>
            <w:r>
              <w:rPr>
                <w:rFonts w:ascii="Arial" w:cs="Arial" w:eastAsia="Arial" w:hAnsi="Arial"/>
                <w:sz w:val="18"/>
                <w:szCs w:val="18"/>
                <w:b w:val="1"/>
                <w:bCs w:val="1"/>
                <w:color w:val="auto"/>
              </w:rPr>
              <w:t>EXHIBIT INDEX</w:t>
            </w:r>
          </w:p>
        </w:tc>
        <w:tc>
          <w:tcPr>
            <w:tcW w:w="0" w:type="dxa"/>
            <w:vAlign w:val="bottom"/>
          </w:tcPr>
          <w:p>
            <w:pPr>
              <w:spacing w:after="0"/>
              <w:rPr>
                <w:sz w:val="1"/>
                <w:szCs w:val="1"/>
                <w:color w:val="auto"/>
              </w:rPr>
            </w:pPr>
          </w:p>
        </w:tc>
      </w:tr>
      <w:tr>
        <w:trPr>
          <w:trHeight w:val="369"/>
        </w:trPr>
        <w:tc>
          <w:tcPr>
            <w:tcW w:w="500" w:type="dxa"/>
            <w:vAlign w:val="bottom"/>
          </w:tcPr>
          <w:p>
            <w:pPr>
              <w:ind w:left="20"/>
              <w:spacing w:after="0"/>
              <w:rPr>
                <w:sz w:val="20"/>
                <w:szCs w:val="20"/>
                <w:color w:val="auto"/>
              </w:rPr>
            </w:pPr>
            <w:r>
              <w:rPr>
                <w:rFonts w:ascii="Arial" w:cs="Arial" w:eastAsia="Arial" w:hAnsi="Arial"/>
                <w:sz w:val="14"/>
                <w:szCs w:val="14"/>
                <w:b w:val="1"/>
                <w:bCs w:val="1"/>
                <w:color w:val="auto"/>
                <w:w w:val="98"/>
              </w:rPr>
              <w:t>Exhibit</w:t>
            </w:r>
          </w:p>
        </w:tc>
        <w:tc>
          <w:tcPr>
            <w:tcW w:w="10300" w:type="dxa"/>
            <w:vAlign w:val="bottom"/>
            <w:gridSpan w:val="3"/>
            <w:vMerge w:val="restart"/>
          </w:tcPr>
          <w:p>
            <w:pPr>
              <w:ind w:left="540"/>
              <w:spacing w:after="0"/>
              <w:rPr>
                <w:sz w:val="20"/>
                <w:szCs w:val="20"/>
                <w:color w:val="auto"/>
              </w:rPr>
            </w:pPr>
            <w:r>
              <w:rPr>
                <w:rFonts w:ascii="Arial" w:cs="Arial" w:eastAsia="Arial" w:hAnsi="Arial"/>
                <w:sz w:val="14"/>
                <w:szCs w:val="14"/>
                <w:b w:val="1"/>
                <w:bCs w:val="1"/>
                <w:color w:val="auto"/>
              </w:rPr>
              <w:t>Description of Document</w:t>
            </w:r>
          </w:p>
        </w:tc>
        <w:tc>
          <w:tcPr>
            <w:tcW w:w="0" w:type="dxa"/>
            <w:vAlign w:val="bottom"/>
          </w:tcPr>
          <w:p>
            <w:pPr>
              <w:spacing w:after="0"/>
              <w:rPr>
                <w:sz w:val="1"/>
                <w:szCs w:val="1"/>
                <w:color w:val="auto"/>
              </w:rPr>
            </w:pPr>
          </w:p>
        </w:tc>
      </w:tr>
      <w:tr>
        <w:trPr>
          <w:trHeight w:val="171"/>
        </w:trPr>
        <w:tc>
          <w:tcPr>
            <w:tcW w:w="500" w:type="dxa"/>
            <w:vAlign w:val="bottom"/>
          </w:tcPr>
          <w:p>
            <w:pPr>
              <w:spacing w:after="0"/>
              <w:rPr>
                <w:sz w:val="20"/>
                <w:szCs w:val="20"/>
                <w:color w:val="auto"/>
              </w:rPr>
            </w:pPr>
            <w:r>
              <w:rPr>
                <w:rFonts w:ascii="Arial" w:cs="Arial" w:eastAsia="Arial" w:hAnsi="Arial"/>
                <w:sz w:val="14"/>
                <w:szCs w:val="14"/>
                <w:b w:val="1"/>
                <w:bCs w:val="1"/>
                <w:color w:val="auto"/>
                <w:w w:val="90"/>
              </w:rPr>
              <w:t>Number</w:t>
            </w:r>
          </w:p>
        </w:tc>
        <w:tc>
          <w:tcPr>
            <w:tcW w:w="10300" w:type="dxa"/>
            <w:vAlign w:val="bottom"/>
            <w:gridSpan w:val="3"/>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500" w:type="dxa"/>
            <w:vAlign w:val="bottom"/>
            <w:shd w:val="clear" w:color="auto" w:fill="000000"/>
          </w:tcPr>
          <w:p>
            <w:pPr>
              <w:spacing w:after="0" w:line="20" w:lineRule="exact"/>
              <w:rPr>
                <w:sz w:val="1"/>
                <w:szCs w:val="1"/>
                <w:color w:val="auto"/>
              </w:rPr>
            </w:pPr>
          </w:p>
        </w:tc>
        <w:tc>
          <w:tcPr>
            <w:tcW w:w="540" w:type="dxa"/>
            <w:vAlign w:val="bottom"/>
            <w:vMerge w:val="restart"/>
          </w:tcPr>
          <w:p>
            <w:pPr>
              <w:spacing w:after="0" w:line="20" w:lineRule="exact"/>
              <w:rPr>
                <w:sz w:val="1"/>
                <w:szCs w:val="1"/>
                <w:color w:val="auto"/>
              </w:rPr>
            </w:pPr>
          </w:p>
        </w:tc>
        <w:tc>
          <w:tcPr>
            <w:tcW w:w="1540" w:type="dxa"/>
            <w:vAlign w:val="bottom"/>
            <w:shd w:val="clear" w:color="auto" w:fill="000000"/>
          </w:tcPr>
          <w:p>
            <w:pPr>
              <w:spacing w:after="0" w:line="20" w:lineRule="exact"/>
              <w:rPr>
                <w:sz w:val="1"/>
                <w:szCs w:val="1"/>
                <w:color w:val="auto"/>
              </w:rPr>
            </w:pPr>
          </w:p>
        </w:tc>
        <w:tc>
          <w:tcPr>
            <w:tcW w:w="82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5"/>
        </w:trPr>
        <w:tc>
          <w:tcPr>
            <w:tcW w:w="500" w:type="dxa"/>
            <w:vAlign w:val="bottom"/>
          </w:tcPr>
          <w:p>
            <w:pPr>
              <w:spacing w:after="0" w:line="195" w:lineRule="exact"/>
              <w:rPr>
                <w:sz w:val="20"/>
                <w:szCs w:val="20"/>
                <w:color w:val="auto"/>
              </w:rPr>
            </w:pPr>
            <w:r>
              <w:rPr>
                <w:rFonts w:ascii="Arial" w:cs="Arial" w:eastAsia="Arial" w:hAnsi="Arial"/>
                <w:sz w:val="18"/>
                <w:szCs w:val="18"/>
                <w:color w:val="auto"/>
              </w:rPr>
              <w:t>99.1</w:t>
            </w:r>
          </w:p>
        </w:tc>
        <w:tc>
          <w:tcPr>
            <w:tcW w:w="540" w:type="dxa"/>
            <w:vAlign w:val="bottom"/>
            <w:vMerge w:val="continue"/>
          </w:tcPr>
          <w:p>
            <w:pPr>
              <w:spacing w:after="0"/>
              <w:rPr>
                <w:sz w:val="16"/>
                <w:szCs w:val="16"/>
                <w:color w:val="auto"/>
              </w:rPr>
            </w:pPr>
          </w:p>
        </w:tc>
        <w:tc>
          <w:tcPr>
            <w:tcW w:w="9760" w:type="dxa"/>
            <w:vAlign w:val="bottom"/>
            <w:gridSpan w:val="2"/>
          </w:tcPr>
          <w:p>
            <w:pPr>
              <w:spacing w:after="0" w:line="195" w:lineRule="exact"/>
              <w:rPr>
                <w:sz w:val="20"/>
                <w:szCs w:val="20"/>
                <w:color w:val="auto"/>
              </w:rPr>
            </w:pPr>
            <w:r>
              <w:rPr>
                <w:rFonts w:ascii="Arial" w:cs="Arial" w:eastAsia="Arial" w:hAnsi="Arial"/>
                <w:sz w:val="18"/>
                <w:szCs w:val="18"/>
                <w:color w:val="auto"/>
              </w:rPr>
              <w:t>Textainer Group Holdings Limited 2020 Annual Report to Shareholders</w:t>
            </w:r>
          </w:p>
        </w:tc>
        <w:tc>
          <w:tcPr>
            <w:tcW w:w="0" w:type="dxa"/>
            <w:vAlign w:val="bottom"/>
          </w:tcPr>
          <w:p>
            <w:pPr>
              <w:spacing w:after="0"/>
              <w:rPr>
                <w:sz w:val="1"/>
                <w:szCs w:val="1"/>
                <w:color w:val="auto"/>
              </w:rPr>
            </w:pPr>
          </w:p>
        </w:tc>
      </w:tr>
      <w:tr>
        <w:trPr>
          <w:trHeight w:val="216"/>
        </w:trPr>
        <w:tc>
          <w:tcPr>
            <w:tcW w:w="500" w:type="dxa"/>
            <w:vAlign w:val="bottom"/>
          </w:tcPr>
          <w:p>
            <w:pPr>
              <w:spacing w:after="0"/>
              <w:rPr>
                <w:sz w:val="20"/>
                <w:szCs w:val="20"/>
                <w:color w:val="auto"/>
              </w:rPr>
            </w:pPr>
            <w:r>
              <w:rPr>
                <w:rFonts w:ascii="Arial" w:cs="Arial" w:eastAsia="Arial" w:hAnsi="Arial"/>
                <w:sz w:val="18"/>
                <w:szCs w:val="18"/>
                <w:color w:val="auto"/>
              </w:rPr>
              <w:t>99.2</w:t>
            </w:r>
          </w:p>
        </w:tc>
        <w:tc>
          <w:tcPr>
            <w:tcW w:w="10300" w:type="dxa"/>
            <w:vAlign w:val="bottom"/>
            <w:gridSpan w:val="3"/>
          </w:tcPr>
          <w:p>
            <w:pPr>
              <w:ind w:left="540"/>
              <w:spacing w:after="0"/>
              <w:rPr>
                <w:sz w:val="20"/>
                <w:szCs w:val="20"/>
                <w:color w:val="auto"/>
              </w:rPr>
            </w:pPr>
            <w:r>
              <w:rPr>
                <w:rFonts w:ascii="Arial" w:cs="Arial" w:eastAsia="Arial" w:hAnsi="Arial"/>
                <w:sz w:val="18"/>
                <w:szCs w:val="18"/>
                <w:color w:val="auto"/>
                <w:w w:val="91"/>
              </w:rPr>
              <w:t>Textainer Group Holdings Limited Notice of 2021 Annual General Meeting of Shareholders to be Held May 26, 2021, Proxy Statement</w:t>
            </w:r>
          </w:p>
        </w:tc>
        <w:tc>
          <w:tcPr>
            <w:tcW w:w="0" w:type="dxa"/>
            <w:vAlign w:val="bottom"/>
          </w:tcPr>
          <w:p>
            <w:pPr>
              <w:spacing w:after="0"/>
              <w:rPr>
                <w:sz w:val="1"/>
                <w:szCs w:val="1"/>
                <w:color w:val="auto"/>
              </w:rPr>
            </w:pPr>
          </w:p>
        </w:tc>
      </w:tr>
      <w:tr>
        <w:trPr>
          <w:trHeight w:val="230"/>
        </w:trPr>
        <w:tc>
          <w:tcPr>
            <w:tcW w:w="500" w:type="dxa"/>
            <w:vAlign w:val="bottom"/>
          </w:tcPr>
          <w:p>
            <w:pPr>
              <w:spacing w:after="0"/>
              <w:rPr>
                <w:sz w:val="20"/>
                <w:szCs w:val="20"/>
                <w:color w:val="auto"/>
              </w:rPr>
            </w:pPr>
          </w:p>
        </w:tc>
        <w:tc>
          <w:tcPr>
            <w:tcW w:w="10300" w:type="dxa"/>
            <w:vAlign w:val="bottom"/>
            <w:gridSpan w:val="3"/>
          </w:tcPr>
          <w:p>
            <w:pPr>
              <w:ind w:left="540"/>
              <w:spacing w:after="0"/>
              <w:rPr>
                <w:sz w:val="20"/>
                <w:szCs w:val="20"/>
                <w:color w:val="auto"/>
              </w:rPr>
            </w:pPr>
            <w:r>
              <w:rPr>
                <w:rFonts w:ascii="Arial" w:cs="Arial" w:eastAsia="Arial" w:hAnsi="Arial"/>
                <w:sz w:val="18"/>
                <w:szCs w:val="18"/>
                <w:color w:val="auto"/>
              </w:rPr>
              <w:t>and Form of Proxy Card</w:t>
            </w:r>
          </w:p>
        </w:tc>
        <w:tc>
          <w:tcPr>
            <w:tcW w:w="0" w:type="dxa"/>
            <w:vAlign w:val="bottom"/>
          </w:tcPr>
          <w:p>
            <w:pPr>
              <w:spacing w:after="0"/>
              <w:rPr>
                <w:sz w:val="1"/>
                <w:szCs w:val="1"/>
                <w:color w:val="auto"/>
              </w:rPr>
            </w:pPr>
          </w:p>
        </w:tc>
      </w:tr>
    </w:tbl>
    <w:p>
      <w:pPr>
        <w:spacing w:after="0"/>
        <w:rPr>
          <w:sz w:val="20"/>
          <w:szCs w:val="20"/>
          <w:color w:val="auto"/>
        </w:rPr>
        <w:sectPr>
          <w:pgSz w:w="11900" w:h="16838" w:orient="portrait"/>
          <w:cols w:equalWidth="0" w:num="1">
            <w:col w:w="10800"/>
          </w:cols>
          <w:pgMar w:left="440" w:top="270" w:right="659" w:bottom="1440" w:gutter="0" w:footer="0" w:header="0"/>
        </w:sect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p>
    <w:bookmarkStart w:id="4" w:name="page5"/>
    <w:bookmarkEnd w:id="4"/>
    <w:p>
      <w:pPr>
        <w:ind w:left="9080"/>
        <w:spacing w:after="0"/>
        <w:rPr>
          <w:sz w:val="20"/>
          <w:szCs w:val="20"/>
          <w:color w:val="auto"/>
        </w:rPr>
      </w:pPr>
      <w:r>
        <w:rPr>
          <w:rFonts w:ascii="Arial" w:cs="Arial" w:eastAsia="Arial" w:hAnsi="Arial"/>
          <w:sz w:val="16"/>
          <w:szCs w:val="16"/>
          <w:b w:val="1"/>
          <w:bCs w:val="1"/>
          <w:color w:val="auto"/>
        </w:rPr>
        <w:t>Exhibit 99.1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186055</wp:posOffset>
            </wp:positionV>
            <wp:extent cx="5726430" cy="74580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5726430" cy="7458075"/>
                    </a:xfrm>
                    <a:prstGeom prst="rect">
                      <a:avLst/>
                    </a:prstGeom>
                    <a:noFill/>
                  </pic:spPr>
                </pic:pic>
              </a:graphicData>
            </a:graphic>
          </wp:anchor>
        </w:drawing>
      </w:r>
    </w:p>
    <w:p>
      <w:pPr>
        <w:sectPr>
          <w:pgSz w:w="11900" w:h="16838" w:orient="portrait"/>
          <w:cols w:equalWidth="0" w:num="1">
            <w:col w:w="10020"/>
          </w:cols>
          <w:pgMar w:left="1440" w:top="121" w:right="439" w:bottom="1440" w:gutter="0" w:footer="0" w:header="0"/>
        </w:sectPr>
      </w:pPr>
    </w:p>
    <w:bookmarkStart w:id="5" w:name="page6"/>
    <w:bookmarkEnd w:id="5"/>
    <w:p>
      <w:pPr>
        <w:ind w:left="4"/>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174865" cy="38735"/>
                    </a:xfrm>
                    <a:prstGeom prst="rect">
                      <a:avLst/>
                    </a:prstGeom>
                    <a:noFill/>
                  </pic:spPr>
                </pic:pic>
              </a:graphicData>
            </a:graphic>
          </wp:anchor>
        </w:drawing>
        <w:t>FINANCIAL HIGHLIGHTS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34290</wp:posOffset>
            </wp:positionV>
            <wp:extent cx="6995160" cy="260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6995160" cy="26035"/>
                    </a:xfrm>
                    <a:prstGeom prst="rect">
                      <a:avLst/>
                    </a:prstGeom>
                    <a:noFill/>
                  </pic:spPr>
                </pic:pic>
              </a:graphicData>
            </a:graphic>
          </wp:anchor>
        </w:drawing>
      </w:r>
    </w:p>
    <w:p>
      <w:pPr>
        <w:sectPr>
          <w:pgSz w:w="11900" w:h="16838" w:orient="portrait"/>
          <w:cols w:equalWidth="0" w:num="1">
            <w:col w:w="10023"/>
          </w:cols>
          <w:pgMar w:left="436" w:top="270" w:right="1440" w:bottom="1440" w:gutter="0" w:footer="0" w:header="0"/>
        </w:sectPr>
      </w:pPr>
    </w:p>
    <w:p>
      <w:pPr>
        <w:spacing w:after="0" w:line="297" w:lineRule="exact"/>
        <w:rPr>
          <w:sz w:val="20"/>
          <w:szCs w:val="20"/>
          <w:color w:val="auto"/>
        </w:rPr>
      </w:pPr>
    </w:p>
    <w:p>
      <w:pPr>
        <w:ind w:left="4"/>
        <w:spacing w:after="0"/>
        <w:rPr>
          <w:sz w:val="20"/>
          <w:szCs w:val="20"/>
          <w:color w:val="auto"/>
        </w:rPr>
      </w:pPr>
      <w:r>
        <w:rPr>
          <w:rFonts w:ascii="Arial" w:cs="Arial" w:eastAsia="Arial" w:hAnsi="Arial"/>
          <w:sz w:val="18"/>
          <w:szCs w:val="18"/>
          <w:color w:val="auto"/>
        </w:rPr>
        <w:t>(All figures in U.S. dollars except for TEUs)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977265</wp:posOffset>
            </wp:positionH>
            <wp:positionV relativeFrom="paragraph">
              <wp:posOffset>168910</wp:posOffset>
            </wp:positionV>
            <wp:extent cx="5040630" cy="56064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5040630" cy="56064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ind w:left="4"/>
        <w:spacing w:after="0"/>
        <w:rPr>
          <w:sz w:val="20"/>
          <w:szCs w:val="20"/>
          <w:color w:val="auto"/>
        </w:rPr>
      </w:pPr>
      <w:r>
        <w:rPr>
          <w:rFonts w:ascii="Arial" w:cs="Arial" w:eastAsia="Arial" w:hAnsi="Arial"/>
          <w:sz w:val="18"/>
          <w:szCs w:val="18"/>
          <w:color w:val="auto"/>
        </w:rPr>
        <w:t xml:space="preserve">Additional information is available on the investor relations website – </w:t>
      </w:r>
      <w:r>
        <w:rPr>
          <w:rFonts w:ascii="Arial" w:cs="Arial" w:eastAsia="Arial" w:hAnsi="Arial"/>
          <w:sz w:val="18"/>
          <w:szCs w:val="18"/>
          <w:u w:val="single" w:color="auto"/>
          <w:color w:val="auto"/>
        </w:rPr>
        <w:t>http://investor.textainer.com/</w:t>
      </w:r>
    </w:p>
    <w:p>
      <w:pPr>
        <w:spacing w:after="0" w:line="225" w:lineRule="exact"/>
        <w:rPr>
          <w:sz w:val="20"/>
          <w:szCs w:val="20"/>
          <w:color w:val="auto"/>
        </w:rPr>
      </w:pPr>
    </w:p>
    <w:p>
      <w:pPr>
        <w:ind w:left="4"/>
        <w:spacing w:after="0"/>
        <w:rPr>
          <w:sz w:val="20"/>
          <w:szCs w:val="20"/>
          <w:color w:val="auto"/>
        </w:rPr>
      </w:pPr>
      <w:r>
        <w:rPr>
          <w:rFonts w:ascii="Arial" w:cs="Arial" w:eastAsia="Arial" w:hAnsi="Arial"/>
          <w:sz w:val="18"/>
          <w:szCs w:val="18"/>
          <w:u w:val="single" w:color="auto"/>
          <w:color w:val="auto"/>
        </w:rPr>
        <w:t>Note</w:t>
      </w:r>
      <w:r>
        <w:rPr>
          <w:rFonts w:ascii="Arial" w:cs="Arial" w:eastAsia="Arial" w:hAnsi="Arial"/>
          <w:sz w:val="18"/>
          <w:szCs w:val="18"/>
          <w:color w:val="auto"/>
        </w:rPr>
        <w:t>:</w:t>
      </w:r>
    </w:p>
    <w:p>
      <w:pPr>
        <w:spacing w:after="0" w:line="23" w:lineRule="exact"/>
        <w:rPr>
          <w:sz w:val="20"/>
          <w:szCs w:val="20"/>
          <w:color w:val="auto"/>
        </w:rPr>
      </w:pPr>
    </w:p>
    <w:p>
      <w:pPr>
        <w:ind w:left="424" w:hanging="424"/>
        <w:spacing w:after="0"/>
        <w:tabs>
          <w:tab w:leader="none" w:pos="424" w:val="left"/>
        </w:tabs>
        <w:numPr>
          <w:ilvl w:val="0"/>
          <w:numId w:val="1"/>
        </w:numPr>
        <w:rPr>
          <w:rFonts w:ascii="Arial" w:cs="Arial" w:eastAsia="Arial" w:hAnsi="Arial"/>
          <w:sz w:val="16"/>
          <w:szCs w:val="16"/>
          <w:color w:val="auto"/>
        </w:rPr>
      </w:pPr>
      <w:r>
        <w:rPr>
          <w:rFonts w:ascii="Arial" w:cs="Arial" w:eastAsia="Arial" w:hAnsi="Arial"/>
          <w:sz w:val="16"/>
          <w:szCs w:val="16"/>
          <w:color w:val="auto"/>
        </w:rPr>
        <w:t>Containers held by noncontrolling interests of our entities are excluded from “Owned” and included in “Managed”.</w:t>
      </w:r>
    </w:p>
    <w:p>
      <w:pPr>
        <w:sectPr>
          <w:pgSz w:w="11900" w:h="16838" w:orient="portrait"/>
          <w:cols w:equalWidth="0" w:num="1">
            <w:col w:w="10023"/>
          </w:cols>
          <w:pgMar w:left="436" w:top="270" w:right="1440" w:bottom="1440" w:gutter="0" w:footer="0" w:header="0"/>
          <w:type w:val="continuous"/>
        </w:sectPr>
      </w:pPr>
    </w:p>
    <w:bookmarkStart w:id="6" w:name="page7"/>
    <w:bookmarkEnd w:id="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10541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174865" cy="1054100"/>
                    </a:xfrm>
                    <a:prstGeom prst="rect">
                      <a:avLst/>
                    </a:prstGeom>
                    <a:noFill/>
                  </pic:spPr>
                </pic:pic>
              </a:graphicData>
            </a:graphic>
          </wp:anchor>
        </w:drawing>
      </w:r>
    </w:p>
    <w:p>
      <w:pPr>
        <w:spacing w:after="0" w:line="35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To Our Shareholders:</w:t>
      </w:r>
    </w:p>
    <w:p>
      <w:pPr>
        <w:spacing w:after="0" w:line="121" w:lineRule="exact"/>
        <w:rPr>
          <w:sz w:val="20"/>
          <w:szCs w:val="20"/>
          <w:color w:val="auto"/>
        </w:rPr>
      </w:pPr>
    </w:p>
    <w:p>
      <w:pPr>
        <w:ind w:right="180"/>
        <w:spacing w:after="0" w:line="277" w:lineRule="auto"/>
        <w:rPr>
          <w:sz w:val="20"/>
          <w:szCs w:val="20"/>
          <w:color w:val="auto"/>
        </w:rPr>
      </w:pPr>
      <w:r>
        <w:rPr>
          <w:rFonts w:ascii="Arial" w:cs="Arial" w:eastAsia="Arial" w:hAnsi="Arial"/>
          <w:sz w:val="18"/>
          <w:szCs w:val="18"/>
          <w:color w:val="auto"/>
        </w:rPr>
        <w:t>2020 for Textainer was a breakout and dramatic year. The year was defined by the Coronavirus pandemic which caused enormous uncertainty, tragedy and obstacles for our staff, customers and stakeholders. We are all hopeful that the worst is behind us.</w:t>
      </w:r>
    </w:p>
    <w:p>
      <w:pPr>
        <w:spacing w:after="0" w:line="170" w:lineRule="exact"/>
        <w:rPr>
          <w:sz w:val="20"/>
          <w:szCs w:val="20"/>
          <w:color w:val="auto"/>
        </w:rPr>
      </w:pPr>
    </w:p>
    <w:p>
      <w:pPr>
        <w:ind w:right="180"/>
        <w:spacing w:after="0" w:line="257" w:lineRule="auto"/>
        <w:rPr>
          <w:sz w:val="20"/>
          <w:szCs w:val="20"/>
          <w:color w:val="auto"/>
        </w:rPr>
      </w:pPr>
      <w:r>
        <w:rPr>
          <w:rFonts w:ascii="Arial" w:cs="Arial" w:eastAsia="Arial" w:hAnsi="Arial"/>
          <w:sz w:val="18"/>
          <w:szCs w:val="18"/>
          <w:color w:val="auto"/>
        </w:rPr>
        <w:t>While the first half of 2020 was filled with economic uncertainty, by the beginning of the third quarter, we anticipated a strong trade recovery and aggressively purchased containers at good prices to meet our customers’ needs. We invested over $1 billion in containers in 2020 and ordered an additional $925 million of containers for delivery in the first half of 2021. Most importantly, these containers were committed to long term leases with attractive returns. Our 2020 results benefitted from high utilization that allowed us to lower container storage expense, and from debt refinancings that significantly lowered our effective interest rate.</w:t>
      </w:r>
    </w:p>
    <w:p>
      <w:pPr>
        <w:spacing w:after="0" w:line="188" w:lineRule="exact"/>
        <w:rPr>
          <w:sz w:val="20"/>
          <w:szCs w:val="20"/>
          <w:color w:val="auto"/>
        </w:rPr>
      </w:pPr>
    </w:p>
    <w:p>
      <w:pPr>
        <w:ind w:right="420"/>
        <w:spacing w:after="0" w:line="277" w:lineRule="auto"/>
        <w:rPr>
          <w:sz w:val="20"/>
          <w:szCs w:val="20"/>
          <w:color w:val="auto"/>
        </w:rPr>
      </w:pPr>
      <w:r>
        <w:rPr>
          <w:rFonts w:ascii="Arial" w:cs="Arial" w:eastAsia="Arial" w:hAnsi="Arial"/>
          <w:sz w:val="18"/>
          <w:szCs w:val="18"/>
          <w:color w:val="auto"/>
        </w:rPr>
        <w:t>The share buyback program that commenced in September 2019 was expanded several times in 2020 and to- date we have repurchased 14% of our shares at very attractive prices.</w:t>
      </w:r>
    </w:p>
    <w:p>
      <w:pPr>
        <w:spacing w:after="0" w:line="170" w:lineRule="exact"/>
        <w:rPr>
          <w:sz w:val="20"/>
          <w:szCs w:val="20"/>
          <w:color w:val="auto"/>
        </w:rPr>
      </w:pPr>
    </w:p>
    <w:p>
      <w:pPr>
        <w:ind w:right="120"/>
        <w:spacing w:after="0" w:line="277" w:lineRule="auto"/>
        <w:rPr>
          <w:sz w:val="20"/>
          <w:szCs w:val="20"/>
          <w:color w:val="auto"/>
        </w:rPr>
      </w:pPr>
      <w:r>
        <w:rPr>
          <w:rFonts w:ascii="Arial" w:cs="Arial" w:eastAsia="Arial" w:hAnsi="Arial"/>
          <w:sz w:val="18"/>
          <w:szCs w:val="18"/>
          <w:color w:val="auto"/>
        </w:rPr>
        <w:t>Our shipping line customers also achieved significantly improved performance in 2020 helping to ease possible credit concerns. At the same time, they exhibited a strong preference to lease containers during 2020.</w:t>
      </w:r>
    </w:p>
    <w:p>
      <w:pPr>
        <w:spacing w:after="0" w:line="170" w:lineRule="exact"/>
        <w:rPr>
          <w:sz w:val="20"/>
          <w:szCs w:val="20"/>
          <w:color w:val="auto"/>
        </w:rPr>
      </w:pPr>
    </w:p>
    <w:p>
      <w:pPr>
        <w:ind w:right="20"/>
        <w:spacing w:after="0" w:line="257" w:lineRule="auto"/>
        <w:rPr>
          <w:sz w:val="20"/>
          <w:szCs w:val="20"/>
          <w:color w:val="auto"/>
        </w:rPr>
      </w:pPr>
      <w:r>
        <w:rPr>
          <w:rFonts w:ascii="Arial" w:cs="Arial" w:eastAsia="Arial" w:hAnsi="Arial"/>
          <w:sz w:val="18"/>
          <w:szCs w:val="18"/>
          <w:color w:val="auto"/>
        </w:rPr>
        <w:t>As we look to 2021, Textainer is on a strong sustainable footing to benefit as the Coronavirus pandemic hopefully recedes. Our disciplined container investments are already enhancing our lease revenue, net income and return on equity. Elevated cargo demand, container dislocation and port congestion should also support container demand in 2021, while container manufacturers appear to be sustaining higher container prices and production discipline. These factors coupled with high utilization, the potential for attractive lease extensions and high resale prices provide confidence in our view of continued financial performance improvement.</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Year in Review</w:t>
      </w:r>
    </w:p>
    <w:p>
      <w:pPr>
        <w:spacing w:after="0" w:line="121" w:lineRule="exact"/>
        <w:rPr>
          <w:sz w:val="20"/>
          <w:szCs w:val="20"/>
          <w:color w:val="auto"/>
        </w:rPr>
      </w:pPr>
    </w:p>
    <w:p>
      <w:pPr>
        <w:ind w:right="100"/>
        <w:spacing w:after="0" w:line="301" w:lineRule="auto"/>
        <w:rPr>
          <w:sz w:val="20"/>
          <w:szCs w:val="20"/>
          <w:color w:val="auto"/>
        </w:rPr>
      </w:pPr>
      <w:r>
        <w:rPr>
          <w:rFonts w:ascii="Arial" w:cs="Arial" w:eastAsia="Arial" w:hAnsi="Arial"/>
          <w:sz w:val="16"/>
          <w:szCs w:val="16"/>
          <w:color w:val="auto"/>
        </w:rPr>
        <w:t>As 2020 began we were cautiously optimistic as trade disputes between the US and China seemed partially resolved and new container prices were at $1900 per CEU. At the start of 2020, we saw evidence that shipping lines were running very tight container inventories, a positive sign for the year. As Coronavirus started to spread, canceled sailings and logistics disruptions commenced. When we reported results in February 2020, we indicated that while it was too early to assess the impact of Coronavirus, market disruptions have historically been good for container lessors when demand rebounds.</w:t>
      </w:r>
    </w:p>
    <w:p>
      <w:pPr>
        <w:spacing w:after="0" w:line="86"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TEXTAINER GROUP HOLDINGS LIMITED 2020 ANNUAL REPORT | 1</w:t>
      </w:r>
    </w:p>
    <w:p>
      <w:pPr>
        <w:sectPr>
          <w:pgSz w:w="11900" w:h="16838" w:orient="portrait"/>
          <w:cols w:equalWidth="0" w:num="1">
            <w:col w:w="11000"/>
          </w:cols>
          <w:pgMar w:left="440" w:top="1440" w:right="459" w:bottom="1440" w:gutter="0" w:footer="0" w:header="0"/>
        </w:sectPr>
      </w:pPr>
    </w:p>
    <w:bookmarkStart w:id="7" w:name="page8"/>
    <w:bookmarkEnd w:id="7"/>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TO OUR SHAREHOLDERS (continued)</w:t>
      </w:r>
    </w:p>
    <w:p>
      <w:pPr>
        <w:spacing w:after="0" w:line="162" w:lineRule="exact"/>
        <w:rPr>
          <w:sz w:val="20"/>
          <w:szCs w:val="20"/>
          <w:color w:val="auto"/>
        </w:rPr>
      </w:pPr>
    </w:p>
    <w:p>
      <w:pPr>
        <w:ind w:right="120"/>
        <w:spacing w:after="0" w:line="291" w:lineRule="auto"/>
        <w:rPr>
          <w:sz w:val="20"/>
          <w:szCs w:val="20"/>
          <w:color w:val="auto"/>
        </w:rPr>
      </w:pPr>
      <w:r>
        <w:rPr>
          <w:rFonts w:ascii="Arial" w:cs="Arial" w:eastAsia="Arial" w:hAnsi="Arial"/>
          <w:sz w:val="16"/>
          <w:szCs w:val="16"/>
          <w:color w:val="auto"/>
        </w:rPr>
        <w:t>As the first half of the year progressed, the world commenced quarantines and supply disruptions became global. Overall, global container trade during the first half of 2020 was approximately 7% lower as compared to the first half of 2019. There was limited lease-out demand for containers but by mid-June we noted an improvement in trade activity, leading to a market turnaround in lease-out demand in an environment of tight container inventories and logistics disruptions (that has continued into 2021). As we saw signs of the improving market, we acted aggressively to buy new containers. Container prices began accelerating in August from $2100 per CEU to approximately $2600 by November. Our early and significant purchases at these prices positioned us well as new container prices continued climbing to a current level of around $3500 per CEU. Shipping lines benefitted in the second half of 2020 from high cargo volumes and record freight rates and relied heavily on container lessors.</w:t>
      </w:r>
    </w:p>
    <w:p>
      <w:pPr>
        <w:spacing w:after="0" w:line="166" w:lineRule="exact"/>
        <w:rPr>
          <w:sz w:val="20"/>
          <w:szCs w:val="20"/>
          <w:color w:val="auto"/>
        </w:rPr>
      </w:pPr>
    </w:p>
    <w:p>
      <w:pPr>
        <w:spacing w:after="0" w:line="275" w:lineRule="auto"/>
        <w:rPr>
          <w:sz w:val="20"/>
          <w:szCs w:val="20"/>
          <w:color w:val="auto"/>
        </w:rPr>
      </w:pPr>
      <w:r>
        <w:rPr>
          <w:rFonts w:ascii="Arial" w:cs="Arial" w:eastAsia="Arial" w:hAnsi="Arial"/>
          <w:sz w:val="17"/>
          <w:szCs w:val="17"/>
          <w:color w:val="auto"/>
        </w:rPr>
        <w:t>New container rental rates were weak in the first half of 2020 given limited leasing demand and moderate new container prices. In the second half of the year new container rental rates increased with rapidly rising container prices and tight availability. In addition to rising rental rates, lease durations and terms significantly improved and in the fourth quarter we achieved a 10 year plus average new lease duration. Container utilization remained high even as trade significantly declined in the first half of the year with utilization averaging over 96% throughout the year and increasing to over 99% at year end as we also leased almost all available depot containers at steadily increasing rates.</w:t>
      </w:r>
    </w:p>
    <w:p>
      <w:pPr>
        <w:spacing w:after="0" w:line="176" w:lineRule="exact"/>
        <w:rPr>
          <w:sz w:val="20"/>
          <w:szCs w:val="20"/>
          <w:color w:val="auto"/>
        </w:rPr>
      </w:pPr>
    </w:p>
    <w:p>
      <w:pPr>
        <w:ind w:right="40"/>
        <w:spacing w:after="0" w:line="286" w:lineRule="auto"/>
        <w:rPr>
          <w:sz w:val="20"/>
          <w:szCs w:val="20"/>
          <w:color w:val="auto"/>
        </w:rPr>
      </w:pPr>
      <w:r>
        <w:rPr>
          <w:rFonts w:ascii="Arial" w:cs="Arial" w:eastAsia="Arial" w:hAnsi="Arial"/>
          <w:sz w:val="17"/>
          <w:szCs w:val="17"/>
          <w:color w:val="auto"/>
        </w:rPr>
        <w:t>Despite record high new container prices, factory production was disciplined as factories gradually increased production and faced their own constraints due to shortages of certain components. Additionally, production lead times significantly lengthened over the course of the year. Container factories produced 2.7 million TEU of new dry containers in 2020, a slight increase from the 2.5 million produced in 2019.</w:t>
      </w:r>
    </w:p>
    <w:p>
      <w:pPr>
        <w:spacing w:after="0" w:line="165" w:lineRule="exact"/>
        <w:rPr>
          <w:sz w:val="20"/>
          <w:szCs w:val="20"/>
          <w:color w:val="auto"/>
        </w:rPr>
      </w:pPr>
    </w:p>
    <w:p>
      <w:pPr>
        <w:jc w:val="both"/>
        <w:ind w:right="20"/>
        <w:spacing w:after="0" w:line="259" w:lineRule="auto"/>
        <w:rPr>
          <w:sz w:val="20"/>
          <w:szCs w:val="20"/>
          <w:color w:val="auto"/>
        </w:rPr>
      </w:pPr>
      <w:r>
        <w:rPr>
          <w:rFonts w:ascii="Arial" w:cs="Arial" w:eastAsia="Arial" w:hAnsi="Arial"/>
          <w:sz w:val="18"/>
          <w:szCs w:val="18"/>
          <w:color w:val="auto"/>
        </w:rPr>
        <w:t>Prices for used containers were fairly stable in the first half of the year but activity was limited as utilization remained stable at a high level and shipping lines were hesitant or unable to return containers during the pandemic. In the second half of the year used container prices rapidly accelerated in tandem with new container prices. Despite a moderate number of containers available to sell, we still achieved over $27 million in gains on used container sales in 2020.</w:t>
      </w:r>
    </w:p>
    <w:p>
      <w:pPr>
        <w:spacing w:after="0" w:line="187" w:lineRule="exact"/>
        <w:rPr>
          <w:sz w:val="20"/>
          <w:szCs w:val="20"/>
          <w:color w:val="auto"/>
        </w:rPr>
      </w:pPr>
    </w:p>
    <w:p>
      <w:pPr>
        <w:ind w:right="40"/>
        <w:spacing w:after="0" w:line="296" w:lineRule="auto"/>
        <w:rPr>
          <w:sz w:val="20"/>
          <w:szCs w:val="20"/>
          <w:color w:val="auto"/>
        </w:rPr>
      </w:pPr>
      <w:r>
        <w:rPr>
          <w:rFonts w:ascii="Arial" w:cs="Arial" w:eastAsia="Arial" w:hAnsi="Arial"/>
          <w:sz w:val="16"/>
          <w:szCs w:val="16"/>
          <w:color w:val="auto"/>
        </w:rPr>
        <w:t>As previously mentioned, we invested over $1 billion in containers in 2020, mostly in the second half of the year as demand increased. Given long production lead times and rapidly rising prices, we also moved quickly to order an additional $925 million of containers for delivery in 2021. Almost all of the new container investments for 2020 and 2021 are pre-committed to leases with high IRRs, long durations and tight container return provisions. These investments led to our fleet exceeding 4 million CEU by the end of 2020. In early January 2021, we purchased the 49.9% of our TAP Funding subsidiary that we did not already own, and following this transaction, we own 89.3% of our fleet, up from 85.4% at the end of 2019.</w:t>
      </w:r>
    </w:p>
    <w:p>
      <w:pPr>
        <w:spacing w:after="0" w:line="161" w:lineRule="exact"/>
        <w:rPr>
          <w:sz w:val="20"/>
          <w:szCs w:val="20"/>
          <w:color w:val="auto"/>
        </w:rPr>
      </w:pPr>
    </w:p>
    <w:p>
      <w:pPr>
        <w:ind w:right="200"/>
        <w:spacing w:after="0" w:line="308" w:lineRule="auto"/>
        <w:rPr>
          <w:sz w:val="20"/>
          <w:szCs w:val="20"/>
          <w:color w:val="auto"/>
        </w:rPr>
      </w:pPr>
      <w:r>
        <w:rPr>
          <w:rFonts w:ascii="Arial" w:cs="Arial" w:eastAsia="Arial" w:hAnsi="Arial"/>
          <w:sz w:val="17"/>
          <w:szCs w:val="17"/>
          <w:color w:val="auto"/>
        </w:rPr>
        <w:t>Adjusted net income for 2020 grew to $87.3 million or $1.63 per diluted common share, an increase from $55.4 million, or $0.96 per diluted common share in 2019. The strong recovery experienced in the second half of 2020 was largely responsible for the year’s income gains.</w:t>
      </w:r>
    </w:p>
    <w:p>
      <w:pPr>
        <w:spacing w:after="0" w:line="146"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Our balance sheet increased by over half a billion dollars in 2020 as container investments were deployed. However, our total interest expense including realized hedging costs for the year declined by $15.7 million, or 10.4%, as our substantial refinancing activities yielded immediate and ongoing savings. During 2020 we raised funds totaling $1,279 million with the issuance of asset-backed notes for both new investment and the refinancing of older higher rate notes. The notes issued in 2020 provide long-term fixed cost financing. We finished the year with a debt-to-equity ratio of 3.2:1 and approximately $635 million of available borrowing capacity in our facilities. We continue to believe that investing in our business will provide attractive long-term returns.</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TEXTAINER GROUP HOLDINGS LIMITED 2020 ANNUAL REPORT | 2</w:t>
      </w:r>
    </w:p>
    <w:p>
      <w:pPr>
        <w:sectPr>
          <w:pgSz w:w="11900" w:h="16838" w:orient="portrait"/>
          <w:cols w:equalWidth="0" w:num="1">
            <w:col w:w="11000"/>
          </w:cols>
          <w:pgMar w:left="440" w:top="270" w:right="459" w:bottom="1440" w:gutter="0" w:footer="0" w:header="0"/>
        </w:sectPr>
      </w:pPr>
    </w:p>
    <w:bookmarkStart w:id="8" w:name="page9"/>
    <w:bookmarkEnd w:id="8"/>
    <w:p>
      <w:pPr>
        <w:ind w:left="7840"/>
        <w:spacing w:after="0"/>
        <w:rPr>
          <w:sz w:val="20"/>
          <w:szCs w:val="20"/>
          <w:color w:val="auto"/>
        </w:rPr>
      </w:pPr>
      <w:r>
        <w:rPr>
          <w:rFonts w:ascii="Arial" w:cs="Arial" w:eastAsia="Arial" w:hAnsi="Arial"/>
          <w:sz w:val="17"/>
          <w:szCs w:val="17"/>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TO OUR SHAREHOLDERS (continued)</w:t>
      </w:r>
    </w:p>
    <w:p>
      <w:pPr>
        <w:spacing w:after="0" w:line="173" w:lineRule="exact"/>
        <w:rPr>
          <w:sz w:val="20"/>
          <w:szCs w:val="20"/>
          <w:color w:val="auto"/>
        </w:rPr>
      </w:pPr>
    </w:p>
    <w:p>
      <w:pPr>
        <w:ind w:right="80"/>
        <w:spacing w:after="0" w:line="279" w:lineRule="auto"/>
        <w:rPr>
          <w:sz w:val="20"/>
          <w:szCs w:val="20"/>
          <w:color w:val="auto"/>
        </w:rPr>
      </w:pPr>
      <w:r>
        <w:rPr>
          <w:rFonts w:ascii="Arial" w:cs="Arial" w:eastAsia="Arial" w:hAnsi="Arial"/>
          <w:sz w:val="17"/>
          <w:szCs w:val="17"/>
          <w:color w:val="auto"/>
        </w:rPr>
        <w:t>Our share repurchase program commenced in September 2019, and we aggressively repurchased shares during 2020 in order to return capital to shareholders and take advantage of periods when our shares were trading significantly below book value. In 2020 we repurchased 12% of our shares for an average price of $10.13 per share, and since the program commenced, we have repurchased 14% of our shares. We are very pleased with the share repurchase program, which we believe will continue to be highly beneficial to our shareholders.</w:t>
      </w:r>
    </w:p>
    <w:p>
      <w:pPr>
        <w:spacing w:after="0" w:line="171" w:lineRule="exact"/>
        <w:rPr>
          <w:sz w:val="20"/>
          <w:szCs w:val="20"/>
          <w:color w:val="auto"/>
        </w:rPr>
      </w:pPr>
    </w:p>
    <w:p>
      <w:pPr>
        <w:ind w:right="20"/>
        <w:spacing w:after="0" w:line="275" w:lineRule="auto"/>
        <w:rPr>
          <w:sz w:val="20"/>
          <w:szCs w:val="20"/>
          <w:color w:val="auto"/>
        </w:rPr>
      </w:pPr>
      <w:r>
        <w:rPr>
          <w:rFonts w:ascii="Arial" w:cs="Arial" w:eastAsia="Arial" w:hAnsi="Arial"/>
          <w:sz w:val="17"/>
          <w:szCs w:val="17"/>
          <w:color w:val="auto"/>
        </w:rPr>
        <w:t>We remain focused on driving shareholder value creation for the long-term. We believe that Textainer has turned an important corner in improving business profitability. In 2020, we continued working on cost reductions and greater efficiencies and built on 2019’s double digit reductions in administrative expense and direct container expense with further material reductions in direct container expense and substantial interest expense savings. Additionally, our aggressive investment in new containers in 2020 and commitments for 2021 have set a strong foundation for profitable revenue growth with very long-term leases at double-digit average cash-on-cash yields and with very attractive IRRs.</w:t>
      </w:r>
    </w:p>
    <w:p>
      <w:pPr>
        <w:spacing w:after="0" w:line="2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Outlook</w:t>
      </w:r>
    </w:p>
    <w:p>
      <w:pPr>
        <w:spacing w:after="0" w:line="121" w:lineRule="exact"/>
        <w:rPr>
          <w:sz w:val="20"/>
          <w:szCs w:val="20"/>
          <w:color w:val="auto"/>
        </w:rPr>
      </w:pPr>
    </w:p>
    <w:p>
      <w:pPr>
        <w:ind w:right="20"/>
        <w:spacing w:after="0" w:line="259" w:lineRule="auto"/>
        <w:rPr>
          <w:sz w:val="20"/>
          <w:szCs w:val="20"/>
          <w:color w:val="auto"/>
        </w:rPr>
      </w:pPr>
      <w:r>
        <w:rPr>
          <w:rFonts w:ascii="Arial" w:cs="Arial" w:eastAsia="Arial" w:hAnsi="Arial"/>
          <w:sz w:val="18"/>
          <w:szCs w:val="18"/>
          <w:color w:val="auto"/>
        </w:rPr>
        <w:t>In last year’s letter we predicted that if the pandemic was contained within a few months, there could be significant lease-out activity in the second half of 2020 as shipping lines found themselves short of equipment to meet pent-up demand. While the pandemic was not contained in just a few months, the second half demand rebound certainly did occur. Our aggressive investment led to improved performance in 2020 and set a foundation for continued strength in 2021 and future years.</w:t>
      </w:r>
    </w:p>
    <w:p>
      <w:pPr>
        <w:spacing w:after="0" w:line="187" w:lineRule="exact"/>
        <w:rPr>
          <w:sz w:val="20"/>
          <w:szCs w:val="20"/>
          <w:color w:val="auto"/>
        </w:rPr>
      </w:pPr>
    </w:p>
    <w:p>
      <w:pPr>
        <w:jc w:val="both"/>
        <w:ind w:right="40"/>
        <w:spacing w:after="0" w:line="259" w:lineRule="auto"/>
        <w:rPr>
          <w:sz w:val="20"/>
          <w:szCs w:val="20"/>
          <w:color w:val="auto"/>
        </w:rPr>
      </w:pPr>
      <w:r>
        <w:rPr>
          <w:rFonts w:ascii="Arial" w:cs="Arial" w:eastAsia="Arial" w:hAnsi="Arial"/>
          <w:sz w:val="18"/>
          <w:szCs w:val="18"/>
          <w:color w:val="auto"/>
        </w:rPr>
        <w:t>In 2021, we will continue to be focused on our long-term strategy. While macro uncertainty from the pandemic remains, strong market fundamentals are in place. We expect cargo volumes to remain elevated in the near term, boosted by e-commerce, the continued spending shift from services to consumer goods and increased trade from globally recovering economies. Higher cargo volumes, along with continued port congestion and container dislocations, should support container demand in 2021.</w:t>
      </w:r>
    </w:p>
    <w:p>
      <w:pPr>
        <w:spacing w:after="0" w:line="187" w:lineRule="exact"/>
        <w:rPr>
          <w:sz w:val="20"/>
          <w:szCs w:val="20"/>
          <w:color w:val="auto"/>
        </w:rPr>
      </w:pPr>
    </w:p>
    <w:p>
      <w:pPr>
        <w:ind w:right="480"/>
        <w:spacing w:after="0" w:line="342" w:lineRule="auto"/>
        <w:rPr>
          <w:sz w:val="20"/>
          <w:szCs w:val="20"/>
          <w:color w:val="auto"/>
        </w:rPr>
      </w:pPr>
      <w:r>
        <w:rPr>
          <w:rFonts w:ascii="Arial" w:cs="Arial" w:eastAsia="Arial" w:hAnsi="Arial"/>
          <w:sz w:val="16"/>
          <w:szCs w:val="16"/>
          <w:color w:val="auto"/>
        </w:rPr>
        <w:t>We expect container prices to remain high as container manufacturers are in a strong position to protect current prices while production capacity is virtually sold out for the first half of the year and pressure to increase production is tempered by shortages of certain container components.</w:t>
      </w:r>
    </w:p>
    <w:p>
      <w:pPr>
        <w:spacing w:after="0" w:line="124" w:lineRule="exact"/>
        <w:rPr>
          <w:sz w:val="20"/>
          <w:szCs w:val="20"/>
          <w:color w:val="auto"/>
        </w:rPr>
      </w:pPr>
    </w:p>
    <w:p>
      <w:pPr>
        <w:ind w:right="20"/>
        <w:spacing w:after="0" w:line="259" w:lineRule="auto"/>
        <w:rPr>
          <w:sz w:val="20"/>
          <w:szCs w:val="20"/>
          <w:color w:val="auto"/>
        </w:rPr>
      </w:pPr>
      <w:r>
        <w:rPr>
          <w:rFonts w:ascii="Arial" w:cs="Arial" w:eastAsia="Arial" w:hAnsi="Arial"/>
          <w:sz w:val="18"/>
          <w:szCs w:val="18"/>
          <w:color w:val="auto"/>
        </w:rPr>
        <w:t>The very high price levels for, and limited availability of, new containers will continue to support the value of our existing container fleet and support used container prices and lease rates. We are seeing historically high prices for well-located used containers as shippers are willing to pay a premium to secure containers for their cargo. While this situation may not persist for all of 2021, we expect strong used container prices to continue as the traditional buyers of used containers have limited inventory and will return to the market.</w:t>
      </w:r>
    </w:p>
    <w:p>
      <w:pPr>
        <w:spacing w:after="0" w:line="187" w:lineRule="exact"/>
        <w:rPr>
          <w:sz w:val="20"/>
          <w:szCs w:val="20"/>
          <w:color w:val="auto"/>
        </w:rPr>
      </w:pPr>
    </w:p>
    <w:p>
      <w:pPr>
        <w:ind w:right="20"/>
        <w:spacing w:after="0" w:line="263" w:lineRule="auto"/>
        <w:rPr>
          <w:sz w:val="20"/>
          <w:szCs w:val="20"/>
          <w:color w:val="auto"/>
        </w:rPr>
      </w:pPr>
      <w:r>
        <w:rPr>
          <w:rFonts w:ascii="Arial" w:cs="Arial" w:eastAsia="Arial" w:hAnsi="Arial"/>
          <w:sz w:val="18"/>
          <w:szCs w:val="18"/>
          <w:color w:val="auto"/>
        </w:rPr>
        <w:t>High container prices and limited supply have also strengthened our position for extending expiring leases. In the fourth quarter of 2020 we extended the maturing leases for over 280,000 CEU on favorable terms. Attractive lease extensions for older, lower rate leases in 2021 should contribute to revenue growth.</w:t>
      </w:r>
    </w:p>
    <w:p>
      <w:pPr>
        <w:spacing w:after="0" w:line="184" w:lineRule="exact"/>
        <w:rPr>
          <w:sz w:val="20"/>
          <w:szCs w:val="20"/>
          <w:color w:val="auto"/>
        </w:rPr>
      </w:pPr>
    </w:p>
    <w:p>
      <w:pPr>
        <w:ind w:right="60"/>
        <w:spacing w:after="0" w:line="273" w:lineRule="auto"/>
        <w:rPr>
          <w:sz w:val="20"/>
          <w:szCs w:val="20"/>
          <w:color w:val="auto"/>
        </w:rPr>
      </w:pPr>
      <w:r>
        <w:rPr>
          <w:rFonts w:ascii="Arial" w:cs="Arial" w:eastAsia="Arial" w:hAnsi="Arial"/>
          <w:sz w:val="17"/>
          <w:szCs w:val="17"/>
          <w:color w:val="auto"/>
        </w:rPr>
        <w:t>Major shipping lines attained dramatically improved financial performance in 2020 as the freight rates and cargo demand the industry enjoyed in the second half of the year more than offset the first half impact of canceled sailings. Shipping lines relied heavily on container lessors in 2020, with lessors buying approximately two-thirds of container production, well above the typical recent market share of around 50 to 60%. In 2021 we expect shipping lines may use some of their increased profitability to purchase more containers, however shipping lines have many demands on their liquidity, including deleveraging, vessels, port operations and logistics services. Additionally, given the significant increase in the price of containers and the strong container demand, lessors will still likely purchase the majority of the containers produced in 2021.</w:t>
      </w:r>
    </w:p>
    <w:p>
      <w:pPr>
        <w:spacing w:after="0" w:line="106" w:lineRule="exact"/>
        <w:rPr>
          <w:sz w:val="20"/>
          <w:szCs w:val="20"/>
          <w:color w:val="auto"/>
        </w:rPr>
      </w:pPr>
    </w:p>
    <w:p>
      <w:pPr>
        <w:ind w:left="5180"/>
        <w:spacing w:after="0"/>
        <w:rPr>
          <w:sz w:val="20"/>
          <w:szCs w:val="20"/>
          <w:color w:val="auto"/>
        </w:rPr>
      </w:pPr>
      <w:r>
        <w:rPr>
          <w:rFonts w:ascii="Arial" w:cs="Arial" w:eastAsia="Arial" w:hAnsi="Arial"/>
          <w:sz w:val="18"/>
          <w:szCs w:val="18"/>
          <w:b w:val="1"/>
          <w:bCs w:val="1"/>
          <w:color w:val="auto"/>
        </w:rPr>
        <w:t>TEXTAINER GROUP HOLDINGS LIMITED 2020 ANNUAL REPORT | 3</w:t>
      </w:r>
    </w:p>
    <w:p>
      <w:pPr>
        <w:sectPr>
          <w:pgSz w:w="11900" w:h="16838" w:orient="portrait"/>
          <w:cols w:equalWidth="0" w:num="1">
            <w:col w:w="11020"/>
          </w:cols>
          <w:pgMar w:left="440" w:top="270" w:right="439" w:bottom="1440" w:gutter="0" w:footer="0" w:header="0"/>
        </w:sectPr>
      </w:pPr>
    </w:p>
    <w:bookmarkStart w:id="9" w:name="page10"/>
    <w:bookmarkEnd w:id="9"/>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TO OUR SHAREHOLDERS (continued)</w:t>
      </w:r>
    </w:p>
    <w:p>
      <w:pPr>
        <w:spacing w:after="0" w:line="162" w:lineRule="exact"/>
        <w:rPr>
          <w:sz w:val="20"/>
          <w:szCs w:val="20"/>
          <w:color w:val="auto"/>
        </w:rPr>
      </w:pPr>
    </w:p>
    <w:p>
      <w:pPr>
        <w:ind w:right="320"/>
        <w:spacing w:after="0" w:line="311" w:lineRule="auto"/>
        <w:rPr>
          <w:sz w:val="20"/>
          <w:szCs w:val="20"/>
          <w:color w:val="auto"/>
        </w:rPr>
      </w:pPr>
      <w:r>
        <w:rPr>
          <w:rFonts w:ascii="Arial" w:cs="Arial" w:eastAsia="Arial" w:hAnsi="Arial"/>
          <w:sz w:val="16"/>
          <w:szCs w:val="16"/>
          <w:color w:val="auto"/>
        </w:rPr>
        <w:t>High container prices and strong demand may test the ability of lessors to finance the supply required by shipping lines. Textainer’s 2020 debt financings noted above coupled with an additional $1.2 billion in debt financings in early 2021, plus our issuance of $150 million of non-convertible perpetual preferred stock in April 2021, will assure our customers that we are ready to be their first call for containers in 2021 and beyond.</w:t>
      </w:r>
    </w:p>
    <w:p>
      <w:pPr>
        <w:spacing w:after="0" w:line="149" w:lineRule="exact"/>
        <w:rPr>
          <w:sz w:val="20"/>
          <w:szCs w:val="20"/>
          <w:color w:val="auto"/>
        </w:rPr>
      </w:pPr>
    </w:p>
    <w:p>
      <w:pPr>
        <w:ind w:right="140"/>
        <w:spacing w:after="0" w:line="263" w:lineRule="auto"/>
        <w:rPr>
          <w:sz w:val="20"/>
          <w:szCs w:val="20"/>
          <w:color w:val="auto"/>
        </w:rPr>
      </w:pPr>
      <w:r>
        <w:rPr>
          <w:rFonts w:ascii="Arial" w:cs="Arial" w:eastAsia="Arial" w:hAnsi="Arial"/>
          <w:sz w:val="18"/>
          <w:szCs w:val="18"/>
          <w:color w:val="auto"/>
        </w:rPr>
        <w:t>For 2021 we believe we will be able to build on the dramatically improved financial performance we delivered in the second half of 2020. We will continue to execute against our long-term plan to further improve our business to be best-in-class and improve profitability and returns through organic growth and disciplined repricing and extensions of existing leases.</w:t>
      </w:r>
    </w:p>
    <w:p>
      <w:pPr>
        <w:spacing w:after="0" w:line="184" w:lineRule="exact"/>
        <w:rPr>
          <w:sz w:val="20"/>
          <w:szCs w:val="20"/>
          <w:color w:val="auto"/>
        </w:rPr>
      </w:pPr>
    </w:p>
    <w:p>
      <w:pPr>
        <w:spacing w:after="0" w:line="273" w:lineRule="auto"/>
        <w:rPr>
          <w:sz w:val="20"/>
          <w:szCs w:val="20"/>
          <w:color w:val="auto"/>
        </w:rPr>
      </w:pPr>
      <w:r>
        <w:rPr>
          <w:rFonts w:ascii="Arial" w:cs="Arial" w:eastAsia="Arial" w:hAnsi="Arial"/>
          <w:sz w:val="17"/>
          <w:szCs w:val="17"/>
          <w:color w:val="auto"/>
        </w:rPr>
        <w:t>At the end of 2019, Textainer dual listed our common shares on the Johannesburg Stock Exchange and Trencor Limited, the former holder of 48% of our common shares, ultimately distributed all of its holdings to Trencor’s shareholders. Consistent with our transition from being a company with a controlling shareholder to having a wide shareholder base, changes are occurring with the membership of our Board of Directors. In 2020, lain Brown retired from our Board and we welcomed Grace Tang, a former PWC audit partner who primarily practiced in China and Hong Kong. At our upcoming May 2021 Annual Meeting, Hennie Van der Merwe, the Chief Executive Officer of Trencor, will retire from the board. We are most grateful for the many contributions Trencor and its board members have made to Textainer in all the years since their initial investment in 1985.</w:t>
      </w:r>
    </w:p>
    <w:p>
      <w:pPr>
        <w:spacing w:after="0" w:line="178" w:lineRule="exact"/>
        <w:rPr>
          <w:sz w:val="20"/>
          <w:szCs w:val="20"/>
          <w:color w:val="auto"/>
        </w:rPr>
      </w:pPr>
    </w:p>
    <w:p>
      <w:pPr>
        <w:ind w:right="260"/>
        <w:spacing w:after="0" w:line="286" w:lineRule="auto"/>
        <w:rPr>
          <w:sz w:val="20"/>
          <w:szCs w:val="20"/>
          <w:color w:val="auto"/>
        </w:rPr>
      </w:pPr>
      <w:r>
        <w:rPr>
          <w:rFonts w:ascii="Arial" w:cs="Arial" w:eastAsia="Arial" w:hAnsi="Arial"/>
          <w:sz w:val="17"/>
          <w:szCs w:val="17"/>
          <w:color w:val="auto"/>
        </w:rPr>
        <w:t>We have nominated for election as new directors, James Earl, a former executive with GATX, a railcar lessor, and a current Board member at Harsco, and Cynthia Hostetler, a financial executive with significant public company board and corporate governance experience. We will be pleased to welcome these new members to the Board. They bring broad business experience and perspectives from outside our industry.</w:t>
      </w:r>
    </w:p>
    <w:p>
      <w:pPr>
        <w:spacing w:after="0" w:line="2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 Conclusion</w:t>
      </w:r>
    </w:p>
    <w:p>
      <w:pPr>
        <w:spacing w:after="0" w:line="121" w:lineRule="exact"/>
        <w:rPr>
          <w:sz w:val="20"/>
          <w:szCs w:val="20"/>
          <w:color w:val="auto"/>
        </w:rPr>
      </w:pPr>
    </w:p>
    <w:p>
      <w:pPr>
        <w:ind w:right="220"/>
        <w:spacing w:after="0" w:line="259" w:lineRule="auto"/>
        <w:rPr>
          <w:sz w:val="20"/>
          <w:szCs w:val="20"/>
          <w:color w:val="auto"/>
        </w:rPr>
      </w:pPr>
      <w:r>
        <w:rPr>
          <w:rFonts w:ascii="Arial" w:cs="Arial" w:eastAsia="Arial" w:hAnsi="Arial"/>
          <w:sz w:val="18"/>
          <w:szCs w:val="18"/>
          <w:color w:val="auto"/>
        </w:rPr>
        <w:t>For over 40 years we have successfully navigated through both strong and weak markets in this cyclical business. The current pandemic has been a unique challenge and we owe a huge thank you to our management and employees for rapidly adapting to working remotely. They handled record container production orders and lease-outs, ongoing IT improvement projects, numerous debt financings, as well as the regular day-to-day operational matters of our business impressively, professionally and with great dedication.</w:t>
      </w:r>
    </w:p>
    <w:p>
      <w:pPr>
        <w:spacing w:after="0" w:line="11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TEXTAINER GROUP HOLDINGS LIMITED 2020 ANNUAL REPORT | 4</w:t>
      </w:r>
    </w:p>
    <w:p>
      <w:pPr>
        <w:sectPr>
          <w:pgSz w:w="11900" w:h="16838" w:orient="portrait"/>
          <w:cols w:equalWidth="0" w:num="1">
            <w:col w:w="11020"/>
          </w:cols>
          <w:pgMar w:left="440" w:top="270" w:right="439" w:bottom="1440" w:gutter="0" w:footer="0" w:header="0"/>
        </w:sectPr>
      </w:pPr>
    </w:p>
    <w:bookmarkStart w:id="10" w:name="page11"/>
    <w:bookmarkEnd w:id="10"/>
    <w:p>
      <w:pPr>
        <w:ind w:left="7840"/>
        <w:spacing w:after="0"/>
        <w:rPr>
          <w:sz w:val="20"/>
          <w:szCs w:val="20"/>
          <w:color w:val="auto"/>
        </w:rPr>
      </w:pPr>
      <w:r>
        <w:rPr>
          <w:rFonts w:ascii="Arial" w:cs="Arial" w:eastAsia="Arial" w:hAnsi="Arial"/>
          <w:sz w:val="17"/>
          <w:szCs w:val="17"/>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TO OUR SHAREHOLDERS (continued)</w:t>
      </w:r>
    </w:p>
    <w:p>
      <w:pPr>
        <w:spacing w:after="0" w:line="173" w:lineRule="exact"/>
        <w:rPr>
          <w:sz w:val="20"/>
          <w:szCs w:val="20"/>
          <w:color w:val="auto"/>
        </w:rPr>
      </w:pPr>
    </w:p>
    <w:p>
      <w:pPr>
        <w:spacing w:after="0"/>
        <w:rPr>
          <w:sz w:val="20"/>
          <w:szCs w:val="20"/>
          <w:color w:val="auto"/>
        </w:rPr>
      </w:pPr>
      <w:r>
        <w:rPr>
          <w:rFonts w:ascii="Arial" w:cs="Arial" w:eastAsia="Arial" w:hAnsi="Arial"/>
          <w:sz w:val="18"/>
          <w:szCs w:val="18"/>
          <w:color w:val="auto"/>
        </w:rPr>
        <w:t>We would also like to thank our valued customers. We know you have choices and we greatly appreciate your business.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Finally, thank you to you, our shareholders. We are ever mindful of your expectations and your trust in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168910</wp:posOffset>
            </wp:positionV>
            <wp:extent cx="2219960" cy="9086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2219960" cy="908685"/>
                    </a:xfrm>
                    <a:prstGeom prst="rect">
                      <a:avLst/>
                    </a:prstGeom>
                    <a:noFill/>
                  </pic:spPr>
                </pic:pic>
              </a:graphicData>
            </a:graphic>
          </wp:anchor>
        </w:drawing>
        <w:drawing>
          <wp:anchor simplePos="0" relativeHeight="251657728" behindDoc="1" locked="0" layoutInCell="0" allowOverlap="1">
            <wp:simplePos x="0" y="0"/>
            <wp:positionH relativeFrom="column">
              <wp:posOffset>3709035</wp:posOffset>
            </wp:positionH>
            <wp:positionV relativeFrom="paragraph">
              <wp:posOffset>168910</wp:posOffset>
            </wp:positionV>
            <wp:extent cx="1783080" cy="6775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1783080" cy="677545"/>
                    </a:xfrm>
                    <a:prstGeom prst="rect">
                      <a:avLst/>
                    </a:prstGeom>
                    <a:noFill/>
                  </pic:spPr>
                </pic:pic>
              </a:graphicData>
            </a:graphic>
          </wp:anchor>
        </w:drawing>
      </w:r>
    </w:p>
    <w:p>
      <w:pPr>
        <w:sectPr>
          <w:pgSz w:w="11900" w:h="16838" w:orient="portrait"/>
          <w:cols w:equalWidth="0" w:num="1">
            <w:col w:w="11020"/>
          </w:cols>
          <w:pgMar w:left="440" w:top="270" w:right="4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spacing w:after="0"/>
        <w:rPr>
          <w:sz w:val="20"/>
          <w:szCs w:val="20"/>
          <w:color w:val="auto"/>
        </w:rPr>
      </w:pPr>
      <w:r>
        <w:rPr>
          <w:rFonts w:ascii="Arial" w:cs="Arial" w:eastAsia="Arial" w:hAnsi="Arial"/>
          <w:sz w:val="18"/>
          <w:szCs w:val="18"/>
          <w:color w:val="auto"/>
        </w:rPr>
        <w:t>Hyman Shwiel</w:t>
      </w:r>
    </w:p>
    <w:p>
      <w:pPr>
        <w:spacing w:after="0" w:line="23" w:lineRule="exact"/>
        <w:rPr>
          <w:sz w:val="20"/>
          <w:szCs w:val="20"/>
          <w:color w:val="auto"/>
        </w:rPr>
      </w:pPr>
    </w:p>
    <w:p>
      <w:pPr>
        <w:spacing w:after="0"/>
        <w:rPr>
          <w:sz w:val="20"/>
          <w:szCs w:val="20"/>
          <w:color w:val="auto"/>
        </w:rPr>
      </w:pPr>
      <w:r>
        <w:rPr>
          <w:rFonts w:ascii="Arial" w:cs="Arial" w:eastAsia="Arial" w:hAnsi="Arial"/>
          <w:sz w:val="17"/>
          <w:szCs w:val="17"/>
          <w:color w:val="auto"/>
        </w:rPr>
        <w:t>CHAIRMAN OF THE BOARD</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spacing w:after="0"/>
        <w:rPr>
          <w:sz w:val="20"/>
          <w:szCs w:val="20"/>
          <w:color w:val="auto"/>
        </w:rPr>
      </w:pPr>
      <w:r>
        <w:rPr>
          <w:rFonts w:ascii="Arial" w:cs="Arial" w:eastAsia="Arial" w:hAnsi="Arial"/>
          <w:sz w:val="18"/>
          <w:szCs w:val="18"/>
          <w:color w:val="auto"/>
        </w:rPr>
        <w:t>Olivier Ghesquiere</w:t>
      </w:r>
    </w:p>
    <w:p>
      <w:pPr>
        <w:spacing w:after="0" w:line="23" w:lineRule="exact"/>
        <w:rPr>
          <w:sz w:val="20"/>
          <w:szCs w:val="20"/>
          <w:color w:val="auto"/>
        </w:rPr>
      </w:pPr>
    </w:p>
    <w:p>
      <w:pPr>
        <w:spacing w:after="0"/>
        <w:rPr>
          <w:sz w:val="20"/>
          <w:szCs w:val="20"/>
          <w:color w:val="auto"/>
        </w:rPr>
      </w:pPr>
      <w:r>
        <w:rPr>
          <w:rFonts w:ascii="Arial" w:cs="Arial" w:eastAsia="Arial" w:hAnsi="Arial"/>
          <w:sz w:val="17"/>
          <w:szCs w:val="17"/>
          <w:color w:val="auto"/>
        </w:rPr>
        <w:t>PRESIDENT AND CHIEF EXECUTIVE OFFICER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-3710305</wp:posOffset>
            </wp:positionH>
            <wp:positionV relativeFrom="paragraph">
              <wp:posOffset>193040</wp:posOffset>
            </wp:positionV>
            <wp:extent cx="6995160" cy="254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6995160" cy="2540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5120" w:space="720"/>
            <w:col w:w="5180"/>
          </w:cols>
          <w:pgMar w:left="440" w:top="270" w:right="439" w:bottom="1440" w:gutter="0" w:footer="0" w:header="0"/>
          <w:type w:val="continuous"/>
        </w:sectPr>
      </w:pPr>
    </w:p>
    <w:p>
      <w:pPr>
        <w:spacing w:after="0" w:line="346" w:lineRule="exact"/>
        <w:rPr>
          <w:sz w:val="20"/>
          <w:szCs w:val="20"/>
          <w:color w:val="auto"/>
        </w:rPr>
      </w:pPr>
    </w:p>
    <w:p>
      <w:pPr>
        <w:ind w:right="20"/>
        <w:spacing w:after="0" w:line="288" w:lineRule="auto"/>
        <w:rPr>
          <w:sz w:val="20"/>
          <w:szCs w:val="20"/>
          <w:color w:val="auto"/>
        </w:rPr>
      </w:pPr>
      <w:r>
        <w:rPr>
          <w:rFonts w:ascii="Arial" w:cs="Arial" w:eastAsia="Arial" w:hAnsi="Arial"/>
          <w:sz w:val="16"/>
          <w:szCs w:val="16"/>
          <w:color w:val="auto"/>
        </w:rPr>
        <w:t>This Annual Report contains forward-looking statements within the meaning of U.S. securities laws. Forward-looking statements include statements that are not statements of historical facts and include without limitation statements regarding expected container demand in 2021; continued high container prices in 2021; continued high utilization and high cargo volumes; the occurrence of attractive lease extensions and high used container prices; continued financial performance improvement, return enhancement and attractive long-term returns; benefits from our share repurchase program; lease revenue growth in 2021; the increasing value of our existing container fleet; purchases of containers by shipping lines in 2021 and the share of containers purchased by lessors, as well as assumptions relating to the foregoing. In some cases, you can identify forward-looking statements by terminology such as “may,” “will,” “should,” “could,” “expect,” “plan,” “anticipate,” “believe,” “estimate,” “predict,” “intend,” “potential,” “continue” or the negative of these terms or other similar terminology. Readers are cautioned that these forward-looking statements involve risks and uncertainties, are only predictions and may differ materially from actual future events or results. For a discussion of such risks and uncertainties, see Item 3, “Key Information-Risk Factors” in Textainer’s Annual Report on Form 20-F filed with the Securities and Exchange Commission on March 18, 2021.</w:t>
      </w:r>
    </w:p>
    <w:p>
      <w:pPr>
        <w:spacing w:after="0" w:line="168" w:lineRule="exact"/>
        <w:rPr>
          <w:sz w:val="20"/>
          <w:szCs w:val="20"/>
          <w:color w:val="auto"/>
        </w:rPr>
      </w:pPr>
    </w:p>
    <w:p>
      <w:pPr>
        <w:ind w:right="80"/>
        <w:spacing w:after="0" w:line="263" w:lineRule="auto"/>
        <w:rPr>
          <w:sz w:val="20"/>
          <w:szCs w:val="20"/>
          <w:color w:val="auto"/>
        </w:rPr>
      </w:pPr>
      <w:r>
        <w:rPr>
          <w:rFonts w:ascii="Arial" w:cs="Arial" w:eastAsia="Arial" w:hAnsi="Arial"/>
          <w:sz w:val="18"/>
          <w:szCs w:val="18"/>
          <w:color w:val="auto"/>
        </w:rPr>
        <w:t>Textainer’s views, estimates, plans and outlook as described within this Annual Report may change subsequent to the release of this Annual Report, Textainer is under no obligation to modify or update any or all the statements it has made herein despite any subsequent changes Textainer may make in its views, estimates, plans or outlook for the future.</w:t>
      </w:r>
    </w:p>
    <w:p>
      <w:pPr>
        <w:spacing w:after="0" w:line="184" w:lineRule="exact"/>
        <w:rPr>
          <w:sz w:val="20"/>
          <w:szCs w:val="20"/>
          <w:color w:val="auto"/>
        </w:rPr>
      </w:pPr>
    </w:p>
    <w:p>
      <w:pPr>
        <w:jc w:val="both"/>
        <w:ind w:right="120"/>
        <w:spacing w:after="0" w:line="263" w:lineRule="auto"/>
        <w:rPr>
          <w:sz w:val="20"/>
          <w:szCs w:val="20"/>
          <w:color w:val="auto"/>
        </w:rPr>
      </w:pPr>
      <w:r>
        <w:rPr>
          <w:rFonts w:ascii="Arial" w:cs="Arial" w:eastAsia="Arial" w:hAnsi="Arial"/>
          <w:sz w:val="18"/>
          <w:szCs w:val="18"/>
          <w:color w:val="auto"/>
        </w:rPr>
        <w:t>This Annual Report contains market data and industry forecasts that were obtained from industry publications, third-party market research and publicly available information. These publications generally state that the information contained therein has been obtained from sources believed to be reliable, but the accuracy and completeness of such information is not guaranteed.</w:t>
      </w:r>
    </w:p>
    <w:p>
      <w:pPr>
        <w:spacing w:after="0" w:line="200" w:lineRule="exact"/>
        <w:rPr>
          <w:sz w:val="20"/>
          <w:szCs w:val="20"/>
          <w:color w:val="auto"/>
        </w:rPr>
      </w:pPr>
    </w:p>
    <w:p>
      <w:pPr>
        <w:spacing w:after="0" w:line="277" w:lineRule="exact"/>
        <w:rPr>
          <w:sz w:val="20"/>
          <w:szCs w:val="20"/>
          <w:color w:val="auto"/>
        </w:rPr>
      </w:pPr>
    </w:p>
    <w:p>
      <w:pPr>
        <w:ind w:left="5180"/>
        <w:spacing w:after="0"/>
        <w:rPr>
          <w:sz w:val="20"/>
          <w:szCs w:val="20"/>
          <w:color w:val="auto"/>
        </w:rPr>
      </w:pPr>
      <w:r>
        <w:rPr>
          <w:rFonts w:ascii="Arial" w:cs="Arial" w:eastAsia="Arial" w:hAnsi="Arial"/>
          <w:sz w:val="18"/>
          <w:szCs w:val="18"/>
          <w:b w:val="1"/>
          <w:bCs w:val="1"/>
          <w:color w:val="auto"/>
        </w:rPr>
        <w:t>TEXTAINER GROUP HOLDINGS LIMITED 2020 ANNUAL REPORT | 5</w:t>
      </w:r>
    </w:p>
    <w:p>
      <w:pPr>
        <w:sectPr>
          <w:pgSz w:w="11900" w:h="16838" w:orient="portrait"/>
          <w:cols w:equalWidth="0" w:num="1">
            <w:col w:w="11020"/>
          </w:cols>
          <w:pgMar w:left="440" w:top="270" w:right="439" w:bottom="1440" w:gutter="0" w:footer="0" w:header="0"/>
          <w:type w:val="continuous"/>
        </w:sectPr>
      </w:pPr>
    </w:p>
    <w:bookmarkStart w:id="11" w:name="page12"/>
    <w:bookmarkEnd w:id="11"/>
    <w:p>
      <w:pPr>
        <w:jc w:val="center"/>
        <w:ind w:right="-3"/>
        <w:spacing w:after="0"/>
        <w:rPr>
          <w:sz w:val="20"/>
          <w:szCs w:val="20"/>
          <w:color w:val="auto"/>
        </w:rPr>
      </w:pPr>
      <w:r>
        <w:rPr>
          <w:rFonts w:ascii="Arial" w:cs="Arial" w:eastAsia="Arial" w:hAnsi="Arial"/>
          <w:sz w:val="32"/>
          <w:szCs w:val="32"/>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174865" cy="38735"/>
                    </a:xfrm>
                    <a:prstGeom prst="rect">
                      <a:avLst/>
                    </a:prstGeom>
                    <a:noFill/>
                  </pic:spPr>
                </pic:pic>
              </a:graphicData>
            </a:graphic>
          </wp:anchor>
        </w:drawing>
        <w:drawing>
          <wp:anchor simplePos="0" relativeHeight="251657728" behindDoc="1" locked="0" layoutInCell="0" allowOverlap="1">
            <wp:simplePos x="0" y="0"/>
            <wp:positionH relativeFrom="page">
              <wp:posOffset>276860</wp:posOffset>
            </wp:positionH>
            <wp:positionV relativeFrom="page">
              <wp:posOffset>191770</wp:posOffset>
            </wp:positionV>
            <wp:extent cx="6995160" cy="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6995160" cy="8255"/>
                    </a:xfrm>
                    <a:prstGeom prst="rect">
                      <a:avLst/>
                    </a:prstGeom>
                    <a:noFill/>
                  </pic:spPr>
                </pic:pic>
              </a:graphicData>
            </a:graphic>
          </wp:anchor>
        </w:drawing>
        <w:drawing>
          <wp:anchor simplePos="0" relativeHeight="251657728" behindDoc="1" locked="0" layoutInCell="0" allowOverlap="1">
            <wp:simplePos x="0" y="0"/>
            <wp:positionH relativeFrom="page">
              <wp:posOffset>276860</wp:posOffset>
            </wp:positionH>
            <wp:positionV relativeFrom="page">
              <wp:posOffset>234950</wp:posOffset>
            </wp:positionV>
            <wp:extent cx="6995160" cy="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6995160" cy="8255"/>
                    </a:xfrm>
                    <a:prstGeom prst="rect">
                      <a:avLst/>
                    </a:prstGeom>
                    <a:noFill/>
                  </pic:spPr>
                </pic:pic>
              </a:graphicData>
            </a:graphic>
          </wp:anchor>
        </w:drawing>
        <w:t>UNITED STATES</w:t>
      </w:r>
    </w:p>
    <w:p>
      <w:pPr>
        <w:spacing w:after="0" w:line="31" w:lineRule="exact"/>
        <w:rPr>
          <w:sz w:val="20"/>
          <w:szCs w:val="20"/>
          <w:color w:val="auto"/>
        </w:rPr>
      </w:pPr>
    </w:p>
    <w:p>
      <w:pPr>
        <w:jc w:val="center"/>
        <w:ind w:right="-3"/>
        <w:spacing w:after="0"/>
        <w:rPr>
          <w:sz w:val="20"/>
          <w:szCs w:val="20"/>
          <w:color w:val="auto"/>
        </w:rPr>
      </w:pPr>
      <w:r>
        <w:rPr>
          <w:rFonts w:ascii="Arial" w:cs="Arial" w:eastAsia="Arial" w:hAnsi="Arial"/>
          <w:sz w:val="32"/>
          <w:szCs w:val="32"/>
          <w:b w:val="1"/>
          <w:bCs w:val="1"/>
          <w:color w:val="auto"/>
        </w:rPr>
        <w:t>SECURITIES AND EXCHANGE COMMISSION</w:t>
      </w:r>
    </w:p>
    <w:p>
      <w:pPr>
        <w:jc w:val="center"/>
        <w:ind w:right="-3"/>
        <w:spacing w:after="0"/>
        <w:rPr>
          <w:sz w:val="20"/>
          <w:szCs w:val="20"/>
          <w:color w:val="auto"/>
        </w:rPr>
      </w:pPr>
      <w:r>
        <w:rPr>
          <w:rFonts w:ascii="Arial" w:cs="Arial" w:eastAsia="Arial" w:hAnsi="Arial"/>
          <w:sz w:val="22"/>
          <w:szCs w:val="22"/>
          <w:b w:val="1"/>
          <w:bCs w:val="1"/>
          <w:color w:val="auto"/>
        </w:rPr>
        <w:t>Washington, D.C. 20549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2760345</wp:posOffset>
            </wp:positionH>
            <wp:positionV relativeFrom="paragraph">
              <wp:posOffset>227330</wp:posOffset>
            </wp:positionV>
            <wp:extent cx="1474470" cy="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1474470" cy="8255"/>
                    </a:xfrm>
                    <a:prstGeom prst="rect">
                      <a:avLst/>
                    </a:prstGeom>
                    <a:noFill/>
                  </pic:spPr>
                </pic:pic>
              </a:graphicData>
            </a:graphic>
          </wp:anchor>
        </w:drawing>
      </w:r>
    </w:p>
    <w:p>
      <w:pPr>
        <w:spacing w:after="0" w:line="200" w:lineRule="exact"/>
        <w:rPr>
          <w:sz w:val="20"/>
          <w:szCs w:val="20"/>
          <w:color w:val="auto"/>
        </w:rPr>
      </w:pPr>
    </w:p>
    <w:p>
      <w:pPr>
        <w:spacing w:after="0" w:line="326" w:lineRule="exact"/>
        <w:rPr>
          <w:sz w:val="20"/>
          <w:szCs w:val="20"/>
          <w:color w:val="auto"/>
        </w:rPr>
      </w:pPr>
    </w:p>
    <w:p>
      <w:pPr>
        <w:jc w:val="center"/>
        <w:ind w:right="-3"/>
        <w:spacing w:after="0"/>
        <w:rPr>
          <w:sz w:val="20"/>
          <w:szCs w:val="20"/>
          <w:color w:val="auto"/>
        </w:rPr>
      </w:pPr>
      <w:r>
        <w:rPr>
          <w:rFonts w:ascii="Arial" w:cs="Arial" w:eastAsia="Arial" w:hAnsi="Arial"/>
          <w:sz w:val="32"/>
          <w:szCs w:val="32"/>
          <w:b w:val="1"/>
          <w:bCs w:val="1"/>
          <w:color w:val="auto"/>
        </w:rPr>
        <w:t>FORM 20-F</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2760345</wp:posOffset>
            </wp:positionH>
            <wp:positionV relativeFrom="paragraph">
              <wp:posOffset>247015</wp:posOffset>
            </wp:positionV>
            <wp:extent cx="1474470" cy="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147447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ind w:left="424" w:right="180" w:hanging="424"/>
        <w:spacing w:after="0" w:line="256" w:lineRule="auto"/>
        <w:tabs>
          <w:tab w:leader="none" w:pos="424" w:val="left"/>
        </w:tabs>
        <w:numPr>
          <w:ilvl w:val="0"/>
          <w:numId w:val="2"/>
        </w:numPr>
        <w:rPr>
          <w:rFonts w:ascii="MS PGothic" w:cs="MS PGothic" w:eastAsia="MS PGothic" w:hAnsi="MS PGothic"/>
          <w:sz w:val="22"/>
          <w:szCs w:val="22"/>
          <w:color w:val="auto"/>
        </w:rPr>
      </w:pPr>
      <w:r>
        <w:rPr>
          <w:rFonts w:ascii="Arial" w:cs="Arial" w:eastAsia="Arial" w:hAnsi="Arial"/>
          <w:sz w:val="22"/>
          <w:szCs w:val="22"/>
          <w:b w:val="1"/>
          <w:bCs w:val="1"/>
          <w:color w:val="auto"/>
        </w:rPr>
        <w:t>REGISTRATION STATEMENT PURSUANT TO SECTION 12(b) OR (g) OF THE SECURITIES EXCHANGE ACT OF 1934</w:t>
      </w:r>
    </w:p>
    <w:p>
      <w:pPr>
        <w:spacing w:after="0" w:line="171"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OR</w:t>
      </w:r>
    </w:p>
    <w:p>
      <w:pPr>
        <w:spacing w:after="0" w:line="243" w:lineRule="exact"/>
        <w:rPr>
          <w:sz w:val="20"/>
          <w:szCs w:val="20"/>
          <w:color w:val="auto"/>
        </w:rPr>
      </w:pPr>
    </w:p>
    <w:p>
      <w:pPr>
        <w:ind w:left="424" w:hanging="424"/>
        <w:spacing w:after="0"/>
        <w:tabs>
          <w:tab w:leader="none" w:pos="424" w:val="left"/>
        </w:tabs>
        <w:numPr>
          <w:ilvl w:val="0"/>
          <w:numId w:val="3"/>
        </w:numPr>
        <w:rPr>
          <w:rFonts w:ascii="MS PGothic" w:cs="MS PGothic" w:eastAsia="MS PGothic" w:hAnsi="MS PGothic"/>
          <w:sz w:val="21"/>
          <w:szCs w:val="21"/>
          <w:color w:val="auto"/>
        </w:rPr>
      </w:pPr>
      <w:r>
        <w:rPr>
          <w:rFonts w:ascii="Arial" w:cs="Arial" w:eastAsia="Arial" w:hAnsi="Arial"/>
          <w:sz w:val="21"/>
          <w:szCs w:val="21"/>
          <w:b w:val="1"/>
          <w:bCs w:val="1"/>
          <w:color w:val="auto"/>
        </w:rPr>
        <w:t>ANNUAL REPORT PURSUANT TO SECTION 13 OR 15(d) OF THE SECURITIES EXCHANGE ACT OF 1934</w:t>
      </w:r>
    </w:p>
    <w:p>
      <w:pPr>
        <w:spacing w:after="0" w:line="240"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For the fiscal year ended December 31, 2020</w:t>
      </w:r>
    </w:p>
    <w:p>
      <w:pPr>
        <w:spacing w:after="0" w:line="225"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OR</w:t>
      </w:r>
    </w:p>
    <w:p>
      <w:pPr>
        <w:spacing w:after="0" w:line="243" w:lineRule="exact"/>
        <w:rPr>
          <w:sz w:val="20"/>
          <w:szCs w:val="20"/>
          <w:color w:val="auto"/>
        </w:rPr>
      </w:pPr>
    </w:p>
    <w:p>
      <w:pPr>
        <w:ind w:left="424" w:right="80" w:hanging="424"/>
        <w:spacing w:after="0" w:line="256" w:lineRule="auto"/>
        <w:tabs>
          <w:tab w:leader="none" w:pos="424" w:val="left"/>
        </w:tabs>
        <w:numPr>
          <w:ilvl w:val="0"/>
          <w:numId w:val="4"/>
        </w:numPr>
        <w:rPr>
          <w:rFonts w:ascii="MS PGothic" w:cs="MS PGothic" w:eastAsia="MS PGothic" w:hAnsi="MS PGothic"/>
          <w:sz w:val="22"/>
          <w:szCs w:val="22"/>
          <w:color w:val="auto"/>
        </w:rPr>
      </w:pPr>
      <w:r>
        <w:rPr>
          <w:rFonts w:ascii="Arial" w:cs="Arial" w:eastAsia="Arial" w:hAnsi="Arial"/>
          <w:sz w:val="22"/>
          <w:szCs w:val="22"/>
          <w:b w:val="1"/>
          <w:bCs w:val="1"/>
          <w:color w:val="auto"/>
        </w:rPr>
        <w:t>TRANSITION REPORT PURSUANT TO SECTION 13 OR 15(d) OF THE SECURITIES EXCHANGE ACT OF 1934</w:t>
      </w:r>
    </w:p>
    <w:p>
      <w:pPr>
        <w:spacing w:after="0" w:line="171"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OR</w:t>
      </w:r>
    </w:p>
    <w:p>
      <w:pPr>
        <w:spacing w:after="0" w:line="243" w:lineRule="exact"/>
        <w:rPr>
          <w:sz w:val="20"/>
          <w:szCs w:val="20"/>
          <w:color w:val="auto"/>
        </w:rPr>
      </w:pPr>
    </w:p>
    <w:p>
      <w:pPr>
        <w:ind w:left="424" w:right="440" w:hanging="424"/>
        <w:spacing w:after="0" w:line="256" w:lineRule="auto"/>
        <w:tabs>
          <w:tab w:leader="none" w:pos="424" w:val="left"/>
        </w:tabs>
        <w:numPr>
          <w:ilvl w:val="0"/>
          <w:numId w:val="5"/>
        </w:numPr>
        <w:rPr>
          <w:rFonts w:ascii="MS PGothic" w:cs="MS PGothic" w:eastAsia="MS PGothic" w:hAnsi="MS PGothic"/>
          <w:sz w:val="22"/>
          <w:szCs w:val="22"/>
          <w:color w:val="auto"/>
        </w:rPr>
      </w:pPr>
      <w:r>
        <w:rPr>
          <w:rFonts w:ascii="Arial" w:cs="Arial" w:eastAsia="Arial" w:hAnsi="Arial"/>
          <w:sz w:val="22"/>
          <w:szCs w:val="22"/>
          <w:b w:val="1"/>
          <w:bCs w:val="1"/>
          <w:color w:val="auto"/>
        </w:rPr>
        <w:t>SHELL COMPANY REPORT PURSUANT TO SECTION 13 OR 15(d) OF THE SECURITIES EXCHANGE ACT OF 1934</w:t>
      </w:r>
    </w:p>
    <w:p>
      <w:pPr>
        <w:spacing w:after="0" w:line="171" w:lineRule="exact"/>
        <w:rPr>
          <w:sz w:val="20"/>
          <w:szCs w:val="20"/>
          <w:color w:val="auto"/>
        </w:rPr>
      </w:pPr>
    </w:p>
    <w:p>
      <w:pPr>
        <w:jc w:val="center"/>
        <w:ind w:right="956"/>
        <w:spacing w:after="0"/>
        <w:rPr>
          <w:sz w:val="20"/>
          <w:szCs w:val="20"/>
          <w:color w:val="auto"/>
        </w:rPr>
      </w:pPr>
      <w:r>
        <w:rPr>
          <w:rFonts w:ascii="Arial" w:cs="Arial" w:eastAsia="Arial" w:hAnsi="Arial"/>
          <w:sz w:val="18"/>
          <w:szCs w:val="18"/>
          <w:b w:val="1"/>
          <w:bCs w:val="1"/>
          <w:color w:val="auto"/>
        </w:rPr>
        <w:t>Date of event requiring this shell company report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4425315</wp:posOffset>
            </wp:positionH>
            <wp:positionV relativeFrom="paragraph">
              <wp:posOffset>-7620</wp:posOffset>
            </wp:positionV>
            <wp:extent cx="571500" cy="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571500" cy="8890"/>
                    </a:xfrm>
                    <a:prstGeom prst="rect">
                      <a:avLst/>
                    </a:prstGeom>
                    <a:noFill/>
                  </pic:spPr>
                </pic:pic>
              </a:graphicData>
            </a:graphic>
          </wp:anchor>
        </w:drawing>
      </w:r>
    </w:p>
    <w:p>
      <w:pPr>
        <w:spacing w:after="0" w:line="205" w:lineRule="exact"/>
        <w:rPr>
          <w:sz w:val="20"/>
          <w:szCs w:val="20"/>
          <w:color w:val="auto"/>
        </w:rPr>
      </w:pPr>
    </w:p>
    <w:p>
      <w:pPr>
        <w:ind w:left="3304"/>
        <w:spacing w:after="0"/>
        <w:tabs>
          <w:tab w:leader="none" w:pos="6604" w:val="left"/>
        </w:tabs>
        <w:rPr>
          <w:sz w:val="20"/>
          <w:szCs w:val="20"/>
          <w:color w:val="auto"/>
        </w:rPr>
      </w:pPr>
      <w:r>
        <w:rPr>
          <w:rFonts w:ascii="Arial" w:cs="Arial" w:eastAsia="Arial" w:hAnsi="Arial"/>
          <w:sz w:val="18"/>
          <w:szCs w:val="18"/>
          <w:b w:val="1"/>
          <w:bCs w:val="1"/>
          <w:color w:val="auto"/>
        </w:rPr>
        <w:t>For the transition period from</w:t>
      </w:r>
      <w:r>
        <w:rPr>
          <w:sz w:val="20"/>
          <w:szCs w:val="20"/>
          <w:color w:val="auto"/>
        </w:rPr>
        <w:tab/>
      </w:r>
      <w:r>
        <w:rPr>
          <w:rFonts w:ascii="Arial" w:cs="Arial" w:eastAsia="Arial" w:hAnsi="Arial"/>
          <w:sz w:val="13"/>
          <w:szCs w:val="13"/>
          <w:b w:val="1"/>
          <w:bCs w:val="1"/>
          <w:color w:val="auto"/>
        </w:rPr>
        <w:t>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3602990</wp:posOffset>
            </wp:positionH>
            <wp:positionV relativeFrom="paragraph">
              <wp:posOffset>-7620</wp:posOffset>
            </wp:positionV>
            <wp:extent cx="1294765" cy="82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1294765" cy="8255"/>
                    </a:xfrm>
                    <a:prstGeom prst="rect">
                      <a:avLst/>
                    </a:prstGeom>
                    <a:noFill/>
                  </pic:spPr>
                </pic:pic>
              </a:graphicData>
            </a:graphic>
          </wp:anchor>
        </w:drawing>
      </w:r>
    </w:p>
    <w:p>
      <w:pPr>
        <w:spacing w:after="0" w:line="205"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Commission file number 001-33725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2760345</wp:posOffset>
            </wp:positionH>
            <wp:positionV relativeFrom="paragraph">
              <wp:posOffset>240030</wp:posOffset>
            </wp:positionV>
            <wp:extent cx="1474470" cy="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1474470" cy="8890"/>
                    </a:xfrm>
                    <a:prstGeom prst="rect">
                      <a:avLst/>
                    </a:prstGeom>
                    <a:noFill/>
                  </pic:spPr>
                </pic:pic>
              </a:graphicData>
            </a:graphic>
          </wp:anchor>
        </w:drawing>
      </w:r>
    </w:p>
    <w:p>
      <w:pPr>
        <w:spacing w:after="0" w:line="200" w:lineRule="exact"/>
        <w:rPr>
          <w:sz w:val="20"/>
          <w:szCs w:val="20"/>
          <w:color w:val="auto"/>
        </w:rPr>
      </w:pPr>
    </w:p>
    <w:p>
      <w:pPr>
        <w:spacing w:after="0" w:line="344" w:lineRule="exact"/>
        <w:rPr>
          <w:sz w:val="20"/>
          <w:szCs w:val="20"/>
          <w:color w:val="auto"/>
        </w:rPr>
      </w:pPr>
    </w:p>
    <w:p>
      <w:pPr>
        <w:jc w:val="center"/>
        <w:ind w:right="-3"/>
        <w:spacing w:after="0"/>
        <w:rPr>
          <w:sz w:val="20"/>
          <w:szCs w:val="20"/>
          <w:color w:val="auto"/>
        </w:rPr>
      </w:pPr>
      <w:r>
        <w:rPr>
          <w:rFonts w:ascii="Arial" w:cs="Arial" w:eastAsia="Arial" w:hAnsi="Arial"/>
          <w:sz w:val="43"/>
          <w:szCs w:val="43"/>
          <w:b w:val="1"/>
          <w:bCs w:val="1"/>
          <w:color w:val="auto"/>
        </w:rPr>
        <w:t>Textainer Group Holdings Limited</w:t>
      </w:r>
    </w:p>
    <w:p>
      <w:pPr>
        <w:spacing w:after="0" w:line="50"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(Exact name of Registrant as specified in its charter)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2760345</wp:posOffset>
            </wp:positionH>
            <wp:positionV relativeFrom="paragraph">
              <wp:posOffset>227330</wp:posOffset>
            </wp:positionV>
            <wp:extent cx="1474470" cy="88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1474470" cy="8890"/>
                    </a:xfrm>
                    <a:prstGeom prst="rect">
                      <a:avLst/>
                    </a:prstGeom>
                    <a:noFill/>
                  </pic:spPr>
                </pic:pic>
              </a:graphicData>
            </a:graphic>
          </wp:anchor>
        </w:drawing>
      </w:r>
    </w:p>
    <w:p>
      <w:pPr>
        <w:spacing w:after="0" w:line="200" w:lineRule="exact"/>
        <w:rPr>
          <w:sz w:val="20"/>
          <w:szCs w:val="20"/>
          <w:color w:val="auto"/>
        </w:rPr>
      </w:pPr>
    </w:p>
    <w:p>
      <w:pPr>
        <w:spacing w:after="0" w:line="350"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Not Applicable</w:t>
      </w:r>
    </w:p>
    <w:p>
      <w:pPr>
        <w:spacing w:after="0" w:line="21" w:lineRule="exact"/>
        <w:rPr>
          <w:sz w:val="20"/>
          <w:szCs w:val="20"/>
          <w:color w:val="auto"/>
        </w:rPr>
      </w:pPr>
    </w:p>
    <w:p>
      <w:pPr>
        <w:jc w:val="center"/>
        <w:ind w:right="-3"/>
        <w:spacing w:after="0"/>
        <w:rPr>
          <w:sz w:val="20"/>
          <w:szCs w:val="20"/>
          <w:color w:val="auto"/>
        </w:rPr>
      </w:pPr>
      <w:r>
        <w:rPr>
          <w:rFonts w:ascii="Arial" w:cs="Arial" w:eastAsia="Arial" w:hAnsi="Arial"/>
          <w:sz w:val="14"/>
          <w:szCs w:val="14"/>
          <w:b w:val="1"/>
          <w:bCs w:val="1"/>
          <w:color w:val="auto"/>
        </w:rPr>
        <w:t>(Translation of Registrant’s name into English)</w:t>
      </w:r>
    </w:p>
    <w:p>
      <w:pPr>
        <w:spacing w:after="0" w:line="192"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Bermuda</w:t>
      </w:r>
    </w:p>
    <w:p>
      <w:pPr>
        <w:spacing w:after="0" w:line="21" w:lineRule="exact"/>
        <w:rPr>
          <w:sz w:val="20"/>
          <w:szCs w:val="20"/>
          <w:color w:val="auto"/>
        </w:rPr>
      </w:pPr>
    </w:p>
    <w:p>
      <w:pPr>
        <w:jc w:val="center"/>
        <w:ind w:right="-3"/>
        <w:spacing w:after="0"/>
        <w:rPr>
          <w:sz w:val="20"/>
          <w:szCs w:val="20"/>
          <w:color w:val="auto"/>
        </w:rPr>
      </w:pPr>
      <w:r>
        <w:rPr>
          <w:rFonts w:ascii="Arial" w:cs="Arial" w:eastAsia="Arial" w:hAnsi="Arial"/>
          <w:sz w:val="14"/>
          <w:szCs w:val="14"/>
          <w:b w:val="1"/>
          <w:bCs w:val="1"/>
          <w:color w:val="auto"/>
        </w:rPr>
        <w:t>(Jurisdiction of incorporation or organization)</w:t>
      </w:r>
    </w:p>
    <w:p>
      <w:pPr>
        <w:spacing w:after="0" w:line="192"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Century House, 16 Par-La-Ville Road, Hamilton HM 08, Bermuda</w:t>
      </w:r>
    </w:p>
    <w:p>
      <w:pPr>
        <w:spacing w:after="0" w:line="21" w:lineRule="exact"/>
        <w:rPr>
          <w:sz w:val="20"/>
          <w:szCs w:val="20"/>
          <w:color w:val="auto"/>
        </w:rPr>
      </w:pPr>
    </w:p>
    <w:p>
      <w:pPr>
        <w:jc w:val="center"/>
        <w:ind w:right="-3"/>
        <w:spacing w:after="0"/>
        <w:rPr>
          <w:sz w:val="20"/>
          <w:szCs w:val="20"/>
          <w:color w:val="auto"/>
        </w:rPr>
      </w:pPr>
      <w:r>
        <w:rPr>
          <w:rFonts w:ascii="Arial" w:cs="Arial" w:eastAsia="Arial" w:hAnsi="Arial"/>
          <w:sz w:val="14"/>
          <w:szCs w:val="14"/>
          <w:b w:val="1"/>
          <w:bCs w:val="1"/>
          <w:color w:val="auto"/>
        </w:rPr>
        <w:t>(Address of principal executive offices)</w:t>
      </w:r>
    </w:p>
    <w:p>
      <w:pPr>
        <w:spacing w:after="0" w:line="192"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Michael J. Harvey</w:t>
      </w:r>
    </w:p>
    <w:p>
      <w:pPr>
        <w:spacing w:after="0" w:line="27"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Textainer Group Holdings Limited</w:t>
      </w:r>
    </w:p>
    <w:p>
      <w:pPr>
        <w:spacing w:after="0" w:line="9"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Century House, 16 Par-La-Ville Road, Hamilton HM 08, Bermuda</w:t>
      </w:r>
    </w:p>
    <w:p>
      <w:pPr>
        <w:spacing w:after="0" w:line="9" w:lineRule="exact"/>
        <w:rPr>
          <w:sz w:val="20"/>
          <w:szCs w:val="20"/>
          <w:color w:val="auto"/>
        </w:rPr>
      </w:pPr>
    </w:p>
    <w:p>
      <w:pPr>
        <w:ind w:left="5384" w:hanging="438"/>
        <w:spacing w:after="0"/>
        <w:tabs>
          <w:tab w:leader="none" w:pos="5384" w:val="left"/>
        </w:tabs>
        <w:numPr>
          <w:ilvl w:val="0"/>
          <w:numId w:val="6"/>
        </w:numPr>
        <w:rPr>
          <w:rFonts w:ascii="Arial" w:cs="Arial" w:eastAsia="Arial" w:hAnsi="Arial"/>
          <w:sz w:val="18"/>
          <w:szCs w:val="18"/>
          <w:b w:val="1"/>
          <w:bCs w:val="1"/>
          <w:color w:val="auto"/>
        </w:rPr>
      </w:pPr>
      <w:r>
        <w:rPr>
          <w:rFonts w:ascii="Arial" w:cs="Arial" w:eastAsia="Arial" w:hAnsi="Arial"/>
          <w:sz w:val="18"/>
          <w:szCs w:val="18"/>
          <w:b w:val="1"/>
          <w:bCs w:val="1"/>
          <w:color w:val="auto"/>
        </w:rPr>
        <w:t>296-2500</w:t>
      </w:r>
    </w:p>
    <w:p>
      <w:pPr>
        <w:spacing w:after="0" w:line="9" w:lineRule="exact"/>
        <w:rPr>
          <w:rFonts w:ascii="Arial" w:cs="Arial" w:eastAsia="Arial" w:hAnsi="Arial"/>
          <w:sz w:val="18"/>
          <w:szCs w:val="18"/>
          <w:b w:val="1"/>
          <w:bCs w:val="1"/>
          <w:color w:val="auto"/>
        </w:rPr>
      </w:pPr>
    </w:p>
    <w:p>
      <w:pPr>
        <w:ind w:left="4744"/>
        <w:spacing w:after="0"/>
        <w:rPr>
          <w:rFonts w:ascii="Arial" w:cs="Arial" w:eastAsia="Arial" w:hAnsi="Arial"/>
          <w:sz w:val="18"/>
          <w:szCs w:val="18"/>
          <w:b w:val="1"/>
          <w:bCs w:val="1"/>
          <w:color w:val="auto"/>
        </w:rPr>
      </w:pPr>
      <w:r>
        <w:rPr>
          <w:rFonts w:ascii="Arial" w:cs="Arial" w:eastAsia="Arial" w:hAnsi="Arial"/>
          <w:sz w:val="18"/>
          <w:szCs w:val="18"/>
          <w:b w:val="1"/>
          <w:bCs w:val="1"/>
          <w:color w:val="auto"/>
        </w:rPr>
        <w:t>mjh@textainer.com</w:t>
      </w:r>
    </w:p>
    <w:p>
      <w:pPr>
        <w:spacing w:after="0" w:line="2" w:lineRule="exact"/>
        <w:rPr>
          <w:sz w:val="20"/>
          <w:szCs w:val="20"/>
          <w:color w:val="auto"/>
        </w:rPr>
      </w:pPr>
    </w:p>
    <w:p>
      <w:pPr>
        <w:jc w:val="center"/>
        <w:ind w:right="-3"/>
        <w:spacing w:after="0"/>
        <w:rPr>
          <w:sz w:val="20"/>
          <w:szCs w:val="20"/>
          <w:color w:val="auto"/>
        </w:rPr>
      </w:pPr>
      <w:r>
        <w:rPr>
          <w:rFonts w:ascii="Arial" w:cs="Arial" w:eastAsia="Arial" w:hAnsi="Arial"/>
          <w:sz w:val="14"/>
          <w:szCs w:val="14"/>
          <w:b w:val="1"/>
          <w:bCs w:val="1"/>
          <w:color w:val="auto"/>
        </w:rPr>
        <w:t>(Name, Telephone, E-mail and/or Facsimile number and Address of Company Contact Person)</w:t>
      </w:r>
    </w:p>
    <w:p>
      <w:pPr>
        <w:spacing w:after="0" w:line="192"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Securities registered or to be registered pursuant to Section 12(b) of the Act.</w:t>
      </w:r>
    </w:p>
    <w:p>
      <w:pPr>
        <w:spacing w:after="0" w:line="235" w:lineRule="exact"/>
        <w:rPr>
          <w:sz w:val="20"/>
          <w:szCs w:val="20"/>
          <w:color w:val="auto"/>
        </w:rPr>
      </w:pPr>
    </w:p>
    <w:tbl>
      <w:tblPr>
        <w:tblLayout w:type="fixed"/>
        <w:tblInd w:w="4" w:type="dxa"/>
        <w:tblCellMar>
          <w:top w:w="0" w:type="dxa"/>
          <w:left w:w="0" w:type="dxa"/>
          <w:bottom w:w="0" w:type="dxa"/>
          <w:right w:w="0" w:type="dxa"/>
        </w:tblCellMar>
      </w:tblPr>
      <w:tr>
        <w:trPr>
          <w:trHeight w:val="161"/>
        </w:trPr>
        <w:tc>
          <w:tcPr>
            <w:tcW w:w="3860" w:type="dxa"/>
            <w:vAlign w:val="bottom"/>
            <w:gridSpan w:val="2"/>
            <w:vMerge w:val="restart"/>
          </w:tcPr>
          <w:p>
            <w:pPr>
              <w:jc w:val="center"/>
              <w:ind w:right="140"/>
              <w:spacing w:after="0"/>
              <w:rPr>
                <w:sz w:val="20"/>
                <w:szCs w:val="20"/>
                <w:color w:val="auto"/>
              </w:rPr>
            </w:pPr>
            <w:r>
              <w:rPr>
                <w:rFonts w:ascii="Arial" w:cs="Arial" w:eastAsia="Arial" w:hAnsi="Arial"/>
                <w:sz w:val="14"/>
                <w:szCs w:val="14"/>
                <w:b w:val="1"/>
                <w:bCs w:val="1"/>
                <w:color w:val="auto"/>
                <w:w w:val="89"/>
              </w:rPr>
              <w:t>Title of each class</w:t>
            </w:r>
          </w:p>
        </w:tc>
        <w:tc>
          <w:tcPr>
            <w:tcW w:w="362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3"/>
              </w:rPr>
              <w:t>Trading</w:t>
            </w:r>
          </w:p>
        </w:tc>
        <w:tc>
          <w:tcPr>
            <w:tcW w:w="3540" w:type="dxa"/>
            <w:vAlign w:val="bottom"/>
          </w:tcPr>
          <w:p>
            <w:pPr>
              <w:jc w:val="center"/>
              <w:spacing w:after="0"/>
              <w:rPr>
                <w:sz w:val="20"/>
                <w:szCs w:val="20"/>
                <w:color w:val="auto"/>
              </w:rPr>
            </w:pPr>
            <w:r>
              <w:rPr>
                <w:rFonts w:ascii="Arial" w:cs="Arial" w:eastAsia="Arial" w:hAnsi="Arial"/>
                <w:sz w:val="14"/>
                <w:szCs w:val="14"/>
                <w:b w:val="1"/>
                <w:bCs w:val="1"/>
                <w:color w:val="auto"/>
                <w:w w:val="88"/>
              </w:rPr>
              <w:t>Name of each exchange</w:t>
            </w:r>
          </w:p>
        </w:tc>
        <w:tc>
          <w:tcPr>
            <w:tcW w:w="0" w:type="dxa"/>
            <w:vAlign w:val="bottom"/>
          </w:tcPr>
          <w:p>
            <w:pPr>
              <w:spacing w:after="0"/>
              <w:rPr>
                <w:sz w:val="1"/>
                <w:szCs w:val="1"/>
                <w:color w:val="auto"/>
              </w:rPr>
            </w:pPr>
          </w:p>
        </w:tc>
      </w:tr>
      <w:tr>
        <w:trPr>
          <w:trHeight w:val="185"/>
        </w:trPr>
        <w:tc>
          <w:tcPr>
            <w:tcW w:w="3860" w:type="dxa"/>
            <w:vAlign w:val="bottom"/>
            <w:gridSpan w:val="2"/>
            <w:vMerge w:val="continue"/>
          </w:tcPr>
          <w:p>
            <w:pPr>
              <w:spacing w:after="0"/>
              <w:rPr>
                <w:sz w:val="16"/>
                <w:szCs w:val="16"/>
                <w:color w:val="auto"/>
              </w:rPr>
            </w:pPr>
          </w:p>
        </w:tc>
        <w:tc>
          <w:tcPr>
            <w:tcW w:w="362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88"/>
              </w:rPr>
              <w:t>Symbol(s)</w:t>
            </w:r>
          </w:p>
        </w:tc>
        <w:tc>
          <w:tcPr>
            <w:tcW w:w="3540" w:type="dxa"/>
            <w:vAlign w:val="bottom"/>
          </w:tcPr>
          <w:p>
            <w:pPr>
              <w:jc w:val="center"/>
              <w:spacing w:after="0"/>
              <w:rPr>
                <w:sz w:val="20"/>
                <w:szCs w:val="20"/>
                <w:color w:val="auto"/>
              </w:rPr>
            </w:pPr>
            <w:r>
              <w:rPr>
                <w:rFonts w:ascii="Arial" w:cs="Arial" w:eastAsia="Arial" w:hAnsi="Arial"/>
                <w:sz w:val="14"/>
                <w:szCs w:val="14"/>
                <w:b w:val="1"/>
                <w:bCs w:val="1"/>
                <w:color w:val="auto"/>
                <w:w w:val="92"/>
              </w:rPr>
              <w:t>on which registered</w:t>
            </w:r>
          </w:p>
        </w:tc>
        <w:tc>
          <w:tcPr>
            <w:tcW w:w="0" w:type="dxa"/>
            <w:vAlign w:val="bottom"/>
          </w:tcPr>
          <w:p>
            <w:pPr>
              <w:spacing w:after="0"/>
              <w:rPr>
                <w:sz w:val="1"/>
                <w:szCs w:val="1"/>
                <w:color w:val="auto"/>
              </w:rPr>
            </w:pPr>
          </w:p>
        </w:tc>
      </w:tr>
      <w:tr>
        <w:trPr>
          <w:trHeight w:val="228"/>
        </w:trPr>
        <w:tc>
          <w:tcPr>
            <w:tcW w:w="3740" w:type="dxa"/>
            <w:vAlign w:val="bottom"/>
            <w:tcBorders>
              <w:top w:val="single" w:sz="8" w:color="auto"/>
            </w:tcBorders>
          </w:tcPr>
          <w:p>
            <w:pPr>
              <w:jc w:val="center"/>
              <w:spacing w:after="0"/>
              <w:rPr>
                <w:sz w:val="20"/>
                <w:szCs w:val="20"/>
                <w:color w:val="auto"/>
              </w:rPr>
            </w:pPr>
            <w:r>
              <w:rPr>
                <w:rFonts w:ascii="Arial" w:cs="Arial" w:eastAsia="Arial" w:hAnsi="Arial"/>
                <w:sz w:val="18"/>
                <w:szCs w:val="18"/>
                <w:b w:val="1"/>
                <w:bCs w:val="1"/>
                <w:color w:val="auto"/>
                <w:w w:val="90"/>
              </w:rPr>
              <w:t>Common Shares, $0.01 par value</w:t>
            </w:r>
          </w:p>
        </w:tc>
        <w:tc>
          <w:tcPr>
            <w:tcW w:w="120" w:type="dxa"/>
            <w:vAlign w:val="bottom"/>
          </w:tcPr>
          <w:p>
            <w:pPr>
              <w:spacing w:after="0"/>
              <w:rPr>
                <w:sz w:val="19"/>
                <w:szCs w:val="19"/>
                <w:color w:val="auto"/>
              </w:rPr>
            </w:pPr>
          </w:p>
        </w:tc>
        <w:tc>
          <w:tcPr>
            <w:tcW w:w="3520" w:type="dxa"/>
            <w:vAlign w:val="bottom"/>
            <w:tcBorders>
              <w:top w:val="single" w:sz="8" w:color="auto"/>
            </w:tcBorders>
          </w:tcPr>
          <w:p>
            <w:pPr>
              <w:jc w:val="center"/>
              <w:spacing w:after="0"/>
              <w:rPr>
                <w:sz w:val="20"/>
                <w:szCs w:val="20"/>
                <w:color w:val="auto"/>
              </w:rPr>
            </w:pPr>
            <w:r>
              <w:rPr>
                <w:rFonts w:ascii="Arial" w:cs="Arial" w:eastAsia="Arial" w:hAnsi="Arial"/>
                <w:sz w:val="18"/>
                <w:szCs w:val="18"/>
                <w:b w:val="1"/>
                <w:bCs w:val="1"/>
                <w:color w:val="auto"/>
              </w:rPr>
              <w:t>TGH</w:t>
            </w:r>
          </w:p>
        </w:tc>
        <w:tc>
          <w:tcPr>
            <w:tcW w:w="100" w:type="dxa"/>
            <w:vAlign w:val="bottom"/>
          </w:tcPr>
          <w:p>
            <w:pPr>
              <w:spacing w:after="0"/>
              <w:rPr>
                <w:sz w:val="19"/>
                <w:szCs w:val="19"/>
                <w:color w:val="auto"/>
              </w:rPr>
            </w:pPr>
          </w:p>
        </w:tc>
        <w:tc>
          <w:tcPr>
            <w:tcW w:w="3540" w:type="dxa"/>
            <w:vAlign w:val="bottom"/>
            <w:tcBorders>
              <w:top w:val="single" w:sz="8" w:color="auto"/>
            </w:tcBorders>
          </w:tcPr>
          <w:p>
            <w:pPr>
              <w:jc w:val="center"/>
              <w:spacing w:after="0"/>
              <w:rPr>
                <w:sz w:val="20"/>
                <w:szCs w:val="20"/>
                <w:color w:val="auto"/>
              </w:rPr>
            </w:pPr>
            <w:r>
              <w:rPr>
                <w:rFonts w:ascii="Arial" w:cs="Arial" w:eastAsia="Arial" w:hAnsi="Arial"/>
                <w:sz w:val="18"/>
                <w:szCs w:val="18"/>
                <w:b w:val="1"/>
                <w:bCs w:val="1"/>
                <w:color w:val="auto"/>
                <w:w w:val="89"/>
              </w:rPr>
              <w:t>New York Stock Exchange</w:t>
            </w:r>
          </w:p>
        </w:tc>
        <w:tc>
          <w:tcPr>
            <w:tcW w:w="0" w:type="dxa"/>
            <w:vAlign w:val="bottom"/>
          </w:tcPr>
          <w:p>
            <w:pPr>
              <w:spacing w:after="0"/>
              <w:rPr>
                <w:sz w:val="1"/>
                <w:szCs w:val="1"/>
                <w:color w:val="auto"/>
              </w:rPr>
            </w:pPr>
          </w:p>
        </w:tc>
      </w:tr>
    </w:tbl>
    <w:p>
      <w:pPr>
        <w:spacing w:after="0" w:line="179"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Securities registered or to be registered pursuant to Section 12(g) of the Act.</w:t>
      </w:r>
    </w:p>
    <w:p>
      <w:pPr>
        <w:spacing w:after="0" w:line="225"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None</w:t>
      </w:r>
    </w:p>
    <w:p>
      <w:pPr>
        <w:spacing w:after="0" w:line="21" w:lineRule="exact"/>
        <w:rPr>
          <w:sz w:val="20"/>
          <w:szCs w:val="20"/>
          <w:color w:val="auto"/>
        </w:rPr>
      </w:pPr>
    </w:p>
    <w:p>
      <w:pPr>
        <w:jc w:val="center"/>
        <w:ind w:right="-3"/>
        <w:spacing w:after="0"/>
        <w:rPr>
          <w:sz w:val="20"/>
          <w:szCs w:val="20"/>
          <w:color w:val="auto"/>
        </w:rPr>
      </w:pPr>
      <w:r>
        <w:rPr>
          <w:rFonts w:ascii="Arial" w:cs="Arial" w:eastAsia="Arial" w:hAnsi="Arial"/>
          <w:sz w:val="14"/>
          <w:szCs w:val="14"/>
          <w:b w:val="1"/>
          <w:bCs w:val="1"/>
          <w:color w:val="auto"/>
        </w:rPr>
        <w:t>(Title of Class)</w:t>
      </w:r>
    </w:p>
    <w:p>
      <w:pPr>
        <w:spacing w:after="0" w:line="192"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Securities for which there is a reporting obligation pursuant to Section 15(d) of the Act.</w:t>
      </w:r>
    </w:p>
    <w:p>
      <w:pPr>
        <w:spacing w:after="0" w:line="225"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None</w:t>
      </w:r>
    </w:p>
    <w:p>
      <w:pPr>
        <w:spacing w:after="0" w:line="21" w:lineRule="exact"/>
        <w:rPr>
          <w:sz w:val="20"/>
          <w:szCs w:val="20"/>
          <w:color w:val="auto"/>
        </w:rPr>
      </w:pPr>
    </w:p>
    <w:p>
      <w:pPr>
        <w:jc w:val="center"/>
        <w:ind w:right="-3"/>
        <w:spacing w:after="0"/>
        <w:rPr>
          <w:sz w:val="20"/>
          <w:szCs w:val="20"/>
          <w:color w:val="auto"/>
        </w:rPr>
      </w:pPr>
      <w:r>
        <w:rPr>
          <w:rFonts w:ascii="Arial" w:cs="Arial" w:eastAsia="Arial" w:hAnsi="Arial"/>
          <w:sz w:val="14"/>
          <w:szCs w:val="14"/>
          <w:b w:val="1"/>
          <w:bCs w:val="1"/>
          <w:color w:val="auto"/>
        </w:rPr>
        <w:t>(Title of Class)</w:t>
      </w:r>
    </w:p>
    <w:p>
      <w:pPr>
        <w:sectPr>
          <w:pgSz w:w="11900" w:h="16838" w:orient="portrait"/>
          <w:cols w:equalWidth="0" w:num="1">
            <w:col w:w="11024"/>
          </w:cols>
          <w:pgMar w:left="436" w:top="409" w:right="439" w:bottom="0" w:gutter="0" w:footer="0" w:header="0"/>
        </w:sectPr>
      </w:pPr>
    </w:p>
    <w:bookmarkStart w:id="12" w:name="page13"/>
    <w:bookmarkEnd w:id="12"/>
    <w:p>
      <w:pPr>
        <w:ind w:right="16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3037205</wp:posOffset>
            </wp:positionH>
            <wp:positionV relativeFrom="page">
              <wp:posOffset>311785</wp:posOffset>
            </wp:positionV>
            <wp:extent cx="1474470" cy="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1474470" cy="8255"/>
                    </a:xfrm>
                    <a:prstGeom prst="rect">
                      <a:avLst/>
                    </a:prstGeom>
                    <a:noFill/>
                  </pic:spPr>
                </pic:pic>
              </a:graphicData>
            </a:graphic>
          </wp:anchor>
        </w:drawing>
        <w:t>Indicate the number of outstanding shares of each of the issuer’s classes of capital or common stock as of the close of the period covered by the annual report.</w:t>
      </w:r>
    </w:p>
    <w:p>
      <w:pPr>
        <w:spacing w:after="0" w:line="166"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50,495,789 Common Shares</w:t>
      </w:r>
    </w:p>
    <w:p>
      <w:pPr>
        <w:spacing w:after="0" w:line="196" w:lineRule="exact"/>
        <w:rPr>
          <w:sz w:val="20"/>
          <w:szCs w:val="20"/>
          <w:color w:val="auto"/>
        </w:rPr>
      </w:pPr>
    </w:p>
    <w:p>
      <w:pPr>
        <w:spacing w:after="0" w:line="207" w:lineRule="exact"/>
        <w:tabs>
          <w:tab w:leader="none" w:pos="8580" w:val="left"/>
          <w:tab w:leader="none" w:pos="9280" w:val="left"/>
        </w:tabs>
        <w:rPr>
          <w:sz w:val="20"/>
          <w:szCs w:val="20"/>
          <w:color w:val="auto"/>
        </w:rPr>
      </w:pPr>
      <w:r>
        <w:rPr>
          <w:rFonts w:ascii="Arial" w:cs="Arial" w:eastAsia="Arial" w:hAnsi="Arial"/>
          <w:sz w:val="17"/>
          <w:szCs w:val="17"/>
          <w:color w:val="auto"/>
        </w:rPr>
        <w:t>Indicate by check mark if the registrant is a well-known seasoned issuer, as defined in Rule 405 of the Securities Act.</w:t>
      </w:r>
      <w:r>
        <w:rPr>
          <w:sz w:val="20"/>
          <w:szCs w:val="20"/>
          <w:color w:val="auto"/>
        </w:rPr>
        <w:tab/>
      </w:r>
      <w:r>
        <w:rPr>
          <w:rFonts w:ascii="Arial" w:cs="Arial" w:eastAsia="Arial" w:hAnsi="Arial"/>
          <w:sz w:val="18"/>
          <w:szCs w:val="18"/>
          <w:color w:val="auto"/>
        </w:rPr>
        <w:t xml:space="preserve">Yes </w:t>
      </w:r>
      <w:r>
        <w:rPr>
          <w:rFonts w:ascii="MS PGothic" w:cs="MS PGothic" w:eastAsia="MS PGothic" w:hAnsi="MS PGothic"/>
          <w:sz w:val="18"/>
          <w:szCs w:val="18"/>
          <w:color w:val="auto"/>
        </w:rPr>
        <w:t>☒</w:t>
      </w:r>
      <w:r>
        <w:rPr>
          <w:rFonts w:ascii="Arial" w:cs="Arial" w:eastAsia="Arial" w:hAnsi="Arial"/>
          <w:sz w:val="18"/>
          <w:szCs w:val="18"/>
          <w:color w:val="auto"/>
        </w:rPr>
        <w:tab/>
        <w:t xml:space="preserve">No </w:t>
      </w:r>
      <w:r>
        <w:rPr>
          <w:rFonts w:ascii="MS PGothic" w:cs="MS PGothic" w:eastAsia="MS PGothic" w:hAnsi="MS PGothic"/>
          <w:sz w:val="18"/>
          <w:szCs w:val="18"/>
          <w:color w:val="auto"/>
        </w:rPr>
        <w:t>☐</w:t>
      </w:r>
    </w:p>
    <w:p>
      <w:pPr>
        <w:spacing w:after="0" w:line="258" w:lineRule="exact"/>
        <w:rPr>
          <w:sz w:val="20"/>
          <w:szCs w:val="20"/>
          <w:color w:val="auto"/>
        </w:rPr>
      </w:pPr>
    </w:p>
    <w:p>
      <w:pPr>
        <w:ind w:right="80"/>
        <w:spacing w:after="0" w:line="233" w:lineRule="exact"/>
        <w:rPr>
          <w:sz w:val="20"/>
          <w:szCs w:val="20"/>
          <w:color w:val="auto"/>
        </w:rPr>
      </w:pPr>
      <w:r>
        <w:rPr>
          <w:rFonts w:ascii="Arial" w:cs="Arial" w:eastAsia="Arial" w:hAnsi="Arial"/>
          <w:sz w:val="18"/>
          <w:szCs w:val="18"/>
          <w:color w:val="auto"/>
        </w:rPr>
        <w:t xml:space="preserve">If this report is an annual or transition report, indicate by check mark if the registrant is not required to file reports pursuant to Section 13 or 15(d) of the Securities Exchange Act of l934. Yes </w:t>
      </w:r>
      <w:r>
        <w:rPr>
          <w:rFonts w:ascii="MS PGothic" w:cs="MS PGothic" w:eastAsia="MS PGothic" w:hAnsi="MS PGothic"/>
          <w:sz w:val="18"/>
          <w:szCs w:val="18"/>
          <w:color w:val="auto"/>
        </w:rPr>
        <w:t>☐</w:t>
      </w:r>
      <w:r>
        <w:rPr>
          <w:rFonts w:ascii="Arial" w:cs="Arial" w:eastAsia="Arial" w:hAnsi="Arial"/>
          <w:sz w:val="18"/>
          <w:szCs w:val="18"/>
          <w:color w:val="auto"/>
        </w:rPr>
        <w:t xml:space="preserve"> No </w:t>
      </w:r>
      <w:r>
        <w:rPr>
          <w:rFonts w:ascii="MS PGothic" w:cs="MS PGothic" w:eastAsia="MS PGothic" w:hAnsi="MS PGothic"/>
          <w:sz w:val="18"/>
          <w:szCs w:val="18"/>
          <w:color w:val="auto"/>
        </w:rPr>
        <w:t>☒</w:t>
      </w:r>
    </w:p>
    <w:p>
      <w:pPr>
        <w:spacing w:after="0" w:line="182" w:lineRule="exact"/>
        <w:rPr>
          <w:sz w:val="20"/>
          <w:szCs w:val="20"/>
          <w:color w:val="auto"/>
        </w:rPr>
      </w:pPr>
    </w:p>
    <w:p>
      <w:pPr>
        <w:ind w:right="120"/>
        <w:spacing w:after="0" w:line="227" w:lineRule="exact"/>
        <w:rPr>
          <w:sz w:val="20"/>
          <w:szCs w:val="20"/>
          <w:color w:val="auto"/>
        </w:rPr>
      </w:pPr>
      <w:r>
        <w:rPr>
          <w:rFonts w:ascii="Arial" w:cs="Arial" w:eastAsia="Arial" w:hAnsi="Arial"/>
          <w:sz w:val="18"/>
          <w:szCs w:val="18"/>
          <w:color w:val="auto"/>
        </w:rPr>
        <w:t xml:space="preserve">Indicate by check mark whether the registrant (1) has filed all reports required to be filed by Section 13 or 15(d) of the Securities Exchange Act of l934 during the preceding 12 months (or for such shorter period that the registrant was required to file such reports), and (2) has been subject to such filing requirements for the past 90 days. Yes </w:t>
      </w:r>
      <w:r>
        <w:rPr>
          <w:rFonts w:ascii="MS PGothic" w:cs="MS PGothic" w:eastAsia="MS PGothic" w:hAnsi="MS PGothic"/>
          <w:sz w:val="18"/>
          <w:szCs w:val="18"/>
          <w:color w:val="auto"/>
        </w:rPr>
        <w:t>☒</w:t>
      </w:r>
      <w:r>
        <w:rPr>
          <w:rFonts w:ascii="Arial" w:cs="Arial" w:eastAsia="Arial" w:hAnsi="Arial"/>
          <w:sz w:val="18"/>
          <w:szCs w:val="18"/>
          <w:color w:val="auto"/>
        </w:rPr>
        <w:t xml:space="preserve"> No </w:t>
      </w:r>
      <w:r>
        <w:rPr>
          <w:rFonts w:ascii="MS PGothic" w:cs="MS PGothic" w:eastAsia="MS PGothic" w:hAnsi="MS PGothic"/>
          <w:sz w:val="18"/>
          <w:szCs w:val="18"/>
          <w:color w:val="auto"/>
        </w:rPr>
        <w:t>☐</w:t>
      </w:r>
    </w:p>
    <w:p>
      <w:pPr>
        <w:spacing w:after="0" w:line="184" w:lineRule="exact"/>
        <w:rPr>
          <w:sz w:val="20"/>
          <w:szCs w:val="20"/>
          <w:color w:val="auto"/>
        </w:rPr>
      </w:pPr>
    </w:p>
    <w:p>
      <w:pPr>
        <w:ind w:right="120"/>
        <w:spacing w:after="0" w:line="227" w:lineRule="exact"/>
        <w:rPr>
          <w:sz w:val="20"/>
          <w:szCs w:val="20"/>
          <w:color w:val="auto"/>
        </w:rPr>
      </w:pPr>
      <w:r>
        <w:rPr>
          <w:rFonts w:ascii="Arial" w:cs="Arial" w:eastAsia="Arial" w:hAnsi="Arial"/>
          <w:sz w:val="18"/>
          <w:szCs w:val="18"/>
          <w:color w:val="auto"/>
        </w:rPr>
        <w:t xml:space="preserve">Indicate by check mark whether the registrant has submitted electronically, every Interactive Data File required to be submitted pursuant to Rule 405 of Regulation S-T (§232.405 of this chapter) during the preceding 12 months (or for such shorter period that the registrant was required to submit such files). Yes </w:t>
      </w:r>
      <w:r>
        <w:rPr>
          <w:rFonts w:ascii="MS PGothic" w:cs="MS PGothic" w:eastAsia="MS PGothic" w:hAnsi="MS PGothic"/>
          <w:sz w:val="18"/>
          <w:szCs w:val="18"/>
          <w:color w:val="auto"/>
        </w:rPr>
        <w:t>☒</w:t>
      </w:r>
      <w:r>
        <w:rPr>
          <w:rFonts w:ascii="Arial" w:cs="Arial" w:eastAsia="Arial" w:hAnsi="Arial"/>
          <w:sz w:val="18"/>
          <w:szCs w:val="18"/>
          <w:color w:val="auto"/>
        </w:rPr>
        <w:t xml:space="preserve"> No </w:t>
      </w:r>
      <w:r>
        <w:rPr>
          <w:rFonts w:ascii="MS PGothic" w:cs="MS PGothic" w:eastAsia="MS PGothic" w:hAnsi="MS PGothic"/>
          <w:sz w:val="18"/>
          <w:szCs w:val="18"/>
          <w:color w:val="auto"/>
        </w:rPr>
        <w:t>☐</w:t>
      </w:r>
    </w:p>
    <w:p>
      <w:pPr>
        <w:spacing w:after="0" w:line="184" w:lineRule="exact"/>
        <w:rPr>
          <w:sz w:val="20"/>
          <w:szCs w:val="20"/>
          <w:color w:val="auto"/>
        </w:rPr>
      </w:pPr>
    </w:p>
    <w:p>
      <w:pPr>
        <w:spacing w:after="0"/>
        <w:rPr>
          <w:sz w:val="20"/>
          <w:szCs w:val="20"/>
          <w:color w:val="auto"/>
        </w:rPr>
      </w:pPr>
      <w:r>
        <w:rPr>
          <w:rFonts w:ascii="Arial" w:cs="Arial" w:eastAsia="Arial" w:hAnsi="Arial"/>
          <w:sz w:val="16"/>
          <w:szCs w:val="16"/>
          <w:color w:val="auto"/>
        </w:rPr>
        <w:t>Indicate by check mark whether the registrant is a large accelerated filer, an accelerated filer, or a non-accelerated filer, or an emerging growth company.</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See definitions of “ accelerated filer”, “large accelerated filer” and “emerging growth company” in Rule 12b-2 of the Exchange Act.:</w:t>
      </w:r>
    </w:p>
    <w:p>
      <w:pPr>
        <w:spacing w:after="0" w:line="205" w:lineRule="exact"/>
        <w:rPr>
          <w:sz w:val="20"/>
          <w:szCs w:val="20"/>
          <w:color w:val="auto"/>
        </w:rPr>
      </w:pPr>
    </w:p>
    <w:p>
      <w:pPr>
        <w:ind w:left="380"/>
        <w:spacing w:after="0" w:line="207" w:lineRule="exact"/>
        <w:tabs>
          <w:tab w:leader="none" w:pos="3380" w:val="left"/>
          <w:tab w:leader="none" w:pos="6040" w:val="left"/>
          <w:tab w:leader="none" w:pos="8560" w:val="left"/>
        </w:tabs>
        <w:rPr>
          <w:sz w:val="20"/>
          <w:szCs w:val="20"/>
          <w:color w:val="auto"/>
        </w:rPr>
      </w:pPr>
      <w:r>
        <w:rPr>
          <w:rFonts w:ascii="Arial" w:cs="Arial" w:eastAsia="Arial" w:hAnsi="Arial"/>
          <w:sz w:val="18"/>
          <w:szCs w:val="18"/>
          <w:color w:val="auto"/>
        </w:rPr>
        <w:t xml:space="preserve">Large accelerated filer </w:t>
      </w:r>
      <w:r>
        <w:rPr>
          <w:rFonts w:ascii="MS PGothic" w:cs="MS PGothic" w:eastAsia="MS PGothic" w:hAnsi="MS PGothic"/>
          <w:sz w:val="18"/>
          <w:szCs w:val="18"/>
          <w:color w:val="auto"/>
        </w:rPr>
        <w:t>☐</w:t>
      </w:r>
      <w:r>
        <w:rPr>
          <w:sz w:val="20"/>
          <w:szCs w:val="20"/>
          <w:color w:val="auto"/>
        </w:rPr>
        <w:tab/>
      </w:r>
      <w:r>
        <w:rPr>
          <w:rFonts w:ascii="Arial" w:cs="Arial" w:eastAsia="Arial" w:hAnsi="Arial"/>
          <w:sz w:val="18"/>
          <w:szCs w:val="18"/>
          <w:color w:val="auto"/>
        </w:rPr>
        <w:t xml:space="preserve">Accelerated filer  </w:t>
      </w:r>
      <w:r>
        <w:rPr>
          <w:rFonts w:ascii="MS PGothic" w:cs="MS PGothic" w:eastAsia="MS PGothic" w:hAnsi="MS PGothic"/>
          <w:sz w:val="18"/>
          <w:szCs w:val="18"/>
          <w:color w:val="auto"/>
        </w:rPr>
        <w:t>☒</w:t>
      </w:r>
      <w:r>
        <w:rPr>
          <w:sz w:val="20"/>
          <w:szCs w:val="20"/>
          <w:color w:val="auto"/>
        </w:rPr>
        <w:tab/>
      </w:r>
      <w:r>
        <w:rPr>
          <w:rFonts w:ascii="Arial" w:cs="Arial" w:eastAsia="Arial" w:hAnsi="Arial"/>
          <w:sz w:val="18"/>
          <w:szCs w:val="18"/>
          <w:color w:val="auto"/>
        </w:rPr>
        <w:t xml:space="preserve">Non-accelerated filer </w:t>
      </w:r>
      <w:r>
        <w:rPr>
          <w:rFonts w:ascii="MS PGothic" w:cs="MS PGothic" w:eastAsia="MS PGothic" w:hAnsi="MS PGothic"/>
          <w:sz w:val="18"/>
          <w:szCs w:val="18"/>
          <w:color w:val="auto"/>
        </w:rPr>
        <w:t>☐</w:t>
      </w:r>
      <w:r>
        <w:rPr>
          <w:sz w:val="20"/>
          <w:szCs w:val="20"/>
          <w:color w:val="auto"/>
        </w:rPr>
        <w:tab/>
      </w:r>
      <w:r>
        <w:rPr>
          <w:rFonts w:ascii="Arial" w:cs="Arial" w:eastAsia="Arial" w:hAnsi="Arial"/>
          <w:sz w:val="16"/>
          <w:szCs w:val="16"/>
          <w:color w:val="auto"/>
        </w:rPr>
        <w:t xml:space="preserve">Emerging growth company </w:t>
      </w:r>
      <w:r>
        <w:rPr>
          <w:rFonts w:ascii="MS PGothic" w:cs="MS PGothic" w:eastAsia="MS PGothic" w:hAnsi="MS PGothic"/>
          <w:sz w:val="16"/>
          <w:szCs w:val="16"/>
          <w:color w:val="auto"/>
        </w:rPr>
        <w:t>☐</w:t>
      </w:r>
    </w:p>
    <w:p>
      <w:pPr>
        <w:spacing w:after="0" w:line="258" w:lineRule="exact"/>
        <w:rPr>
          <w:sz w:val="20"/>
          <w:szCs w:val="20"/>
          <w:color w:val="auto"/>
        </w:rPr>
      </w:pPr>
    </w:p>
    <w:p>
      <w:pPr>
        <w:ind w:right="300"/>
        <w:spacing w:after="0" w:line="233" w:lineRule="exact"/>
        <w:rPr>
          <w:sz w:val="20"/>
          <w:szCs w:val="20"/>
          <w:color w:val="auto"/>
        </w:rPr>
      </w:pPr>
      <w:r>
        <w:rPr>
          <w:rFonts w:ascii="Arial" w:cs="Arial" w:eastAsia="Arial" w:hAnsi="Arial"/>
          <w:sz w:val="18"/>
          <w:szCs w:val="18"/>
          <w:color w:val="auto"/>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MS PGothic" w:cs="MS PGothic" w:eastAsia="MS PGothic" w:hAnsi="MS PGothic"/>
          <w:sz w:val="18"/>
          <w:szCs w:val="18"/>
          <w:color w:val="auto"/>
        </w:rPr>
        <w:t>☐</w:t>
      </w:r>
    </w:p>
    <w:p>
      <w:pPr>
        <w:spacing w:after="0" w:line="182" w:lineRule="exact"/>
        <w:rPr>
          <w:sz w:val="20"/>
          <w:szCs w:val="20"/>
          <w:color w:val="auto"/>
        </w:rPr>
      </w:pPr>
    </w:p>
    <w:p>
      <w:pPr>
        <w:ind w:right="380"/>
        <w:spacing w:after="0" w:line="227" w:lineRule="exact"/>
        <w:rPr>
          <w:sz w:val="20"/>
          <w:szCs w:val="20"/>
          <w:color w:val="auto"/>
        </w:rPr>
      </w:pPr>
      <w:r>
        <w:rPr>
          <w:rFonts w:ascii="Arial" w:cs="Arial" w:eastAsia="Arial" w:hAnsi="Arial"/>
          <w:sz w:val="18"/>
          <w:szCs w:val="18"/>
          <w:color w:val="auto"/>
        </w:rPr>
        <w:t xml:space="preserve">Indicate by check mark whether the registrant has filed a report on and attestation to its management’s assessment of the effectiveness of its internal control over financial reporting under Section 404(b) of the Sarbanes-Oxley Act (15 U.S.C. 7262(b)) by the registered public accounting firm that prepared or issued its audit report. </w:t>
      </w:r>
      <w:r>
        <w:rPr>
          <w:rFonts w:ascii="MS PGothic" w:cs="MS PGothic" w:eastAsia="MS PGothic" w:hAnsi="MS PGothic"/>
          <w:sz w:val="18"/>
          <w:szCs w:val="18"/>
          <w:color w:val="auto"/>
        </w:rPr>
        <w:t>☒</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color w:val="auto"/>
        </w:rPr>
        <w:t>Indicate by check mark which basis of accounting the registrant has used to prepare the financial statements included in this filing:</w:t>
      </w:r>
    </w:p>
    <w:p>
      <w:pPr>
        <w:sectPr>
          <w:pgSz w:w="11900" w:h="16838" w:orient="portrait"/>
          <w:cols w:equalWidth="0" w:num="1">
            <w:col w:w="11020"/>
          </w:cols>
          <w:pgMar w:left="440" w:top="706" w:right="439" w:bottom="1440" w:gutter="0" w:footer="0" w:header="0"/>
        </w:sectPr>
      </w:pPr>
    </w:p>
    <w:p>
      <w:pPr>
        <w:spacing w:after="0" w:line="252" w:lineRule="exact"/>
        <w:rPr>
          <w:sz w:val="20"/>
          <w:szCs w:val="20"/>
          <w:color w:val="auto"/>
        </w:rPr>
      </w:pPr>
    </w:p>
    <w:p>
      <w:pPr>
        <w:spacing w:after="0"/>
        <w:rPr>
          <w:sz w:val="20"/>
          <w:szCs w:val="20"/>
          <w:color w:val="auto"/>
        </w:rPr>
      </w:pPr>
      <w:r>
        <w:rPr>
          <w:rFonts w:ascii="Arial" w:cs="Arial" w:eastAsia="Arial" w:hAnsi="Arial"/>
          <w:sz w:val="17"/>
          <w:szCs w:val="17"/>
          <w:color w:val="auto"/>
        </w:rPr>
        <w:t>U.S. GAAP</w:t>
      </w:r>
    </w:p>
    <w:p>
      <w:pPr>
        <w:spacing w:after="0" w:line="20" w:lineRule="exact"/>
        <w:rPr>
          <w:sz w:val="20"/>
          <w:szCs w:val="20"/>
          <w:color w:val="auto"/>
        </w:rPr>
      </w:pPr>
      <w:r>
        <w:rPr>
          <w:sz w:val="20"/>
          <w:szCs w:val="20"/>
          <w:color w:val="auto"/>
        </w:rPr>
        <w:br w:type="column"/>
      </w:r>
    </w:p>
    <w:p>
      <w:pPr>
        <w:spacing w:after="0" w:line="199" w:lineRule="exact"/>
        <w:rPr>
          <w:sz w:val="20"/>
          <w:szCs w:val="20"/>
          <w:color w:val="auto"/>
        </w:rPr>
      </w:pPr>
    </w:p>
    <w:p>
      <w:pPr>
        <w:spacing w:after="0" w:line="161" w:lineRule="exact"/>
        <w:rPr>
          <w:sz w:val="20"/>
          <w:szCs w:val="20"/>
          <w:color w:val="auto"/>
        </w:rPr>
      </w:pPr>
      <w:r>
        <w:rPr>
          <w:rFonts w:ascii="MS PGothic" w:cs="MS PGothic" w:eastAsia="MS PGothic" w:hAnsi="MS PGothic"/>
          <w:sz w:val="16"/>
          <w:szCs w:val="16"/>
          <w:color w:val="auto"/>
        </w:rPr>
        <w:t>☒</w:t>
      </w:r>
    </w:p>
    <w:p>
      <w:pPr>
        <w:spacing w:after="0" w:line="20" w:lineRule="exact"/>
        <w:rPr>
          <w:sz w:val="20"/>
          <w:szCs w:val="20"/>
          <w:color w:val="auto"/>
        </w:rPr>
      </w:pPr>
      <w:r>
        <w:rPr>
          <w:sz w:val="20"/>
          <w:szCs w:val="20"/>
          <w:color w:val="auto"/>
        </w:rPr>
        <w:br w:type="column"/>
      </w:r>
    </w:p>
    <w:p>
      <w:pPr>
        <w:spacing w:after="0" w:line="232" w:lineRule="exact"/>
        <w:rPr>
          <w:sz w:val="20"/>
          <w:szCs w:val="20"/>
          <w:color w:val="auto"/>
        </w:rPr>
      </w:pPr>
    </w:p>
    <w:p>
      <w:pPr>
        <w:spacing w:after="0"/>
        <w:rPr>
          <w:sz w:val="20"/>
          <w:szCs w:val="20"/>
          <w:color w:val="auto"/>
        </w:rPr>
      </w:pPr>
      <w:r>
        <w:rPr>
          <w:rFonts w:ascii="Arial" w:cs="Arial" w:eastAsia="Arial" w:hAnsi="Arial"/>
          <w:sz w:val="16"/>
          <w:szCs w:val="16"/>
          <w:color w:val="auto"/>
        </w:rPr>
        <w:t>International Financial Reporting Standards as</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issued by the International Accounting</w:t>
      </w:r>
    </w:p>
    <w:p>
      <w:pPr>
        <w:spacing w:after="0" w:line="9" w:lineRule="exact"/>
        <w:rPr>
          <w:sz w:val="20"/>
          <w:szCs w:val="20"/>
          <w:color w:val="auto"/>
        </w:rPr>
      </w:pPr>
    </w:p>
    <w:p>
      <w:pPr>
        <w:spacing w:after="0" w:line="207" w:lineRule="exact"/>
        <w:rPr>
          <w:sz w:val="20"/>
          <w:szCs w:val="20"/>
          <w:color w:val="auto"/>
        </w:rPr>
      </w:pPr>
      <w:r>
        <w:rPr>
          <w:rFonts w:ascii="Arial" w:cs="Arial" w:eastAsia="Arial" w:hAnsi="Arial"/>
          <w:sz w:val="18"/>
          <w:szCs w:val="18"/>
          <w:color w:val="auto"/>
        </w:rPr>
        <w:t xml:space="preserve">Standards Board </w:t>
      </w:r>
      <w:r>
        <w:rPr>
          <w:rFonts w:ascii="MS PGothic" w:cs="MS PGothic" w:eastAsia="MS PGothic" w:hAnsi="MS PGothic"/>
          <w:sz w:val="18"/>
          <w:szCs w:val="18"/>
          <w:color w:val="auto"/>
        </w:rPr>
        <w:t>☐</w:t>
      </w:r>
    </w:p>
    <w:p>
      <w:pPr>
        <w:spacing w:after="0" w:line="20" w:lineRule="exact"/>
        <w:rPr>
          <w:sz w:val="20"/>
          <w:szCs w:val="20"/>
          <w:color w:val="auto"/>
        </w:rPr>
      </w:pPr>
      <w:r>
        <w:rPr>
          <w:sz w:val="20"/>
          <w:szCs w:val="20"/>
          <w:color w:val="auto"/>
        </w:rPr>
        <w:br w:type="column"/>
      </w:r>
    </w:p>
    <w:p>
      <w:pPr>
        <w:spacing w:after="0" w:line="232" w:lineRule="exact"/>
        <w:rPr>
          <w:sz w:val="20"/>
          <w:szCs w:val="20"/>
          <w:color w:val="auto"/>
        </w:rPr>
      </w:pPr>
    </w:p>
    <w:p>
      <w:pPr>
        <w:spacing w:after="0"/>
        <w:rPr>
          <w:sz w:val="20"/>
          <w:szCs w:val="20"/>
          <w:color w:val="auto"/>
        </w:rPr>
      </w:pPr>
      <w:r>
        <w:rPr>
          <w:rFonts w:ascii="Arial" w:cs="Arial" w:eastAsia="Arial" w:hAnsi="Arial"/>
          <w:sz w:val="15"/>
          <w:szCs w:val="15"/>
          <w:color w:val="auto"/>
        </w:rPr>
        <w:t>Other</w:t>
      </w:r>
    </w:p>
    <w:p>
      <w:pPr>
        <w:spacing w:after="0" w:line="20" w:lineRule="exact"/>
        <w:rPr>
          <w:sz w:val="20"/>
          <w:szCs w:val="20"/>
          <w:color w:val="auto"/>
        </w:rPr>
      </w:pPr>
      <w:r>
        <w:rPr>
          <w:sz w:val="20"/>
          <w:szCs w:val="20"/>
          <w:color w:val="auto"/>
        </w:rPr>
        <w:br w:type="column"/>
      </w:r>
    </w:p>
    <w:p>
      <w:pPr>
        <w:spacing w:after="0" w:line="199" w:lineRule="exact"/>
        <w:rPr>
          <w:sz w:val="20"/>
          <w:szCs w:val="20"/>
          <w:color w:val="auto"/>
        </w:rPr>
      </w:pPr>
    </w:p>
    <w:p>
      <w:pPr>
        <w:spacing w:after="0" w:line="161" w:lineRule="exact"/>
        <w:rPr>
          <w:sz w:val="20"/>
          <w:szCs w:val="20"/>
          <w:color w:val="auto"/>
        </w:rPr>
      </w:pPr>
      <w:r>
        <w:rPr>
          <w:rFonts w:ascii="MS PGothic" w:cs="MS PGothic" w:eastAsia="MS PGothic" w:hAnsi="MS PGothic"/>
          <w:sz w:val="16"/>
          <w:szCs w:val="16"/>
          <w:color w:val="auto"/>
        </w:rPr>
        <w:t>☐</w:t>
      </w:r>
    </w:p>
    <w:p>
      <w:pPr>
        <w:spacing w:after="0" w:line="725" w:lineRule="exact"/>
        <w:rPr>
          <w:sz w:val="20"/>
          <w:szCs w:val="20"/>
          <w:color w:val="auto"/>
        </w:rPr>
      </w:pPr>
    </w:p>
    <w:p>
      <w:pPr>
        <w:sectPr>
          <w:pgSz w:w="11900" w:h="16838" w:orient="portrait"/>
          <w:cols w:equalWidth="0" w:num="5">
            <w:col w:w="860" w:space="80"/>
            <w:col w:w="2320" w:space="720"/>
            <w:col w:w="5660" w:space="720"/>
            <w:col w:w="400" w:space="100"/>
            <w:col w:w="160"/>
          </w:cols>
          <w:pgMar w:left="440" w:top="706" w:right="439" w:bottom="1440" w:gutter="0" w:footer="0" w:header="0"/>
          <w:type w:val="continuous"/>
        </w:sectPr>
      </w:pPr>
    </w:p>
    <w:p>
      <w:pPr>
        <w:spacing w:after="0" w:line="11" w:lineRule="exact"/>
        <w:rPr>
          <w:sz w:val="20"/>
          <w:szCs w:val="20"/>
          <w:color w:val="auto"/>
        </w:rPr>
      </w:pPr>
    </w:p>
    <w:p>
      <w:pPr>
        <w:ind w:right="320"/>
        <w:spacing w:after="0" w:line="233" w:lineRule="exact"/>
        <w:rPr>
          <w:sz w:val="20"/>
          <w:szCs w:val="20"/>
          <w:color w:val="auto"/>
        </w:rPr>
      </w:pPr>
      <w:r>
        <w:rPr>
          <w:rFonts w:ascii="Arial" w:cs="Arial" w:eastAsia="Arial" w:hAnsi="Arial"/>
          <w:sz w:val="18"/>
          <w:szCs w:val="18"/>
          <w:color w:val="auto"/>
        </w:rPr>
        <w:t xml:space="preserve">If “Other” has been checked in response to the previous question, indicate by check mark which financial statement item the registrant has elected to follow. Item 17 </w:t>
      </w:r>
      <w:r>
        <w:rPr>
          <w:rFonts w:ascii="MS PGothic" w:cs="MS PGothic" w:eastAsia="MS PGothic" w:hAnsi="MS PGothic"/>
          <w:sz w:val="18"/>
          <w:szCs w:val="18"/>
          <w:color w:val="auto"/>
        </w:rPr>
        <w:t>☐</w:t>
      </w:r>
      <w:r>
        <w:rPr>
          <w:rFonts w:ascii="Arial" w:cs="Arial" w:eastAsia="Arial" w:hAnsi="Arial"/>
          <w:sz w:val="18"/>
          <w:szCs w:val="18"/>
          <w:color w:val="auto"/>
        </w:rPr>
        <w:t xml:space="preserve"> Item 18 </w:t>
      </w:r>
      <w:r>
        <w:rPr>
          <w:rFonts w:ascii="MS PGothic" w:cs="MS PGothic" w:eastAsia="MS PGothic" w:hAnsi="MS PGothic"/>
          <w:sz w:val="18"/>
          <w:szCs w:val="18"/>
          <w:color w:val="auto"/>
        </w:rPr>
        <w:t>☐</w:t>
      </w:r>
    </w:p>
    <w:p>
      <w:pPr>
        <w:spacing w:after="0" w:line="182" w:lineRule="exact"/>
        <w:rPr>
          <w:sz w:val="20"/>
          <w:szCs w:val="20"/>
          <w:color w:val="auto"/>
        </w:rPr>
      </w:pPr>
    </w:p>
    <w:p>
      <w:pPr>
        <w:ind w:right="1380"/>
        <w:spacing w:after="0" w:line="233" w:lineRule="exact"/>
        <w:rPr>
          <w:sz w:val="20"/>
          <w:szCs w:val="20"/>
          <w:color w:val="auto"/>
        </w:rPr>
      </w:pPr>
      <w:r>
        <w:rPr>
          <w:rFonts w:ascii="Arial" w:cs="Arial" w:eastAsia="Arial" w:hAnsi="Arial"/>
          <w:sz w:val="18"/>
          <w:szCs w:val="18"/>
          <w:color w:val="auto"/>
        </w:rPr>
        <w:t xml:space="preserve">If this is an annual report, indicate by check mark whether the registrant is a shell company (as defined in Rule 12b-2 of the Exchange Act). Yes </w:t>
      </w:r>
      <w:r>
        <w:rPr>
          <w:rFonts w:ascii="MS PGothic" w:cs="MS PGothic" w:eastAsia="MS PGothic" w:hAnsi="MS PGothic"/>
          <w:sz w:val="18"/>
          <w:szCs w:val="18"/>
          <w:color w:val="auto"/>
        </w:rPr>
        <w:t>☐</w:t>
      </w:r>
      <w:r>
        <w:rPr>
          <w:rFonts w:ascii="Arial" w:cs="Arial" w:eastAsia="Arial" w:hAnsi="Arial"/>
          <w:sz w:val="18"/>
          <w:szCs w:val="18"/>
          <w:color w:val="auto"/>
        </w:rPr>
        <w:t xml:space="preserve"> No </w:t>
      </w:r>
      <w:r>
        <w:rPr>
          <w:rFonts w:ascii="MS PGothic" w:cs="MS PGothic" w:eastAsia="MS PGothic" w:hAnsi="MS PGothic"/>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133350</wp:posOffset>
            </wp:positionV>
            <wp:extent cx="6995160" cy="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6995160"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176530</wp:posOffset>
            </wp:positionV>
            <wp:extent cx="6995160" cy="82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020"/>
          </w:cols>
          <w:pgMar w:left="440" w:top="706" w:right="439" w:bottom="1440" w:gutter="0" w:footer="0" w:header="0"/>
          <w:type w:val="continuous"/>
        </w:sectPr>
      </w:pPr>
    </w:p>
    <w:bookmarkStart w:id="13" w:name="page14"/>
    <w:bookmarkEnd w:id="13"/>
    <w:p>
      <w:pPr>
        <w:jc w:val="center"/>
        <w:ind w:right="-1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TABLE OF CONTENTS</w:t>
      </w:r>
    </w:p>
    <w:p>
      <w:pPr>
        <w:spacing w:after="0" w:line="302"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4920" w:type="dxa"/>
            <w:vAlign w:val="bottom"/>
            <w:gridSpan w:val="2"/>
            <w:vMerge w:val="restart"/>
          </w:tcPr>
          <w:p>
            <w:pPr>
              <w:spacing w:after="0"/>
              <w:rPr>
                <w:sz w:val="20"/>
                <w:szCs w:val="20"/>
                <w:color w:val="auto"/>
              </w:rPr>
            </w:pPr>
            <w:r>
              <w:rPr>
                <w:rFonts w:ascii="Arial" w:cs="Arial" w:eastAsia="Arial" w:hAnsi="Arial"/>
                <w:sz w:val="18"/>
                <w:szCs w:val="18"/>
                <w:color w:val="auto"/>
                <w:w w:val="95"/>
              </w:rPr>
              <w:t>Information Regarding Forward-Looking Statements; Cautionary</w:t>
            </w:r>
          </w:p>
        </w:tc>
        <w:tc>
          <w:tcPr>
            <w:tcW w:w="50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w w:val="83"/>
              </w:rPr>
              <w:t>Page</w:t>
            </w:r>
          </w:p>
        </w:tc>
        <w:tc>
          <w:tcPr>
            <w:tcW w:w="1020" w:type="dxa"/>
            <w:vAlign w:val="bottom"/>
            <w:vMerge w:val="restart"/>
          </w:tcPr>
          <w:p>
            <w:pPr>
              <w:ind w:left="200"/>
              <w:spacing w:after="0"/>
              <w:rPr>
                <w:sz w:val="20"/>
                <w:szCs w:val="20"/>
                <w:color w:val="auto"/>
              </w:rPr>
            </w:pPr>
            <w:r>
              <w:rPr>
                <w:rFonts w:ascii="Arial" w:cs="Arial" w:eastAsia="Arial" w:hAnsi="Arial"/>
                <w:sz w:val="18"/>
                <w:szCs w:val="18"/>
                <w:color w:val="auto"/>
              </w:rPr>
              <w:t>Item 14.</w:t>
            </w:r>
          </w:p>
        </w:tc>
        <w:tc>
          <w:tcPr>
            <w:tcW w:w="4200" w:type="dxa"/>
            <w:vAlign w:val="bottom"/>
            <w:vMerge w:val="restart"/>
          </w:tcPr>
          <w:p>
            <w:pPr>
              <w:ind w:left="80"/>
              <w:spacing w:after="0"/>
              <w:rPr>
                <w:sz w:val="20"/>
                <w:szCs w:val="20"/>
                <w:color w:val="auto"/>
              </w:rPr>
            </w:pPr>
            <w:r>
              <w:rPr>
                <w:rFonts w:ascii="Arial" w:cs="Arial" w:eastAsia="Arial" w:hAnsi="Arial"/>
                <w:sz w:val="18"/>
                <w:szCs w:val="18"/>
                <w:color w:val="auto"/>
              </w:rPr>
              <w:t>Material Modifications to the Rights of Security</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auto"/>
                <w:w w:val="83"/>
              </w:rPr>
              <w:t>Page</w:t>
            </w:r>
          </w:p>
        </w:tc>
        <w:tc>
          <w:tcPr>
            <w:tcW w:w="0" w:type="dxa"/>
            <w:vAlign w:val="bottom"/>
          </w:tcPr>
          <w:p>
            <w:pPr>
              <w:spacing w:after="0"/>
              <w:rPr>
                <w:sz w:val="1"/>
                <w:szCs w:val="1"/>
                <w:color w:val="auto"/>
              </w:rPr>
            </w:pPr>
          </w:p>
        </w:tc>
      </w:tr>
      <w:tr>
        <w:trPr>
          <w:trHeight w:val="182"/>
        </w:trPr>
        <w:tc>
          <w:tcPr>
            <w:tcW w:w="4920" w:type="dxa"/>
            <w:vAlign w:val="bottom"/>
            <w:gridSpan w:val="2"/>
            <w:vMerge w:val="continue"/>
          </w:tcPr>
          <w:p>
            <w:pPr>
              <w:spacing w:after="0"/>
              <w:rPr>
                <w:sz w:val="15"/>
                <w:szCs w:val="15"/>
                <w:color w:val="auto"/>
              </w:rPr>
            </w:pPr>
          </w:p>
        </w:tc>
        <w:tc>
          <w:tcPr>
            <w:tcW w:w="300" w:type="dxa"/>
            <w:vAlign w:val="bottom"/>
            <w:tcBorders>
              <w:top w:val="single" w:sz="8" w:color="auto"/>
            </w:tcBorders>
          </w:tcPr>
          <w:p>
            <w:pPr>
              <w:spacing w:after="0"/>
              <w:rPr>
                <w:sz w:val="15"/>
                <w:szCs w:val="15"/>
                <w:color w:val="auto"/>
              </w:rPr>
            </w:pPr>
          </w:p>
        </w:tc>
        <w:tc>
          <w:tcPr>
            <w:tcW w:w="200" w:type="dxa"/>
            <w:vAlign w:val="bottom"/>
          </w:tcPr>
          <w:p>
            <w:pPr>
              <w:spacing w:after="0"/>
              <w:rPr>
                <w:sz w:val="15"/>
                <w:szCs w:val="15"/>
                <w:color w:val="auto"/>
              </w:rPr>
            </w:pPr>
          </w:p>
        </w:tc>
        <w:tc>
          <w:tcPr>
            <w:tcW w:w="1020" w:type="dxa"/>
            <w:vAlign w:val="bottom"/>
            <w:vMerge w:val="continue"/>
          </w:tcPr>
          <w:p>
            <w:pPr>
              <w:spacing w:after="0"/>
              <w:rPr>
                <w:sz w:val="15"/>
                <w:szCs w:val="15"/>
                <w:color w:val="auto"/>
              </w:rPr>
            </w:pPr>
          </w:p>
        </w:tc>
        <w:tc>
          <w:tcPr>
            <w:tcW w:w="4200" w:type="dxa"/>
            <w:vAlign w:val="bottom"/>
            <w:vMerge w:val="continue"/>
          </w:tcPr>
          <w:p>
            <w:pPr>
              <w:spacing w:after="0"/>
              <w:rPr>
                <w:sz w:val="15"/>
                <w:szCs w:val="15"/>
                <w:color w:val="auto"/>
              </w:rPr>
            </w:pPr>
          </w:p>
        </w:tc>
        <w:tc>
          <w:tcPr>
            <w:tcW w:w="320" w:type="dxa"/>
            <w:vAlign w:val="bottom"/>
            <w:tcBorders>
              <w:top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216"/>
        </w:trPr>
        <w:tc>
          <w:tcPr>
            <w:tcW w:w="900" w:type="dxa"/>
            <w:vAlign w:val="bottom"/>
          </w:tcPr>
          <w:p>
            <w:pPr>
              <w:ind w:left="180"/>
              <w:spacing w:after="0"/>
              <w:rPr>
                <w:sz w:val="20"/>
                <w:szCs w:val="20"/>
                <w:color w:val="auto"/>
              </w:rPr>
            </w:pPr>
            <w:r>
              <w:rPr>
                <w:rFonts w:ascii="Arial" w:cs="Arial" w:eastAsia="Arial" w:hAnsi="Arial"/>
                <w:sz w:val="18"/>
                <w:szCs w:val="18"/>
                <w:color w:val="auto"/>
                <w:w w:val="87"/>
              </w:rPr>
              <w:t>Language</w:t>
            </w:r>
          </w:p>
        </w:tc>
        <w:tc>
          <w:tcPr>
            <w:tcW w:w="4020" w:type="dxa"/>
            <w:vAlign w:val="bottom"/>
          </w:tcPr>
          <w:p>
            <w:pPr>
              <w:spacing w:after="0"/>
              <w:rPr>
                <w:sz w:val="18"/>
                <w:szCs w:val="18"/>
                <w:color w:val="auto"/>
              </w:rPr>
            </w:pPr>
          </w:p>
        </w:tc>
        <w:tc>
          <w:tcPr>
            <w:tcW w:w="500" w:type="dxa"/>
            <w:vAlign w:val="bottom"/>
            <w:gridSpan w:val="2"/>
          </w:tcPr>
          <w:p>
            <w:pPr>
              <w:jc w:val="right"/>
              <w:ind w:right="200"/>
              <w:spacing w:after="0"/>
              <w:rPr>
                <w:sz w:val="20"/>
                <w:szCs w:val="20"/>
                <w:color w:val="auto"/>
              </w:rPr>
            </w:pPr>
            <w:r>
              <w:rPr>
                <w:rFonts w:ascii="Arial" w:cs="Arial" w:eastAsia="Arial" w:hAnsi="Arial"/>
                <w:sz w:val="18"/>
                <w:szCs w:val="18"/>
                <w:color w:val="auto"/>
              </w:rPr>
              <w:t>1</w:t>
            </w:r>
          </w:p>
        </w:tc>
        <w:tc>
          <w:tcPr>
            <w:tcW w:w="1020" w:type="dxa"/>
            <w:vAlign w:val="bottom"/>
          </w:tcPr>
          <w:p>
            <w:pPr>
              <w:spacing w:after="0"/>
              <w:rPr>
                <w:sz w:val="18"/>
                <w:szCs w:val="18"/>
                <w:color w:val="auto"/>
              </w:rPr>
            </w:pPr>
          </w:p>
        </w:tc>
        <w:tc>
          <w:tcPr>
            <w:tcW w:w="4200" w:type="dxa"/>
            <w:vAlign w:val="bottom"/>
          </w:tcPr>
          <w:p>
            <w:pPr>
              <w:ind w:left="80"/>
              <w:spacing w:after="0"/>
              <w:rPr>
                <w:sz w:val="20"/>
                <w:szCs w:val="20"/>
                <w:color w:val="auto"/>
              </w:rPr>
            </w:pPr>
            <w:r>
              <w:rPr>
                <w:rFonts w:ascii="Arial" w:cs="Arial" w:eastAsia="Arial" w:hAnsi="Arial"/>
                <w:sz w:val="18"/>
                <w:szCs w:val="18"/>
                <w:color w:val="auto"/>
              </w:rPr>
              <w:t>Holders and Use of Proceeds</w:t>
            </w:r>
          </w:p>
        </w:tc>
        <w:tc>
          <w:tcPr>
            <w:tcW w:w="320" w:type="dxa"/>
            <w:vAlign w:val="bottom"/>
          </w:tcPr>
          <w:p>
            <w:pPr>
              <w:jc w:val="right"/>
              <w:spacing w:after="0"/>
              <w:rPr>
                <w:sz w:val="20"/>
                <w:szCs w:val="20"/>
                <w:color w:val="auto"/>
              </w:rPr>
            </w:pPr>
            <w:r>
              <w:rPr>
                <w:rFonts w:ascii="Arial" w:cs="Arial" w:eastAsia="Arial" w:hAnsi="Arial"/>
                <w:sz w:val="18"/>
                <w:szCs w:val="18"/>
                <w:color w:val="auto"/>
              </w:rPr>
              <w:t>94</w:t>
            </w:r>
          </w:p>
        </w:tc>
        <w:tc>
          <w:tcPr>
            <w:tcW w:w="0" w:type="dxa"/>
            <w:vAlign w:val="bottom"/>
          </w:tcPr>
          <w:p>
            <w:pPr>
              <w:spacing w:after="0"/>
              <w:rPr>
                <w:sz w:val="1"/>
                <w:szCs w:val="1"/>
                <w:color w:val="auto"/>
              </w:rPr>
            </w:pPr>
          </w:p>
        </w:tc>
      </w:tr>
      <w:tr>
        <w:trPr>
          <w:trHeight w:val="216"/>
        </w:trPr>
        <w:tc>
          <w:tcPr>
            <w:tcW w:w="900" w:type="dxa"/>
            <w:vAlign w:val="bottom"/>
          </w:tcPr>
          <w:p>
            <w:pPr>
              <w:spacing w:after="0"/>
              <w:rPr>
                <w:sz w:val="20"/>
                <w:szCs w:val="20"/>
                <w:color w:val="auto"/>
              </w:rPr>
            </w:pPr>
            <w:r>
              <w:rPr>
                <w:rFonts w:ascii="Arial" w:cs="Arial" w:eastAsia="Arial" w:hAnsi="Arial"/>
                <w:sz w:val="18"/>
                <w:szCs w:val="18"/>
                <w:color w:val="auto"/>
              </w:rPr>
              <w:t>P</w:t>
            </w:r>
            <w:r>
              <w:rPr>
                <w:rFonts w:ascii="Arial" w:cs="Arial" w:eastAsia="Arial" w:hAnsi="Arial"/>
                <w:sz w:val="14"/>
                <w:szCs w:val="14"/>
                <w:color w:val="auto"/>
              </w:rPr>
              <w:t>ART</w:t>
            </w:r>
            <w:r>
              <w:rPr>
                <w:rFonts w:ascii="Arial" w:cs="Arial" w:eastAsia="Arial" w:hAnsi="Arial"/>
                <w:sz w:val="18"/>
                <w:szCs w:val="18"/>
                <w:color w:val="auto"/>
              </w:rPr>
              <w:t xml:space="preserve"> I</w:t>
            </w:r>
          </w:p>
        </w:tc>
        <w:tc>
          <w:tcPr>
            <w:tcW w:w="40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20" w:type="dxa"/>
            <w:vAlign w:val="bottom"/>
          </w:tcPr>
          <w:p>
            <w:pPr>
              <w:ind w:left="200"/>
              <w:spacing w:after="0"/>
              <w:rPr>
                <w:sz w:val="20"/>
                <w:szCs w:val="20"/>
                <w:color w:val="auto"/>
              </w:rPr>
            </w:pPr>
            <w:r>
              <w:rPr>
                <w:rFonts w:ascii="Arial" w:cs="Arial" w:eastAsia="Arial" w:hAnsi="Arial"/>
                <w:sz w:val="18"/>
                <w:szCs w:val="18"/>
                <w:color w:val="auto"/>
              </w:rPr>
              <w:t>Item 15.</w:t>
            </w:r>
          </w:p>
        </w:tc>
        <w:tc>
          <w:tcPr>
            <w:tcW w:w="4200" w:type="dxa"/>
            <w:vAlign w:val="bottom"/>
          </w:tcPr>
          <w:p>
            <w:pPr>
              <w:ind w:left="80"/>
              <w:spacing w:after="0"/>
              <w:rPr>
                <w:sz w:val="20"/>
                <w:szCs w:val="20"/>
                <w:color w:val="auto"/>
              </w:rPr>
            </w:pPr>
            <w:r>
              <w:rPr>
                <w:rFonts w:ascii="Arial" w:cs="Arial" w:eastAsia="Arial" w:hAnsi="Arial"/>
                <w:sz w:val="18"/>
                <w:szCs w:val="18"/>
                <w:color w:val="auto"/>
              </w:rPr>
              <w:t>Controls and Procedures</w:t>
            </w:r>
          </w:p>
        </w:tc>
        <w:tc>
          <w:tcPr>
            <w:tcW w:w="320" w:type="dxa"/>
            <w:vAlign w:val="bottom"/>
          </w:tcPr>
          <w:p>
            <w:pPr>
              <w:jc w:val="right"/>
              <w:spacing w:after="0"/>
              <w:rPr>
                <w:sz w:val="20"/>
                <w:szCs w:val="20"/>
                <w:color w:val="auto"/>
              </w:rPr>
            </w:pPr>
            <w:r>
              <w:rPr>
                <w:rFonts w:ascii="Arial" w:cs="Arial" w:eastAsia="Arial" w:hAnsi="Arial"/>
                <w:sz w:val="18"/>
                <w:szCs w:val="18"/>
                <w:color w:val="auto"/>
              </w:rPr>
              <w:t>94</w:t>
            </w:r>
          </w:p>
        </w:tc>
        <w:tc>
          <w:tcPr>
            <w:tcW w:w="0" w:type="dxa"/>
            <w:vAlign w:val="bottom"/>
          </w:tcPr>
          <w:p>
            <w:pPr>
              <w:spacing w:after="0"/>
              <w:rPr>
                <w:sz w:val="1"/>
                <w:szCs w:val="1"/>
                <w:color w:val="auto"/>
              </w:rPr>
            </w:pPr>
          </w:p>
        </w:tc>
      </w:tr>
      <w:tr>
        <w:trPr>
          <w:trHeight w:val="216"/>
        </w:trPr>
        <w:tc>
          <w:tcPr>
            <w:tcW w:w="900" w:type="dxa"/>
            <w:vAlign w:val="bottom"/>
          </w:tcPr>
          <w:p>
            <w:pPr>
              <w:spacing w:after="0"/>
              <w:rPr>
                <w:sz w:val="20"/>
                <w:szCs w:val="20"/>
                <w:color w:val="auto"/>
              </w:rPr>
            </w:pPr>
            <w:r>
              <w:rPr>
                <w:rFonts w:ascii="Arial" w:cs="Arial" w:eastAsia="Arial" w:hAnsi="Arial"/>
                <w:sz w:val="18"/>
                <w:szCs w:val="18"/>
                <w:color w:val="auto"/>
              </w:rPr>
              <w:t>Item 1.</w:t>
            </w:r>
          </w:p>
        </w:tc>
        <w:tc>
          <w:tcPr>
            <w:tcW w:w="4020" w:type="dxa"/>
            <w:vAlign w:val="bottom"/>
          </w:tcPr>
          <w:p>
            <w:pPr>
              <w:ind w:left="20"/>
              <w:spacing w:after="0"/>
              <w:rPr>
                <w:sz w:val="20"/>
                <w:szCs w:val="20"/>
                <w:color w:val="auto"/>
              </w:rPr>
            </w:pPr>
            <w:r>
              <w:rPr>
                <w:rFonts w:ascii="Arial" w:cs="Arial" w:eastAsia="Arial" w:hAnsi="Arial"/>
                <w:sz w:val="18"/>
                <w:szCs w:val="18"/>
                <w:color w:val="auto"/>
              </w:rPr>
              <w:t>Identity of Directors, Senior Management and</w:t>
            </w:r>
          </w:p>
        </w:tc>
        <w:tc>
          <w:tcPr>
            <w:tcW w:w="3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20" w:type="dxa"/>
            <w:vAlign w:val="bottom"/>
          </w:tcPr>
          <w:p>
            <w:pPr>
              <w:ind w:left="200"/>
              <w:spacing w:after="0"/>
              <w:rPr>
                <w:sz w:val="20"/>
                <w:szCs w:val="20"/>
                <w:color w:val="auto"/>
              </w:rPr>
            </w:pPr>
            <w:r>
              <w:rPr>
                <w:rFonts w:ascii="Arial" w:cs="Arial" w:eastAsia="Arial" w:hAnsi="Arial"/>
                <w:sz w:val="18"/>
                <w:szCs w:val="18"/>
                <w:color w:val="auto"/>
              </w:rPr>
              <w:t>Item 16.</w:t>
            </w:r>
          </w:p>
        </w:tc>
        <w:tc>
          <w:tcPr>
            <w:tcW w:w="4200" w:type="dxa"/>
            <w:vAlign w:val="bottom"/>
          </w:tcPr>
          <w:p>
            <w:pPr>
              <w:ind w:left="80"/>
              <w:spacing w:after="0"/>
              <w:rPr>
                <w:sz w:val="20"/>
                <w:szCs w:val="20"/>
                <w:color w:val="auto"/>
              </w:rPr>
            </w:pPr>
            <w:r>
              <w:rPr>
                <w:rFonts w:ascii="Arial" w:cs="Arial" w:eastAsia="Arial" w:hAnsi="Arial"/>
                <w:sz w:val="18"/>
                <w:szCs w:val="18"/>
                <w:color w:val="auto"/>
              </w:rPr>
              <w:t>[Reserved]</w:t>
            </w:r>
          </w:p>
        </w:tc>
        <w:tc>
          <w:tcPr>
            <w:tcW w:w="320" w:type="dxa"/>
            <w:vAlign w:val="bottom"/>
          </w:tcPr>
          <w:p>
            <w:pPr>
              <w:jc w:val="right"/>
              <w:spacing w:after="0"/>
              <w:rPr>
                <w:sz w:val="20"/>
                <w:szCs w:val="20"/>
                <w:color w:val="auto"/>
              </w:rPr>
            </w:pPr>
            <w:r>
              <w:rPr>
                <w:rFonts w:ascii="Arial" w:cs="Arial" w:eastAsia="Arial" w:hAnsi="Arial"/>
                <w:sz w:val="18"/>
                <w:szCs w:val="18"/>
                <w:color w:val="auto"/>
              </w:rPr>
              <w:t>95</w:t>
            </w:r>
          </w:p>
        </w:tc>
        <w:tc>
          <w:tcPr>
            <w:tcW w:w="0" w:type="dxa"/>
            <w:vAlign w:val="bottom"/>
          </w:tcPr>
          <w:p>
            <w:pPr>
              <w:spacing w:after="0"/>
              <w:rPr>
                <w:sz w:val="1"/>
                <w:szCs w:val="1"/>
                <w:color w:val="auto"/>
              </w:rPr>
            </w:pPr>
          </w:p>
        </w:tc>
      </w:tr>
      <w:tr>
        <w:trPr>
          <w:trHeight w:val="216"/>
        </w:trPr>
        <w:tc>
          <w:tcPr>
            <w:tcW w:w="900" w:type="dxa"/>
            <w:vAlign w:val="bottom"/>
          </w:tcPr>
          <w:p>
            <w:pPr>
              <w:spacing w:after="0"/>
              <w:rPr>
                <w:sz w:val="18"/>
                <w:szCs w:val="18"/>
                <w:color w:val="auto"/>
              </w:rPr>
            </w:pPr>
          </w:p>
        </w:tc>
        <w:tc>
          <w:tcPr>
            <w:tcW w:w="4020" w:type="dxa"/>
            <w:vAlign w:val="bottom"/>
          </w:tcPr>
          <w:p>
            <w:pPr>
              <w:ind w:left="20"/>
              <w:spacing w:after="0"/>
              <w:rPr>
                <w:sz w:val="20"/>
                <w:szCs w:val="20"/>
                <w:color w:val="auto"/>
              </w:rPr>
            </w:pPr>
            <w:r>
              <w:rPr>
                <w:rFonts w:ascii="Arial" w:cs="Arial" w:eastAsia="Arial" w:hAnsi="Arial"/>
                <w:sz w:val="18"/>
                <w:szCs w:val="18"/>
                <w:color w:val="auto"/>
              </w:rPr>
              <w:t>Advisers</w:t>
            </w:r>
          </w:p>
        </w:tc>
        <w:tc>
          <w:tcPr>
            <w:tcW w:w="500" w:type="dxa"/>
            <w:vAlign w:val="bottom"/>
            <w:gridSpan w:val="2"/>
          </w:tcPr>
          <w:p>
            <w:pPr>
              <w:jc w:val="right"/>
              <w:ind w:right="200"/>
              <w:spacing w:after="0"/>
              <w:rPr>
                <w:sz w:val="20"/>
                <w:szCs w:val="20"/>
                <w:color w:val="auto"/>
              </w:rPr>
            </w:pPr>
            <w:r>
              <w:rPr>
                <w:rFonts w:ascii="Arial" w:cs="Arial" w:eastAsia="Arial" w:hAnsi="Arial"/>
                <w:sz w:val="18"/>
                <w:szCs w:val="18"/>
                <w:color w:val="auto"/>
              </w:rPr>
              <w:t>2</w:t>
            </w:r>
          </w:p>
        </w:tc>
        <w:tc>
          <w:tcPr>
            <w:tcW w:w="1020" w:type="dxa"/>
            <w:vAlign w:val="bottom"/>
          </w:tcPr>
          <w:p>
            <w:pPr>
              <w:ind w:left="200"/>
              <w:spacing w:after="0"/>
              <w:rPr>
                <w:sz w:val="20"/>
                <w:szCs w:val="20"/>
                <w:color w:val="auto"/>
              </w:rPr>
            </w:pPr>
            <w:r>
              <w:rPr>
                <w:rFonts w:ascii="Arial" w:cs="Arial" w:eastAsia="Arial" w:hAnsi="Arial"/>
                <w:sz w:val="18"/>
                <w:szCs w:val="18"/>
                <w:color w:val="auto"/>
              </w:rPr>
              <w:t>Item 16A.</w:t>
            </w:r>
          </w:p>
        </w:tc>
        <w:tc>
          <w:tcPr>
            <w:tcW w:w="4200" w:type="dxa"/>
            <w:vAlign w:val="bottom"/>
          </w:tcPr>
          <w:p>
            <w:pPr>
              <w:ind w:left="80"/>
              <w:spacing w:after="0"/>
              <w:rPr>
                <w:sz w:val="20"/>
                <w:szCs w:val="20"/>
                <w:color w:val="auto"/>
              </w:rPr>
            </w:pPr>
            <w:r>
              <w:rPr>
                <w:rFonts w:ascii="Arial" w:cs="Arial" w:eastAsia="Arial" w:hAnsi="Arial"/>
                <w:sz w:val="18"/>
                <w:szCs w:val="18"/>
                <w:color w:val="auto"/>
              </w:rPr>
              <w:t>Audit Committee Financial Expert</w:t>
            </w:r>
          </w:p>
        </w:tc>
        <w:tc>
          <w:tcPr>
            <w:tcW w:w="320" w:type="dxa"/>
            <w:vAlign w:val="bottom"/>
          </w:tcPr>
          <w:p>
            <w:pPr>
              <w:jc w:val="right"/>
              <w:spacing w:after="0"/>
              <w:rPr>
                <w:sz w:val="20"/>
                <w:szCs w:val="20"/>
                <w:color w:val="auto"/>
              </w:rPr>
            </w:pPr>
            <w:r>
              <w:rPr>
                <w:rFonts w:ascii="Arial" w:cs="Arial" w:eastAsia="Arial" w:hAnsi="Arial"/>
                <w:sz w:val="18"/>
                <w:szCs w:val="18"/>
                <w:color w:val="auto"/>
                <w:w w:val="99"/>
              </w:rPr>
              <w:t>. 95</w:t>
            </w:r>
          </w:p>
        </w:tc>
        <w:tc>
          <w:tcPr>
            <w:tcW w:w="0" w:type="dxa"/>
            <w:vAlign w:val="bottom"/>
          </w:tcPr>
          <w:p>
            <w:pPr>
              <w:spacing w:after="0"/>
              <w:rPr>
                <w:sz w:val="1"/>
                <w:szCs w:val="1"/>
                <w:color w:val="auto"/>
              </w:rPr>
            </w:pPr>
          </w:p>
        </w:tc>
      </w:tr>
      <w:tr>
        <w:trPr>
          <w:trHeight w:val="216"/>
        </w:trPr>
        <w:tc>
          <w:tcPr>
            <w:tcW w:w="900" w:type="dxa"/>
            <w:vAlign w:val="bottom"/>
          </w:tcPr>
          <w:p>
            <w:pPr>
              <w:spacing w:after="0"/>
              <w:rPr>
                <w:sz w:val="20"/>
                <w:szCs w:val="20"/>
                <w:color w:val="auto"/>
              </w:rPr>
            </w:pPr>
            <w:r>
              <w:rPr>
                <w:rFonts w:ascii="Arial" w:cs="Arial" w:eastAsia="Arial" w:hAnsi="Arial"/>
                <w:sz w:val="18"/>
                <w:szCs w:val="18"/>
                <w:color w:val="auto"/>
              </w:rPr>
              <w:t>Item 2.</w:t>
            </w:r>
          </w:p>
        </w:tc>
        <w:tc>
          <w:tcPr>
            <w:tcW w:w="4020" w:type="dxa"/>
            <w:vAlign w:val="bottom"/>
          </w:tcPr>
          <w:p>
            <w:pPr>
              <w:ind w:left="20"/>
              <w:spacing w:after="0"/>
              <w:rPr>
                <w:sz w:val="20"/>
                <w:szCs w:val="20"/>
                <w:color w:val="auto"/>
              </w:rPr>
            </w:pPr>
            <w:r>
              <w:rPr>
                <w:rFonts w:ascii="Arial" w:cs="Arial" w:eastAsia="Arial" w:hAnsi="Arial"/>
                <w:sz w:val="18"/>
                <w:szCs w:val="18"/>
                <w:color w:val="auto"/>
              </w:rPr>
              <w:t>Offer Statistics and Expected Timetable</w:t>
            </w:r>
          </w:p>
        </w:tc>
        <w:tc>
          <w:tcPr>
            <w:tcW w:w="500" w:type="dxa"/>
            <w:vAlign w:val="bottom"/>
            <w:gridSpan w:val="2"/>
          </w:tcPr>
          <w:p>
            <w:pPr>
              <w:jc w:val="right"/>
              <w:ind w:right="200"/>
              <w:spacing w:after="0"/>
              <w:rPr>
                <w:sz w:val="20"/>
                <w:szCs w:val="20"/>
                <w:color w:val="auto"/>
              </w:rPr>
            </w:pPr>
            <w:r>
              <w:rPr>
                <w:rFonts w:ascii="Arial" w:cs="Arial" w:eastAsia="Arial" w:hAnsi="Arial"/>
                <w:sz w:val="18"/>
                <w:szCs w:val="18"/>
                <w:color w:val="auto"/>
              </w:rPr>
              <w:t>2</w:t>
            </w:r>
          </w:p>
        </w:tc>
        <w:tc>
          <w:tcPr>
            <w:tcW w:w="1020" w:type="dxa"/>
            <w:vAlign w:val="bottom"/>
          </w:tcPr>
          <w:p>
            <w:pPr>
              <w:ind w:left="200"/>
              <w:spacing w:after="0"/>
              <w:rPr>
                <w:sz w:val="20"/>
                <w:szCs w:val="20"/>
                <w:color w:val="auto"/>
              </w:rPr>
            </w:pPr>
            <w:r>
              <w:rPr>
                <w:rFonts w:ascii="Arial" w:cs="Arial" w:eastAsia="Arial" w:hAnsi="Arial"/>
                <w:sz w:val="18"/>
                <w:szCs w:val="18"/>
                <w:color w:val="auto"/>
              </w:rPr>
              <w:t>Item 16B.</w:t>
            </w:r>
          </w:p>
        </w:tc>
        <w:tc>
          <w:tcPr>
            <w:tcW w:w="4200" w:type="dxa"/>
            <w:vAlign w:val="bottom"/>
          </w:tcPr>
          <w:p>
            <w:pPr>
              <w:ind w:left="80"/>
              <w:spacing w:after="0"/>
              <w:rPr>
                <w:sz w:val="20"/>
                <w:szCs w:val="20"/>
                <w:color w:val="auto"/>
              </w:rPr>
            </w:pPr>
            <w:r>
              <w:rPr>
                <w:rFonts w:ascii="Arial" w:cs="Arial" w:eastAsia="Arial" w:hAnsi="Arial"/>
                <w:sz w:val="18"/>
                <w:szCs w:val="18"/>
                <w:color w:val="auto"/>
              </w:rPr>
              <w:t>Code of Ethics</w:t>
            </w:r>
          </w:p>
        </w:tc>
        <w:tc>
          <w:tcPr>
            <w:tcW w:w="320" w:type="dxa"/>
            <w:vAlign w:val="bottom"/>
          </w:tcPr>
          <w:p>
            <w:pPr>
              <w:jc w:val="right"/>
              <w:spacing w:after="0"/>
              <w:rPr>
                <w:sz w:val="20"/>
                <w:szCs w:val="20"/>
                <w:color w:val="auto"/>
              </w:rPr>
            </w:pPr>
            <w:r>
              <w:rPr>
                <w:rFonts w:ascii="Arial" w:cs="Arial" w:eastAsia="Arial" w:hAnsi="Arial"/>
                <w:sz w:val="18"/>
                <w:szCs w:val="18"/>
                <w:color w:val="auto"/>
              </w:rPr>
              <w:t>95</w:t>
            </w:r>
          </w:p>
        </w:tc>
        <w:tc>
          <w:tcPr>
            <w:tcW w:w="0" w:type="dxa"/>
            <w:vAlign w:val="bottom"/>
          </w:tcPr>
          <w:p>
            <w:pPr>
              <w:spacing w:after="0"/>
              <w:rPr>
                <w:sz w:val="1"/>
                <w:szCs w:val="1"/>
                <w:color w:val="auto"/>
              </w:rPr>
            </w:pPr>
          </w:p>
        </w:tc>
      </w:tr>
      <w:tr>
        <w:trPr>
          <w:trHeight w:val="216"/>
        </w:trPr>
        <w:tc>
          <w:tcPr>
            <w:tcW w:w="900" w:type="dxa"/>
            <w:vAlign w:val="bottom"/>
          </w:tcPr>
          <w:p>
            <w:pPr>
              <w:spacing w:after="0"/>
              <w:rPr>
                <w:sz w:val="20"/>
                <w:szCs w:val="20"/>
                <w:color w:val="auto"/>
              </w:rPr>
            </w:pPr>
            <w:r>
              <w:rPr>
                <w:rFonts w:ascii="Arial" w:cs="Arial" w:eastAsia="Arial" w:hAnsi="Arial"/>
                <w:sz w:val="18"/>
                <w:szCs w:val="18"/>
                <w:color w:val="auto"/>
              </w:rPr>
              <w:t>Item 3.</w:t>
            </w:r>
          </w:p>
        </w:tc>
        <w:tc>
          <w:tcPr>
            <w:tcW w:w="4020" w:type="dxa"/>
            <w:vAlign w:val="bottom"/>
          </w:tcPr>
          <w:p>
            <w:pPr>
              <w:ind w:left="20"/>
              <w:spacing w:after="0"/>
              <w:rPr>
                <w:sz w:val="20"/>
                <w:szCs w:val="20"/>
                <w:color w:val="auto"/>
              </w:rPr>
            </w:pPr>
            <w:r>
              <w:rPr>
                <w:rFonts w:ascii="Arial" w:cs="Arial" w:eastAsia="Arial" w:hAnsi="Arial"/>
                <w:sz w:val="18"/>
                <w:szCs w:val="18"/>
                <w:color w:val="auto"/>
              </w:rPr>
              <w:t>Key information</w:t>
            </w:r>
          </w:p>
        </w:tc>
        <w:tc>
          <w:tcPr>
            <w:tcW w:w="500" w:type="dxa"/>
            <w:vAlign w:val="bottom"/>
            <w:gridSpan w:val="2"/>
          </w:tcPr>
          <w:p>
            <w:pPr>
              <w:jc w:val="right"/>
              <w:ind w:right="200"/>
              <w:spacing w:after="0"/>
              <w:rPr>
                <w:sz w:val="20"/>
                <w:szCs w:val="20"/>
                <w:color w:val="auto"/>
              </w:rPr>
            </w:pPr>
            <w:r>
              <w:rPr>
                <w:rFonts w:ascii="Arial" w:cs="Arial" w:eastAsia="Arial" w:hAnsi="Arial"/>
                <w:sz w:val="18"/>
                <w:szCs w:val="18"/>
                <w:color w:val="auto"/>
              </w:rPr>
              <w:t>3</w:t>
            </w:r>
          </w:p>
        </w:tc>
        <w:tc>
          <w:tcPr>
            <w:tcW w:w="1020" w:type="dxa"/>
            <w:vAlign w:val="bottom"/>
          </w:tcPr>
          <w:p>
            <w:pPr>
              <w:ind w:left="200"/>
              <w:spacing w:after="0"/>
              <w:rPr>
                <w:sz w:val="20"/>
                <w:szCs w:val="20"/>
                <w:color w:val="auto"/>
              </w:rPr>
            </w:pPr>
            <w:r>
              <w:rPr>
                <w:rFonts w:ascii="Arial" w:cs="Arial" w:eastAsia="Arial" w:hAnsi="Arial"/>
                <w:sz w:val="18"/>
                <w:szCs w:val="18"/>
                <w:color w:val="auto"/>
              </w:rPr>
              <w:t>Item 16C.</w:t>
            </w:r>
          </w:p>
        </w:tc>
        <w:tc>
          <w:tcPr>
            <w:tcW w:w="4200" w:type="dxa"/>
            <w:vAlign w:val="bottom"/>
          </w:tcPr>
          <w:p>
            <w:pPr>
              <w:ind w:left="80"/>
              <w:spacing w:after="0"/>
              <w:rPr>
                <w:sz w:val="20"/>
                <w:szCs w:val="20"/>
                <w:color w:val="auto"/>
              </w:rPr>
            </w:pPr>
            <w:r>
              <w:rPr>
                <w:rFonts w:ascii="Arial" w:cs="Arial" w:eastAsia="Arial" w:hAnsi="Arial"/>
                <w:sz w:val="18"/>
                <w:szCs w:val="18"/>
                <w:color w:val="auto"/>
              </w:rPr>
              <w:t>Principal Accountant Fees and Services</w:t>
            </w:r>
          </w:p>
        </w:tc>
        <w:tc>
          <w:tcPr>
            <w:tcW w:w="320" w:type="dxa"/>
            <w:vAlign w:val="bottom"/>
          </w:tcPr>
          <w:p>
            <w:pPr>
              <w:jc w:val="right"/>
              <w:spacing w:after="0"/>
              <w:rPr>
                <w:sz w:val="20"/>
                <w:szCs w:val="20"/>
                <w:color w:val="auto"/>
              </w:rPr>
            </w:pPr>
            <w:r>
              <w:rPr>
                <w:rFonts w:ascii="Arial" w:cs="Arial" w:eastAsia="Arial" w:hAnsi="Arial"/>
                <w:sz w:val="18"/>
                <w:szCs w:val="18"/>
                <w:color w:val="auto"/>
              </w:rPr>
              <w:t>96</w:t>
            </w:r>
          </w:p>
        </w:tc>
        <w:tc>
          <w:tcPr>
            <w:tcW w:w="0" w:type="dxa"/>
            <w:vAlign w:val="bottom"/>
          </w:tcPr>
          <w:p>
            <w:pPr>
              <w:spacing w:after="0"/>
              <w:rPr>
                <w:sz w:val="1"/>
                <w:szCs w:val="1"/>
                <w:color w:val="auto"/>
              </w:rPr>
            </w:pPr>
          </w:p>
        </w:tc>
      </w:tr>
      <w:tr>
        <w:trPr>
          <w:trHeight w:val="216"/>
        </w:trPr>
        <w:tc>
          <w:tcPr>
            <w:tcW w:w="900" w:type="dxa"/>
            <w:vAlign w:val="bottom"/>
          </w:tcPr>
          <w:p>
            <w:pPr>
              <w:spacing w:after="0"/>
              <w:rPr>
                <w:sz w:val="20"/>
                <w:szCs w:val="20"/>
                <w:color w:val="auto"/>
              </w:rPr>
            </w:pPr>
            <w:r>
              <w:rPr>
                <w:rFonts w:ascii="Arial" w:cs="Arial" w:eastAsia="Arial" w:hAnsi="Arial"/>
                <w:sz w:val="18"/>
                <w:szCs w:val="18"/>
                <w:color w:val="auto"/>
              </w:rPr>
              <w:t>Item 4.</w:t>
            </w:r>
          </w:p>
        </w:tc>
        <w:tc>
          <w:tcPr>
            <w:tcW w:w="4020" w:type="dxa"/>
            <w:vAlign w:val="bottom"/>
          </w:tcPr>
          <w:p>
            <w:pPr>
              <w:ind w:left="20"/>
              <w:spacing w:after="0"/>
              <w:rPr>
                <w:sz w:val="20"/>
                <w:szCs w:val="20"/>
                <w:color w:val="auto"/>
              </w:rPr>
            </w:pPr>
            <w:r>
              <w:rPr>
                <w:rFonts w:ascii="Arial" w:cs="Arial" w:eastAsia="Arial" w:hAnsi="Arial"/>
                <w:sz w:val="18"/>
                <w:szCs w:val="18"/>
                <w:color w:val="auto"/>
              </w:rPr>
              <w:t>Information on the Company</w:t>
            </w:r>
          </w:p>
        </w:tc>
        <w:tc>
          <w:tcPr>
            <w:tcW w:w="500" w:type="dxa"/>
            <w:vAlign w:val="bottom"/>
            <w:gridSpan w:val="2"/>
          </w:tcPr>
          <w:p>
            <w:pPr>
              <w:jc w:val="right"/>
              <w:ind w:right="200"/>
              <w:spacing w:after="0"/>
              <w:rPr>
                <w:sz w:val="20"/>
                <w:szCs w:val="20"/>
                <w:color w:val="auto"/>
              </w:rPr>
            </w:pPr>
            <w:r>
              <w:rPr>
                <w:rFonts w:ascii="Arial" w:cs="Arial" w:eastAsia="Arial" w:hAnsi="Arial"/>
                <w:sz w:val="18"/>
                <w:szCs w:val="18"/>
                <w:color w:val="auto"/>
              </w:rPr>
              <w:t>35</w:t>
            </w:r>
          </w:p>
        </w:tc>
        <w:tc>
          <w:tcPr>
            <w:tcW w:w="1020" w:type="dxa"/>
            <w:vAlign w:val="bottom"/>
          </w:tcPr>
          <w:p>
            <w:pPr>
              <w:ind w:left="200"/>
              <w:spacing w:after="0"/>
              <w:rPr>
                <w:sz w:val="20"/>
                <w:szCs w:val="20"/>
                <w:color w:val="auto"/>
              </w:rPr>
            </w:pPr>
            <w:r>
              <w:rPr>
                <w:rFonts w:ascii="Arial" w:cs="Arial" w:eastAsia="Arial" w:hAnsi="Arial"/>
                <w:sz w:val="18"/>
                <w:szCs w:val="18"/>
                <w:color w:val="auto"/>
              </w:rPr>
              <w:t>Item 16D.</w:t>
            </w:r>
          </w:p>
        </w:tc>
        <w:tc>
          <w:tcPr>
            <w:tcW w:w="4200" w:type="dxa"/>
            <w:vAlign w:val="bottom"/>
          </w:tcPr>
          <w:p>
            <w:pPr>
              <w:ind w:left="80"/>
              <w:spacing w:after="0"/>
              <w:rPr>
                <w:sz w:val="20"/>
                <w:szCs w:val="20"/>
                <w:color w:val="auto"/>
              </w:rPr>
            </w:pPr>
            <w:r>
              <w:rPr>
                <w:rFonts w:ascii="Arial" w:cs="Arial" w:eastAsia="Arial" w:hAnsi="Arial"/>
                <w:sz w:val="18"/>
                <w:szCs w:val="18"/>
                <w:color w:val="auto"/>
              </w:rPr>
              <w:t>Exemptions from the Listing Standards for Audit</w:t>
            </w:r>
          </w:p>
        </w:tc>
        <w:tc>
          <w:tcPr>
            <w:tcW w:w="3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00" w:type="dxa"/>
            <w:vAlign w:val="bottom"/>
          </w:tcPr>
          <w:p>
            <w:pPr>
              <w:spacing w:after="0"/>
              <w:rPr>
                <w:sz w:val="20"/>
                <w:szCs w:val="20"/>
                <w:color w:val="auto"/>
              </w:rPr>
            </w:pPr>
            <w:r>
              <w:rPr>
                <w:rFonts w:ascii="Arial" w:cs="Arial" w:eastAsia="Arial" w:hAnsi="Arial"/>
                <w:sz w:val="18"/>
                <w:szCs w:val="18"/>
                <w:color w:val="auto"/>
              </w:rPr>
              <w:t>Item 4A.</w:t>
            </w:r>
          </w:p>
        </w:tc>
        <w:tc>
          <w:tcPr>
            <w:tcW w:w="4020" w:type="dxa"/>
            <w:vAlign w:val="bottom"/>
          </w:tcPr>
          <w:p>
            <w:pPr>
              <w:ind w:left="20"/>
              <w:spacing w:after="0"/>
              <w:rPr>
                <w:sz w:val="20"/>
                <w:szCs w:val="20"/>
                <w:color w:val="auto"/>
              </w:rPr>
            </w:pPr>
            <w:r>
              <w:rPr>
                <w:rFonts w:ascii="Arial" w:cs="Arial" w:eastAsia="Arial" w:hAnsi="Arial"/>
                <w:sz w:val="18"/>
                <w:szCs w:val="18"/>
                <w:color w:val="auto"/>
              </w:rPr>
              <w:t>Unresolved Staff Comments</w:t>
            </w:r>
          </w:p>
        </w:tc>
        <w:tc>
          <w:tcPr>
            <w:tcW w:w="500" w:type="dxa"/>
            <w:vAlign w:val="bottom"/>
            <w:gridSpan w:val="2"/>
          </w:tcPr>
          <w:p>
            <w:pPr>
              <w:jc w:val="right"/>
              <w:ind w:right="200"/>
              <w:spacing w:after="0"/>
              <w:rPr>
                <w:sz w:val="20"/>
                <w:szCs w:val="20"/>
                <w:color w:val="auto"/>
              </w:rPr>
            </w:pPr>
            <w:r>
              <w:rPr>
                <w:rFonts w:ascii="Arial" w:cs="Arial" w:eastAsia="Arial" w:hAnsi="Arial"/>
                <w:sz w:val="18"/>
                <w:szCs w:val="18"/>
                <w:color w:val="auto"/>
              </w:rPr>
              <w:t>52</w:t>
            </w:r>
          </w:p>
        </w:tc>
        <w:tc>
          <w:tcPr>
            <w:tcW w:w="1020" w:type="dxa"/>
            <w:vAlign w:val="bottom"/>
          </w:tcPr>
          <w:p>
            <w:pPr>
              <w:spacing w:after="0"/>
              <w:rPr>
                <w:sz w:val="18"/>
                <w:szCs w:val="18"/>
                <w:color w:val="auto"/>
              </w:rPr>
            </w:pPr>
          </w:p>
        </w:tc>
        <w:tc>
          <w:tcPr>
            <w:tcW w:w="4200" w:type="dxa"/>
            <w:vAlign w:val="bottom"/>
          </w:tcPr>
          <w:p>
            <w:pPr>
              <w:ind w:left="80"/>
              <w:spacing w:after="0"/>
              <w:rPr>
                <w:sz w:val="20"/>
                <w:szCs w:val="20"/>
                <w:color w:val="auto"/>
              </w:rPr>
            </w:pPr>
            <w:r>
              <w:rPr>
                <w:rFonts w:ascii="Arial" w:cs="Arial" w:eastAsia="Arial" w:hAnsi="Arial"/>
                <w:sz w:val="18"/>
                <w:szCs w:val="18"/>
                <w:color w:val="auto"/>
              </w:rPr>
              <w:t>Committees</w:t>
            </w:r>
          </w:p>
        </w:tc>
        <w:tc>
          <w:tcPr>
            <w:tcW w:w="320" w:type="dxa"/>
            <w:vAlign w:val="bottom"/>
          </w:tcPr>
          <w:p>
            <w:pPr>
              <w:jc w:val="right"/>
              <w:spacing w:after="0"/>
              <w:rPr>
                <w:sz w:val="20"/>
                <w:szCs w:val="20"/>
                <w:color w:val="auto"/>
              </w:rPr>
            </w:pPr>
            <w:r>
              <w:rPr>
                <w:rFonts w:ascii="Arial" w:cs="Arial" w:eastAsia="Arial" w:hAnsi="Arial"/>
                <w:sz w:val="18"/>
                <w:szCs w:val="18"/>
                <w:color w:val="auto"/>
              </w:rPr>
              <w:t>96</w:t>
            </w:r>
          </w:p>
        </w:tc>
        <w:tc>
          <w:tcPr>
            <w:tcW w:w="0" w:type="dxa"/>
            <w:vAlign w:val="bottom"/>
          </w:tcPr>
          <w:p>
            <w:pPr>
              <w:spacing w:after="0"/>
              <w:rPr>
                <w:sz w:val="1"/>
                <w:szCs w:val="1"/>
                <w:color w:val="auto"/>
              </w:rPr>
            </w:pPr>
          </w:p>
        </w:tc>
      </w:tr>
      <w:tr>
        <w:trPr>
          <w:trHeight w:val="216"/>
        </w:trPr>
        <w:tc>
          <w:tcPr>
            <w:tcW w:w="900" w:type="dxa"/>
            <w:vAlign w:val="bottom"/>
          </w:tcPr>
          <w:p>
            <w:pPr>
              <w:spacing w:after="0"/>
              <w:rPr>
                <w:sz w:val="20"/>
                <w:szCs w:val="20"/>
                <w:color w:val="auto"/>
              </w:rPr>
            </w:pPr>
            <w:r>
              <w:rPr>
                <w:rFonts w:ascii="Arial" w:cs="Arial" w:eastAsia="Arial" w:hAnsi="Arial"/>
                <w:sz w:val="18"/>
                <w:szCs w:val="18"/>
                <w:color w:val="auto"/>
              </w:rPr>
              <w:t>Item 5.</w:t>
            </w:r>
          </w:p>
        </w:tc>
        <w:tc>
          <w:tcPr>
            <w:tcW w:w="4020" w:type="dxa"/>
            <w:vAlign w:val="bottom"/>
          </w:tcPr>
          <w:p>
            <w:pPr>
              <w:ind w:left="20"/>
              <w:spacing w:after="0"/>
              <w:rPr>
                <w:sz w:val="20"/>
                <w:szCs w:val="20"/>
                <w:color w:val="auto"/>
              </w:rPr>
            </w:pPr>
            <w:r>
              <w:rPr>
                <w:rFonts w:ascii="Arial" w:cs="Arial" w:eastAsia="Arial" w:hAnsi="Arial"/>
                <w:sz w:val="18"/>
                <w:szCs w:val="18"/>
                <w:color w:val="auto"/>
              </w:rPr>
              <w:t>Operating and Financial Review and Prospects</w:t>
            </w:r>
          </w:p>
        </w:tc>
        <w:tc>
          <w:tcPr>
            <w:tcW w:w="500" w:type="dxa"/>
            <w:vAlign w:val="bottom"/>
            <w:gridSpan w:val="2"/>
          </w:tcPr>
          <w:p>
            <w:pPr>
              <w:jc w:val="right"/>
              <w:ind w:right="200"/>
              <w:spacing w:after="0"/>
              <w:rPr>
                <w:sz w:val="20"/>
                <w:szCs w:val="20"/>
                <w:color w:val="auto"/>
              </w:rPr>
            </w:pPr>
            <w:r>
              <w:rPr>
                <w:rFonts w:ascii="Arial" w:cs="Arial" w:eastAsia="Arial" w:hAnsi="Arial"/>
                <w:sz w:val="18"/>
                <w:szCs w:val="18"/>
                <w:color w:val="auto"/>
              </w:rPr>
              <w:t>52</w:t>
            </w:r>
          </w:p>
        </w:tc>
        <w:tc>
          <w:tcPr>
            <w:tcW w:w="1020" w:type="dxa"/>
            <w:vAlign w:val="bottom"/>
          </w:tcPr>
          <w:p>
            <w:pPr>
              <w:ind w:left="200"/>
              <w:spacing w:after="0"/>
              <w:rPr>
                <w:sz w:val="20"/>
                <w:szCs w:val="20"/>
                <w:color w:val="auto"/>
              </w:rPr>
            </w:pPr>
            <w:r>
              <w:rPr>
                <w:rFonts w:ascii="Arial" w:cs="Arial" w:eastAsia="Arial" w:hAnsi="Arial"/>
                <w:sz w:val="18"/>
                <w:szCs w:val="18"/>
                <w:color w:val="auto"/>
              </w:rPr>
              <w:t>Item 16E.</w:t>
            </w:r>
          </w:p>
        </w:tc>
        <w:tc>
          <w:tcPr>
            <w:tcW w:w="4200" w:type="dxa"/>
            <w:vAlign w:val="bottom"/>
          </w:tcPr>
          <w:p>
            <w:pPr>
              <w:ind w:left="80"/>
              <w:spacing w:after="0"/>
              <w:rPr>
                <w:sz w:val="20"/>
                <w:szCs w:val="20"/>
                <w:color w:val="auto"/>
              </w:rPr>
            </w:pPr>
            <w:r>
              <w:rPr>
                <w:rFonts w:ascii="Arial" w:cs="Arial" w:eastAsia="Arial" w:hAnsi="Arial"/>
                <w:sz w:val="18"/>
                <w:szCs w:val="18"/>
                <w:color w:val="auto"/>
              </w:rPr>
              <w:t>Purchases of Equity Securities by the Issuer and</w:t>
            </w:r>
          </w:p>
        </w:tc>
        <w:tc>
          <w:tcPr>
            <w:tcW w:w="3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00" w:type="dxa"/>
            <w:vAlign w:val="bottom"/>
          </w:tcPr>
          <w:p>
            <w:pPr>
              <w:spacing w:after="0"/>
              <w:rPr>
                <w:sz w:val="20"/>
                <w:szCs w:val="20"/>
                <w:color w:val="auto"/>
              </w:rPr>
            </w:pPr>
            <w:r>
              <w:rPr>
                <w:rFonts w:ascii="Arial" w:cs="Arial" w:eastAsia="Arial" w:hAnsi="Arial"/>
                <w:sz w:val="18"/>
                <w:szCs w:val="18"/>
                <w:color w:val="auto"/>
              </w:rPr>
              <w:t>Item 6.</w:t>
            </w:r>
          </w:p>
        </w:tc>
        <w:tc>
          <w:tcPr>
            <w:tcW w:w="4020" w:type="dxa"/>
            <w:vAlign w:val="bottom"/>
          </w:tcPr>
          <w:p>
            <w:pPr>
              <w:ind w:left="20"/>
              <w:spacing w:after="0"/>
              <w:rPr>
                <w:sz w:val="20"/>
                <w:szCs w:val="20"/>
                <w:color w:val="auto"/>
              </w:rPr>
            </w:pPr>
            <w:r>
              <w:rPr>
                <w:rFonts w:ascii="Arial" w:cs="Arial" w:eastAsia="Arial" w:hAnsi="Arial"/>
                <w:sz w:val="18"/>
                <w:szCs w:val="18"/>
                <w:color w:val="auto"/>
              </w:rPr>
              <w:t>Directors, Senior Management and Employees</w:t>
            </w:r>
          </w:p>
        </w:tc>
        <w:tc>
          <w:tcPr>
            <w:tcW w:w="500" w:type="dxa"/>
            <w:vAlign w:val="bottom"/>
            <w:gridSpan w:val="2"/>
          </w:tcPr>
          <w:p>
            <w:pPr>
              <w:jc w:val="right"/>
              <w:ind w:right="200"/>
              <w:spacing w:after="0"/>
              <w:rPr>
                <w:sz w:val="20"/>
                <w:szCs w:val="20"/>
                <w:color w:val="auto"/>
              </w:rPr>
            </w:pPr>
            <w:r>
              <w:rPr>
                <w:rFonts w:ascii="Arial" w:cs="Arial" w:eastAsia="Arial" w:hAnsi="Arial"/>
                <w:sz w:val="18"/>
                <w:szCs w:val="18"/>
                <w:color w:val="auto"/>
              </w:rPr>
              <w:t>69</w:t>
            </w:r>
          </w:p>
        </w:tc>
        <w:tc>
          <w:tcPr>
            <w:tcW w:w="1020" w:type="dxa"/>
            <w:vAlign w:val="bottom"/>
          </w:tcPr>
          <w:p>
            <w:pPr>
              <w:spacing w:after="0"/>
              <w:rPr>
                <w:sz w:val="18"/>
                <w:szCs w:val="18"/>
                <w:color w:val="auto"/>
              </w:rPr>
            </w:pPr>
          </w:p>
        </w:tc>
        <w:tc>
          <w:tcPr>
            <w:tcW w:w="4200" w:type="dxa"/>
            <w:vAlign w:val="bottom"/>
          </w:tcPr>
          <w:p>
            <w:pPr>
              <w:ind w:left="80"/>
              <w:spacing w:after="0"/>
              <w:rPr>
                <w:sz w:val="20"/>
                <w:szCs w:val="20"/>
                <w:color w:val="auto"/>
              </w:rPr>
            </w:pPr>
            <w:r>
              <w:rPr>
                <w:rFonts w:ascii="Arial" w:cs="Arial" w:eastAsia="Arial" w:hAnsi="Arial"/>
                <w:sz w:val="18"/>
                <w:szCs w:val="18"/>
                <w:color w:val="auto"/>
              </w:rPr>
              <w:t>Affiliated Purchasers</w:t>
            </w:r>
          </w:p>
        </w:tc>
        <w:tc>
          <w:tcPr>
            <w:tcW w:w="320" w:type="dxa"/>
            <w:vAlign w:val="bottom"/>
          </w:tcPr>
          <w:p>
            <w:pPr>
              <w:jc w:val="right"/>
              <w:spacing w:after="0"/>
              <w:rPr>
                <w:sz w:val="20"/>
                <w:szCs w:val="20"/>
                <w:color w:val="auto"/>
              </w:rPr>
            </w:pPr>
            <w:r>
              <w:rPr>
                <w:rFonts w:ascii="Arial" w:cs="Arial" w:eastAsia="Arial" w:hAnsi="Arial"/>
                <w:sz w:val="18"/>
                <w:szCs w:val="18"/>
                <w:color w:val="auto"/>
              </w:rPr>
              <w:t>96</w:t>
            </w:r>
          </w:p>
        </w:tc>
        <w:tc>
          <w:tcPr>
            <w:tcW w:w="0" w:type="dxa"/>
            <w:vAlign w:val="bottom"/>
          </w:tcPr>
          <w:p>
            <w:pPr>
              <w:spacing w:after="0"/>
              <w:rPr>
                <w:sz w:val="1"/>
                <w:szCs w:val="1"/>
                <w:color w:val="auto"/>
              </w:rPr>
            </w:pPr>
          </w:p>
        </w:tc>
      </w:tr>
      <w:tr>
        <w:trPr>
          <w:trHeight w:val="216"/>
        </w:trPr>
        <w:tc>
          <w:tcPr>
            <w:tcW w:w="900" w:type="dxa"/>
            <w:vAlign w:val="bottom"/>
          </w:tcPr>
          <w:p>
            <w:pPr>
              <w:spacing w:after="0"/>
              <w:rPr>
                <w:sz w:val="20"/>
                <w:szCs w:val="20"/>
                <w:color w:val="auto"/>
              </w:rPr>
            </w:pPr>
            <w:r>
              <w:rPr>
                <w:rFonts w:ascii="Arial" w:cs="Arial" w:eastAsia="Arial" w:hAnsi="Arial"/>
                <w:sz w:val="18"/>
                <w:szCs w:val="18"/>
                <w:color w:val="auto"/>
              </w:rPr>
              <w:t>Item 7.</w:t>
            </w:r>
          </w:p>
        </w:tc>
        <w:tc>
          <w:tcPr>
            <w:tcW w:w="4020" w:type="dxa"/>
            <w:vAlign w:val="bottom"/>
          </w:tcPr>
          <w:p>
            <w:pPr>
              <w:ind w:left="20"/>
              <w:spacing w:after="0"/>
              <w:rPr>
                <w:sz w:val="20"/>
                <w:szCs w:val="20"/>
                <w:color w:val="auto"/>
              </w:rPr>
            </w:pPr>
            <w:r>
              <w:rPr>
                <w:rFonts w:ascii="Arial" w:cs="Arial" w:eastAsia="Arial" w:hAnsi="Arial"/>
                <w:sz w:val="18"/>
                <w:szCs w:val="18"/>
                <w:color w:val="auto"/>
                <w:w w:val="96"/>
              </w:rPr>
              <w:t>Major Shareholders and Related Party Transactions</w:t>
            </w:r>
          </w:p>
        </w:tc>
        <w:tc>
          <w:tcPr>
            <w:tcW w:w="500" w:type="dxa"/>
            <w:vAlign w:val="bottom"/>
            <w:gridSpan w:val="2"/>
          </w:tcPr>
          <w:p>
            <w:pPr>
              <w:jc w:val="right"/>
              <w:ind w:right="200"/>
              <w:spacing w:after="0"/>
              <w:rPr>
                <w:sz w:val="20"/>
                <w:szCs w:val="20"/>
                <w:color w:val="auto"/>
              </w:rPr>
            </w:pPr>
            <w:r>
              <w:rPr>
                <w:rFonts w:ascii="Arial" w:cs="Arial" w:eastAsia="Arial" w:hAnsi="Arial"/>
                <w:sz w:val="18"/>
                <w:szCs w:val="18"/>
                <w:color w:val="auto"/>
              </w:rPr>
              <w:t>76</w:t>
            </w:r>
          </w:p>
        </w:tc>
        <w:tc>
          <w:tcPr>
            <w:tcW w:w="1020" w:type="dxa"/>
            <w:vAlign w:val="bottom"/>
          </w:tcPr>
          <w:p>
            <w:pPr>
              <w:ind w:left="200"/>
              <w:spacing w:after="0"/>
              <w:rPr>
                <w:sz w:val="20"/>
                <w:szCs w:val="20"/>
                <w:color w:val="auto"/>
              </w:rPr>
            </w:pPr>
            <w:r>
              <w:rPr>
                <w:rFonts w:ascii="Arial" w:cs="Arial" w:eastAsia="Arial" w:hAnsi="Arial"/>
                <w:sz w:val="18"/>
                <w:szCs w:val="18"/>
                <w:color w:val="auto"/>
              </w:rPr>
              <w:t>Item 16F.</w:t>
            </w:r>
          </w:p>
        </w:tc>
        <w:tc>
          <w:tcPr>
            <w:tcW w:w="4200" w:type="dxa"/>
            <w:vAlign w:val="bottom"/>
          </w:tcPr>
          <w:p>
            <w:pPr>
              <w:ind w:left="80"/>
              <w:spacing w:after="0"/>
              <w:rPr>
                <w:sz w:val="20"/>
                <w:szCs w:val="20"/>
                <w:color w:val="auto"/>
              </w:rPr>
            </w:pPr>
            <w:r>
              <w:rPr>
                <w:rFonts w:ascii="Arial" w:cs="Arial" w:eastAsia="Arial" w:hAnsi="Arial"/>
                <w:sz w:val="18"/>
                <w:szCs w:val="18"/>
                <w:color w:val="auto"/>
              </w:rPr>
              <w:t>Change in Registrant’s Certifying Accountant</w:t>
            </w:r>
          </w:p>
        </w:tc>
        <w:tc>
          <w:tcPr>
            <w:tcW w:w="320" w:type="dxa"/>
            <w:vAlign w:val="bottom"/>
          </w:tcPr>
          <w:p>
            <w:pPr>
              <w:jc w:val="right"/>
              <w:spacing w:after="0"/>
              <w:rPr>
                <w:sz w:val="20"/>
                <w:szCs w:val="20"/>
                <w:color w:val="auto"/>
              </w:rPr>
            </w:pPr>
            <w:r>
              <w:rPr>
                <w:rFonts w:ascii="Arial" w:cs="Arial" w:eastAsia="Arial" w:hAnsi="Arial"/>
                <w:sz w:val="18"/>
                <w:szCs w:val="18"/>
                <w:color w:val="auto"/>
              </w:rPr>
              <w:t>97</w:t>
            </w:r>
          </w:p>
        </w:tc>
        <w:tc>
          <w:tcPr>
            <w:tcW w:w="0" w:type="dxa"/>
            <w:vAlign w:val="bottom"/>
          </w:tcPr>
          <w:p>
            <w:pPr>
              <w:spacing w:after="0"/>
              <w:rPr>
                <w:sz w:val="1"/>
                <w:szCs w:val="1"/>
                <w:color w:val="auto"/>
              </w:rPr>
            </w:pPr>
          </w:p>
        </w:tc>
      </w:tr>
      <w:tr>
        <w:trPr>
          <w:trHeight w:val="216"/>
        </w:trPr>
        <w:tc>
          <w:tcPr>
            <w:tcW w:w="900" w:type="dxa"/>
            <w:vAlign w:val="bottom"/>
          </w:tcPr>
          <w:p>
            <w:pPr>
              <w:spacing w:after="0"/>
              <w:rPr>
                <w:sz w:val="20"/>
                <w:szCs w:val="20"/>
                <w:color w:val="auto"/>
              </w:rPr>
            </w:pPr>
            <w:r>
              <w:rPr>
                <w:rFonts w:ascii="Arial" w:cs="Arial" w:eastAsia="Arial" w:hAnsi="Arial"/>
                <w:sz w:val="18"/>
                <w:szCs w:val="18"/>
                <w:color w:val="auto"/>
              </w:rPr>
              <w:t>Item 8.</w:t>
            </w:r>
          </w:p>
        </w:tc>
        <w:tc>
          <w:tcPr>
            <w:tcW w:w="4020" w:type="dxa"/>
            <w:vAlign w:val="bottom"/>
          </w:tcPr>
          <w:p>
            <w:pPr>
              <w:ind w:left="20"/>
              <w:spacing w:after="0"/>
              <w:rPr>
                <w:sz w:val="20"/>
                <w:szCs w:val="20"/>
                <w:color w:val="auto"/>
              </w:rPr>
            </w:pPr>
            <w:r>
              <w:rPr>
                <w:rFonts w:ascii="Arial" w:cs="Arial" w:eastAsia="Arial" w:hAnsi="Arial"/>
                <w:sz w:val="18"/>
                <w:szCs w:val="18"/>
                <w:color w:val="auto"/>
              </w:rPr>
              <w:t>Financial Information</w:t>
            </w:r>
          </w:p>
        </w:tc>
        <w:tc>
          <w:tcPr>
            <w:tcW w:w="500" w:type="dxa"/>
            <w:vAlign w:val="bottom"/>
            <w:gridSpan w:val="2"/>
          </w:tcPr>
          <w:p>
            <w:pPr>
              <w:jc w:val="right"/>
              <w:ind w:right="200"/>
              <w:spacing w:after="0"/>
              <w:rPr>
                <w:sz w:val="20"/>
                <w:szCs w:val="20"/>
                <w:color w:val="auto"/>
              </w:rPr>
            </w:pPr>
            <w:r>
              <w:rPr>
                <w:rFonts w:ascii="Arial" w:cs="Arial" w:eastAsia="Arial" w:hAnsi="Arial"/>
                <w:sz w:val="18"/>
                <w:szCs w:val="18"/>
                <w:color w:val="auto"/>
              </w:rPr>
              <w:t>80</w:t>
            </w:r>
          </w:p>
        </w:tc>
        <w:tc>
          <w:tcPr>
            <w:tcW w:w="1020" w:type="dxa"/>
            <w:vAlign w:val="bottom"/>
          </w:tcPr>
          <w:p>
            <w:pPr>
              <w:ind w:left="200"/>
              <w:spacing w:after="0"/>
              <w:rPr>
                <w:sz w:val="20"/>
                <w:szCs w:val="20"/>
                <w:color w:val="auto"/>
              </w:rPr>
            </w:pPr>
            <w:r>
              <w:rPr>
                <w:rFonts w:ascii="Arial" w:cs="Arial" w:eastAsia="Arial" w:hAnsi="Arial"/>
                <w:sz w:val="18"/>
                <w:szCs w:val="18"/>
                <w:color w:val="auto"/>
              </w:rPr>
              <w:t>Item 16G.</w:t>
            </w:r>
          </w:p>
        </w:tc>
        <w:tc>
          <w:tcPr>
            <w:tcW w:w="4200" w:type="dxa"/>
            <w:vAlign w:val="bottom"/>
          </w:tcPr>
          <w:p>
            <w:pPr>
              <w:ind w:left="80"/>
              <w:spacing w:after="0"/>
              <w:rPr>
                <w:sz w:val="20"/>
                <w:szCs w:val="20"/>
                <w:color w:val="auto"/>
              </w:rPr>
            </w:pPr>
            <w:r>
              <w:rPr>
                <w:rFonts w:ascii="Arial" w:cs="Arial" w:eastAsia="Arial" w:hAnsi="Arial"/>
                <w:sz w:val="18"/>
                <w:szCs w:val="18"/>
                <w:color w:val="auto"/>
              </w:rPr>
              <w:t>Corporate Governance</w:t>
            </w:r>
          </w:p>
        </w:tc>
        <w:tc>
          <w:tcPr>
            <w:tcW w:w="320" w:type="dxa"/>
            <w:vAlign w:val="bottom"/>
          </w:tcPr>
          <w:p>
            <w:pPr>
              <w:jc w:val="right"/>
              <w:spacing w:after="0"/>
              <w:rPr>
                <w:sz w:val="20"/>
                <w:szCs w:val="20"/>
                <w:color w:val="auto"/>
              </w:rPr>
            </w:pPr>
            <w:r>
              <w:rPr>
                <w:rFonts w:ascii="Arial" w:cs="Arial" w:eastAsia="Arial" w:hAnsi="Arial"/>
                <w:sz w:val="18"/>
                <w:szCs w:val="18"/>
                <w:color w:val="auto"/>
              </w:rPr>
              <w:t>98</w:t>
            </w:r>
          </w:p>
        </w:tc>
        <w:tc>
          <w:tcPr>
            <w:tcW w:w="0" w:type="dxa"/>
            <w:vAlign w:val="bottom"/>
          </w:tcPr>
          <w:p>
            <w:pPr>
              <w:spacing w:after="0"/>
              <w:rPr>
                <w:sz w:val="1"/>
                <w:szCs w:val="1"/>
                <w:color w:val="auto"/>
              </w:rPr>
            </w:pPr>
          </w:p>
        </w:tc>
      </w:tr>
      <w:tr>
        <w:trPr>
          <w:trHeight w:val="216"/>
        </w:trPr>
        <w:tc>
          <w:tcPr>
            <w:tcW w:w="900" w:type="dxa"/>
            <w:vAlign w:val="bottom"/>
          </w:tcPr>
          <w:p>
            <w:pPr>
              <w:spacing w:after="0"/>
              <w:rPr>
                <w:sz w:val="20"/>
                <w:szCs w:val="20"/>
                <w:color w:val="auto"/>
              </w:rPr>
            </w:pPr>
            <w:r>
              <w:rPr>
                <w:rFonts w:ascii="Arial" w:cs="Arial" w:eastAsia="Arial" w:hAnsi="Arial"/>
                <w:sz w:val="18"/>
                <w:szCs w:val="18"/>
                <w:color w:val="auto"/>
              </w:rPr>
              <w:t>Item 9.</w:t>
            </w:r>
          </w:p>
        </w:tc>
        <w:tc>
          <w:tcPr>
            <w:tcW w:w="4020" w:type="dxa"/>
            <w:vAlign w:val="bottom"/>
          </w:tcPr>
          <w:p>
            <w:pPr>
              <w:ind w:left="20"/>
              <w:spacing w:after="0"/>
              <w:rPr>
                <w:sz w:val="20"/>
                <w:szCs w:val="20"/>
                <w:color w:val="auto"/>
              </w:rPr>
            </w:pPr>
            <w:r>
              <w:rPr>
                <w:rFonts w:ascii="Arial" w:cs="Arial" w:eastAsia="Arial" w:hAnsi="Arial"/>
                <w:sz w:val="18"/>
                <w:szCs w:val="18"/>
                <w:color w:val="auto"/>
              </w:rPr>
              <w:t>The Offer and Listing</w:t>
            </w:r>
          </w:p>
        </w:tc>
        <w:tc>
          <w:tcPr>
            <w:tcW w:w="500" w:type="dxa"/>
            <w:vAlign w:val="bottom"/>
            <w:gridSpan w:val="2"/>
          </w:tcPr>
          <w:p>
            <w:pPr>
              <w:jc w:val="right"/>
              <w:ind w:right="200"/>
              <w:spacing w:after="0"/>
              <w:rPr>
                <w:sz w:val="20"/>
                <w:szCs w:val="20"/>
                <w:color w:val="auto"/>
              </w:rPr>
            </w:pPr>
            <w:r>
              <w:rPr>
                <w:rFonts w:ascii="Arial" w:cs="Arial" w:eastAsia="Arial" w:hAnsi="Arial"/>
                <w:sz w:val="18"/>
                <w:szCs w:val="18"/>
                <w:color w:val="auto"/>
              </w:rPr>
              <w:t>81</w:t>
            </w:r>
          </w:p>
        </w:tc>
        <w:tc>
          <w:tcPr>
            <w:tcW w:w="1020" w:type="dxa"/>
            <w:vAlign w:val="bottom"/>
          </w:tcPr>
          <w:p>
            <w:pPr>
              <w:ind w:left="200"/>
              <w:spacing w:after="0"/>
              <w:rPr>
                <w:sz w:val="20"/>
                <w:szCs w:val="20"/>
                <w:color w:val="auto"/>
              </w:rPr>
            </w:pPr>
            <w:r>
              <w:rPr>
                <w:rFonts w:ascii="Arial" w:cs="Arial" w:eastAsia="Arial" w:hAnsi="Arial"/>
                <w:sz w:val="18"/>
                <w:szCs w:val="18"/>
                <w:color w:val="auto"/>
              </w:rPr>
              <w:t>PART III</w:t>
            </w:r>
          </w:p>
        </w:tc>
        <w:tc>
          <w:tcPr>
            <w:tcW w:w="42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00" w:type="dxa"/>
            <w:vAlign w:val="bottom"/>
          </w:tcPr>
          <w:p>
            <w:pPr>
              <w:spacing w:after="0"/>
              <w:rPr>
                <w:sz w:val="20"/>
                <w:szCs w:val="20"/>
                <w:color w:val="auto"/>
              </w:rPr>
            </w:pPr>
            <w:r>
              <w:rPr>
                <w:rFonts w:ascii="Arial" w:cs="Arial" w:eastAsia="Arial" w:hAnsi="Arial"/>
                <w:sz w:val="18"/>
                <w:szCs w:val="18"/>
                <w:color w:val="auto"/>
              </w:rPr>
              <w:t>Item 10.</w:t>
            </w:r>
          </w:p>
        </w:tc>
        <w:tc>
          <w:tcPr>
            <w:tcW w:w="4020" w:type="dxa"/>
            <w:vAlign w:val="bottom"/>
          </w:tcPr>
          <w:p>
            <w:pPr>
              <w:ind w:left="20"/>
              <w:spacing w:after="0"/>
              <w:rPr>
                <w:sz w:val="20"/>
                <w:szCs w:val="20"/>
                <w:color w:val="auto"/>
              </w:rPr>
            </w:pPr>
            <w:r>
              <w:rPr>
                <w:rFonts w:ascii="Arial" w:cs="Arial" w:eastAsia="Arial" w:hAnsi="Arial"/>
                <w:sz w:val="18"/>
                <w:szCs w:val="18"/>
                <w:color w:val="auto"/>
              </w:rPr>
              <w:t>Additional Information</w:t>
            </w:r>
          </w:p>
        </w:tc>
        <w:tc>
          <w:tcPr>
            <w:tcW w:w="500" w:type="dxa"/>
            <w:vAlign w:val="bottom"/>
            <w:gridSpan w:val="2"/>
          </w:tcPr>
          <w:p>
            <w:pPr>
              <w:jc w:val="right"/>
              <w:ind w:right="200"/>
              <w:spacing w:after="0"/>
              <w:rPr>
                <w:sz w:val="20"/>
                <w:szCs w:val="20"/>
                <w:color w:val="auto"/>
              </w:rPr>
            </w:pPr>
            <w:r>
              <w:rPr>
                <w:rFonts w:ascii="Arial" w:cs="Arial" w:eastAsia="Arial" w:hAnsi="Arial"/>
                <w:sz w:val="18"/>
                <w:szCs w:val="18"/>
                <w:color w:val="auto"/>
              </w:rPr>
              <w:t>82</w:t>
            </w:r>
          </w:p>
        </w:tc>
        <w:tc>
          <w:tcPr>
            <w:tcW w:w="1020" w:type="dxa"/>
            <w:vAlign w:val="bottom"/>
          </w:tcPr>
          <w:p>
            <w:pPr>
              <w:ind w:left="200"/>
              <w:spacing w:after="0"/>
              <w:rPr>
                <w:sz w:val="20"/>
                <w:szCs w:val="20"/>
                <w:color w:val="auto"/>
              </w:rPr>
            </w:pPr>
            <w:r>
              <w:rPr>
                <w:rFonts w:ascii="Arial" w:cs="Arial" w:eastAsia="Arial" w:hAnsi="Arial"/>
                <w:sz w:val="18"/>
                <w:szCs w:val="18"/>
                <w:color w:val="auto"/>
              </w:rPr>
              <w:t>Item 17.</w:t>
            </w:r>
          </w:p>
        </w:tc>
        <w:tc>
          <w:tcPr>
            <w:tcW w:w="4200" w:type="dxa"/>
            <w:vAlign w:val="bottom"/>
          </w:tcPr>
          <w:p>
            <w:pPr>
              <w:ind w:left="80"/>
              <w:spacing w:after="0"/>
              <w:rPr>
                <w:sz w:val="20"/>
                <w:szCs w:val="20"/>
                <w:color w:val="auto"/>
              </w:rPr>
            </w:pPr>
            <w:r>
              <w:rPr>
                <w:rFonts w:ascii="Arial" w:cs="Arial" w:eastAsia="Arial" w:hAnsi="Arial"/>
                <w:sz w:val="18"/>
                <w:szCs w:val="18"/>
                <w:color w:val="auto"/>
              </w:rPr>
              <w:t>Financial Statements</w:t>
            </w:r>
          </w:p>
        </w:tc>
        <w:tc>
          <w:tcPr>
            <w:tcW w:w="320" w:type="dxa"/>
            <w:vAlign w:val="bottom"/>
          </w:tcPr>
          <w:p>
            <w:pPr>
              <w:jc w:val="right"/>
              <w:spacing w:after="0"/>
              <w:rPr>
                <w:sz w:val="20"/>
                <w:szCs w:val="20"/>
                <w:color w:val="auto"/>
              </w:rPr>
            </w:pPr>
            <w:r>
              <w:rPr>
                <w:rFonts w:ascii="Arial" w:cs="Arial" w:eastAsia="Arial" w:hAnsi="Arial"/>
                <w:sz w:val="18"/>
                <w:szCs w:val="18"/>
                <w:color w:val="auto"/>
                <w:w w:val="99"/>
              </w:rPr>
              <w:t>100</w:t>
            </w:r>
          </w:p>
        </w:tc>
        <w:tc>
          <w:tcPr>
            <w:tcW w:w="0" w:type="dxa"/>
            <w:vAlign w:val="bottom"/>
          </w:tcPr>
          <w:p>
            <w:pPr>
              <w:spacing w:after="0"/>
              <w:rPr>
                <w:sz w:val="1"/>
                <w:szCs w:val="1"/>
                <w:color w:val="auto"/>
              </w:rPr>
            </w:pPr>
          </w:p>
        </w:tc>
      </w:tr>
      <w:tr>
        <w:trPr>
          <w:trHeight w:val="216"/>
        </w:trPr>
        <w:tc>
          <w:tcPr>
            <w:tcW w:w="900" w:type="dxa"/>
            <w:vAlign w:val="bottom"/>
          </w:tcPr>
          <w:p>
            <w:pPr>
              <w:spacing w:after="0"/>
              <w:rPr>
                <w:sz w:val="20"/>
                <w:szCs w:val="20"/>
                <w:color w:val="auto"/>
              </w:rPr>
            </w:pPr>
            <w:r>
              <w:rPr>
                <w:rFonts w:ascii="Arial" w:cs="Arial" w:eastAsia="Arial" w:hAnsi="Arial"/>
                <w:sz w:val="18"/>
                <w:szCs w:val="18"/>
                <w:color w:val="auto"/>
              </w:rPr>
              <w:t>Item 11.</w:t>
            </w:r>
          </w:p>
        </w:tc>
        <w:tc>
          <w:tcPr>
            <w:tcW w:w="4020" w:type="dxa"/>
            <w:vAlign w:val="bottom"/>
          </w:tcPr>
          <w:p>
            <w:pPr>
              <w:ind w:left="20"/>
              <w:spacing w:after="0"/>
              <w:rPr>
                <w:sz w:val="20"/>
                <w:szCs w:val="20"/>
                <w:color w:val="auto"/>
              </w:rPr>
            </w:pPr>
            <w:r>
              <w:rPr>
                <w:rFonts w:ascii="Arial" w:cs="Arial" w:eastAsia="Arial" w:hAnsi="Arial"/>
                <w:sz w:val="18"/>
                <w:szCs w:val="18"/>
                <w:color w:val="auto"/>
              </w:rPr>
              <w:t>Quantitative and Qualitative Disclosures About</w:t>
            </w:r>
          </w:p>
        </w:tc>
        <w:tc>
          <w:tcPr>
            <w:tcW w:w="3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20" w:type="dxa"/>
            <w:vAlign w:val="bottom"/>
          </w:tcPr>
          <w:p>
            <w:pPr>
              <w:ind w:left="200"/>
              <w:spacing w:after="0"/>
              <w:rPr>
                <w:sz w:val="20"/>
                <w:szCs w:val="20"/>
                <w:color w:val="auto"/>
              </w:rPr>
            </w:pPr>
            <w:r>
              <w:rPr>
                <w:rFonts w:ascii="Arial" w:cs="Arial" w:eastAsia="Arial" w:hAnsi="Arial"/>
                <w:sz w:val="18"/>
                <w:szCs w:val="18"/>
                <w:color w:val="auto"/>
              </w:rPr>
              <w:t>Item 18.</w:t>
            </w:r>
          </w:p>
        </w:tc>
        <w:tc>
          <w:tcPr>
            <w:tcW w:w="4200" w:type="dxa"/>
            <w:vAlign w:val="bottom"/>
          </w:tcPr>
          <w:p>
            <w:pPr>
              <w:ind w:left="80"/>
              <w:spacing w:after="0"/>
              <w:rPr>
                <w:sz w:val="20"/>
                <w:szCs w:val="20"/>
                <w:color w:val="auto"/>
              </w:rPr>
            </w:pPr>
            <w:r>
              <w:rPr>
                <w:rFonts w:ascii="Arial" w:cs="Arial" w:eastAsia="Arial" w:hAnsi="Arial"/>
                <w:sz w:val="18"/>
                <w:szCs w:val="18"/>
                <w:color w:val="auto"/>
              </w:rPr>
              <w:t>Financial Statements</w:t>
            </w:r>
          </w:p>
        </w:tc>
        <w:tc>
          <w:tcPr>
            <w:tcW w:w="320" w:type="dxa"/>
            <w:vAlign w:val="bottom"/>
          </w:tcPr>
          <w:p>
            <w:pPr>
              <w:jc w:val="right"/>
              <w:spacing w:after="0"/>
              <w:rPr>
                <w:sz w:val="20"/>
                <w:szCs w:val="20"/>
                <w:color w:val="auto"/>
              </w:rPr>
            </w:pPr>
            <w:r>
              <w:rPr>
                <w:rFonts w:ascii="Arial" w:cs="Arial" w:eastAsia="Arial" w:hAnsi="Arial"/>
                <w:sz w:val="18"/>
                <w:szCs w:val="18"/>
                <w:color w:val="auto"/>
                <w:w w:val="99"/>
              </w:rPr>
              <w:t>100</w:t>
            </w:r>
          </w:p>
        </w:tc>
        <w:tc>
          <w:tcPr>
            <w:tcW w:w="0" w:type="dxa"/>
            <w:vAlign w:val="bottom"/>
          </w:tcPr>
          <w:p>
            <w:pPr>
              <w:spacing w:after="0"/>
              <w:rPr>
                <w:sz w:val="1"/>
                <w:szCs w:val="1"/>
                <w:color w:val="auto"/>
              </w:rPr>
            </w:pPr>
          </w:p>
        </w:tc>
      </w:tr>
      <w:tr>
        <w:trPr>
          <w:trHeight w:val="216"/>
        </w:trPr>
        <w:tc>
          <w:tcPr>
            <w:tcW w:w="900" w:type="dxa"/>
            <w:vAlign w:val="bottom"/>
          </w:tcPr>
          <w:p>
            <w:pPr>
              <w:spacing w:after="0"/>
              <w:rPr>
                <w:sz w:val="18"/>
                <w:szCs w:val="18"/>
                <w:color w:val="auto"/>
              </w:rPr>
            </w:pPr>
          </w:p>
        </w:tc>
        <w:tc>
          <w:tcPr>
            <w:tcW w:w="4020" w:type="dxa"/>
            <w:vAlign w:val="bottom"/>
          </w:tcPr>
          <w:p>
            <w:pPr>
              <w:ind w:left="20"/>
              <w:spacing w:after="0"/>
              <w:rPr>
                <w:sz w:val="20"/>
                <w:szCs w:val="20"/>
                <w:color w:val="auto"/>
              </w:rPr>
            </w:pPr>
            <w:r>
              <w:rPr>
                <w:rFonts w:ascii="Arial" w:cs="Arial" w:eastAsia="Arial" w:hAnsi="Arial"/>
                <w:sz w:val="18"/>
                <w:szCs w:val="18"/>
                <w:color w:val="auto"/>
              </w:rPr>
              <w:t>Market Risk</w:t>
            </w:r>
          </w:p>
        </w:tc>
        <w:tc>
          <w:tcPr>
            <w:tcW w:w="500" w:type="dxa"/>
            <w:vAlign w:val="bottom"/>
            <w:gridSpan w:val="2"/>
          </w:tcPr>
          <w:p>
            <w:pPr>
              <w:jc w:val="right"/>
              <w:ind w:right="200"/>
              <w:spacing w:after="0"/>
              <w:rPr>
                <w:sz w:val="20"/>
                <w:szCs w:val="20"/>
                <w:color w:val="auto"/>
              </w:rPr>
            </w:pPr>
            <w:r>
              <w:rPr>
                <w:rFonts w:ascii="Arial" w:cs="Arial" w:eastAsia="Arial" w:hAnsi="Arial"/>
                <w:sz w:val="18"/>
                <w:szCs w:val="18"/>
                <w:color w:val="auto"/>
              </w:rPr>
              <w:t>91</w:t>
            </w:r>
          </w:p>
        </w:tc>
        <w:tc>
          <w:tcPr>
            <w:tcW w:w="1020" w:type="dxa"/>
            <w:vAlign w:val="bottom"/>
          </w:tcPr>
          <w:p>
            <w:pPr>
              <w:ind w:left="200"/>
              <w:spacing w:after="0"/>
              <w:rPr>
                <w:sz w:val="20"/>
                <w:szCs w:val="20"/>
                <w:color w:val="auto"/>
              </w:rPr>
            </w:pPr>
            <w:r>
              <w:rPr>
                <w:rFonts w:ascii="Arial" w:cs="Arial" w:eastAsia="Arial" w:hAnsi="Arial"/>
                <w:sz w:val="18"/>
                <w:szCs w:val="18"/>
                <w:color w:val="auto"/>
              </w:rPr>
              <w:t>Item l9.</w:t>
            </w:r>
          </w:p>
        </w:tc>
        <w:tc>
          <w:tcPr>
            <w:tcW w:w="4200" w:type="dxa"/>
            <w:vAlign w:val="bottom"/>
          </w:tcPr>
          <w:p>
            <w:pPr>
              <w:ind w:left="80"/>
              <w:spacing w:after="0"/>
              <w:rPr>
                <w:sz w:val="20"/>
                <w:szCs w:val="20"/>
                <w:color w:val="auto"/>
              </w:rPr>
            </w:pPr>
            <w:r>
              <w:rPr>
                <w:rFonts w:ascii="Arial" w:cs="Arial" w:eastAsia="Arial" w:hAnsi="Arial"/>
                <w:sz w:val="18"/>
                <w:szCs w:val="18"/>
                <w:color w:val="auto"/>
              </w:rPr>
              <w:t>Exhibits</w:t>
            </w:r>
          </w:p>
        </w:tc>
        <w:tc>
          <w:tcPr>
            <w:tcW w:w="320" w:type="dxa"/>
            <w:vAlign w:val="bottom"/>
          </w:tcPr>
          <w:p>
            <w:pPr>
              <w:jc w:val="right"/>
              <w:spacing w:after="0"/>
              <w:rPr>
                <w:sz w:val="20"/>
                <w:szCs w:val="20"/>
                <w:color w:val="auto"/>
              </w:rPr>
            </w:pPr>
            <w:r>
              <w:rPr>
                <w:rFonts w:ascii="Arial" w:cs="Arial" w:eastAsia="Arial" w:hAnsi="Arial"/>
                <w:sz w:val="18"/>
                <w:szCs w:val="18"/>
                <w:color w:val="auto"/>
                <w:w w:val="99"/>
              </w:rPr>
              <w:t>100</w:t>
            </w:r>
          </w:p>
        </w:tc>
        <w:tc>
          <w:tcPr>
            <w:tcW w:w="0" w:type="dxa"/>
            <w:vAlign w:val="bottom"/>
          </w:tcPr>
          <w:p>
            <w:pPr>
              <w:spacing w:after="0"/>
              <w:rPr>
                <w:sz w:val="1"/>
                <w:szCs w:val="1"/>
                <w:color w:val="auto"/>
              </w:rPr>
            </w:pPr>
          </w:p>
        </w:tc>
      </w:tr>
      <w:tr>
        <w:trPr>
          <w:trHeight w:val="216"/>
        </w:trPr>
        <w:tc>
          <w:tcPr>
            <w:tcW w:w="900" w:type="dxa"/>
            <w:vAlign w:val="bottom"/>
          </w:tcPr>
          <w:p>
            <w:pPr>
              <w:spacing w:after="0"/>
              <w:rPr>
                <w:sz w:val="20"/>
                <w:szCs w:val="20"/>
                <w:color w:val="auto"/>
              </w:rPr>
            </w:pPr>
            <w:r>
              <w:rPr>
                <w:rFonts w:ascii="Arial" w:cs="Arial" w:eastAsia="Arial" w:hAnsi="Arial"/>
                <w:sz w:val="18"/>
                <w:szCs w:val="18"/>
                <w:color w:val="auto"/>
              </w:rPr>
              <w:t>Item 12.</w:t>
            </w:r>
          </w:p>
        </w:tc>
        <w:tc>
          <w:tcPr>
            <w:tcW w:w="4020" w:type="dxa"/>
            <w:vAlign w:val="bottom"/>
          </w:tcPr>
          <w:p>
            <w:pPr>
              <w:ind w:left="20"/>
              <w:spacing w:after="0"/>
              <w:rPr>
                <w:sz w:val="20"/>
                <w:szCs w:val="20"/>
                <w:color w:val="auto"/>
              </w:rPr>
            </w:pPr>
            <w:r>
              <w:rPr>
                <w:rFonts w:ascii="Arial" w:cs="Arial" w:eastAsia="Arial" w:hAnsi="Arial"/>
                <w:sz w:val="18"/>
                <w:szCs w:val="18"/>
                <w:color w:val="auto"/>
              </w:rPr>
              <w:t>Description of Securities Other than Equity</w:t>
            </w:r>
          </w:p>
        </w:tc>
        <w:tc>
          <w:tcPr>
            <w:tcW w:w="3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20" w:type="dxa"/>
            <w:vAlign w:val="bottom"/>
          </w:tcPr>
          <w:p>
            <w:pPr>
              <w:ind w:left="200"/>
              <w:spacing w:after="0"/>
              <w:rPr>
                <w:sz w:val="20"/>
                <w:szCs w:val="20"/>
                <w:color w:val="auto"/>
              </w:rPr>
            </w:pPr>
            <w:r>
              <w:rPr>
                <w:rFonts w:ascii="Arial" w:cs="Arial" w:eastAsia="Arial" w:hAnsi="Arial"/>
                <w:sz w:val="18"/>
                <w:szCs w:val="18"/>
                <w:color w:val="auto"/>
                <w:w w:val="92"/>
              </w:rPr>
              <w:t>Signatures</w:t>
            </w:r>
          </w:p>
        </w:tc>
        <w:tc>
          <w:tcPr>
            <w:tcW w:w="4200" w:type="dxa"/>
            <w:vAlign w:val="bottom"/>
          </w:tcPr>
          <w:p>
            <w:pPr>
              <w:spacing w:after="0"/>
              <w:rPr>
                <w:sz w:val="18"/>
                <w:szCs w:val="18"/>
                <w:color w:val="auto"/>
              </w:rPr>
            </w:pPr>
          </w:p>
        </w:tc>
        <w:tc>
          <w:tcPr>
            <w:tcW w:w="320" w:type="dxa"/>
            <w:vAlign w:val="bottom"/>
          </w:tcPr>
          <w:p>
            <w:pPr>
              <w:jc w:val="right"/>
              <w:spacing w:after="0"/>
              <w:rPr>
                <w:sz w:val="20"/>
                <w:szCs w:val="20"/>
                <w:color w:val="auto"/>
              </w:rPr>
            </w:pPr>
            <w:r>
              <w:rPr>
                <w:rFonts w:ascii="Arial" w:cs="Arial" w:eastAsia="Arial" w:hAnsi="Arial"/>
                <w:sz w:val="18"/>
                <w:szCs w:val="18"/>
                <w:color w:val="auto"/>
                <w:w w:val="99"/>
              </w:rPr>
              <w:t>114</w:t>
            </w:r>
          </w:p>
        </w:tc>
        <w:tc>
          <w:tcPr>
            <w:tcW w:w="0" w:type="dxa"/>
            <w:vAlign w:val="bottom"/>
          </w:tcPr>
          <w:p>
            <w:pPr>
              <w:spacing w:after="0"/>
              <w:rPr>
                <w:sz w:val="1"/>
                <w:szCs w:val="1"/>
                <w:color w:val="auto"/>
              </w:rPr>
            </w:pPr>
          </w:p>
        </w:tc>
      </w:tr>
      <w:tr>
        <w:trPr>
          <w:trHeight w:val="230"/>
        </w:trPr>
        <w:tc>
          <w:tcPr>
            <w:tcW w:w="900" w:type="dxa"/>
            <w:vAlign w:val="bottom"/>
            <w:vMerge w:val="restart"/>
          </w:tcPr>
          <w:p>
            <w:pPr>
              <w:spacing w:after="0"/>
              <w:rPr>
                <w:sz w:val="20"/>
                <w:szCs w:val="20"/>
                <w:color w:val="auto"/>
              </w:rPr>
            </w:pPr>
            <w:r>
              <w:rPr>
                <w:rFonts w:ascii="Arial" w:cs="Arial" w:eastAsia="Arial" w:hAnsi="Arial"/>
                <w:sz w:val="18"/>
                <w:szCs w:val="18"/>
                <w:color w:val="auto"/>
              </w:rPr>
              <w:t>PART II</w:t>
            </w:r>
          </w:p>
        </w:tc>
        <w:tc>
          <w:tcPr>
            <w:tcW w:w="4020" w:type="dxa"/>
            <w:vAlign w:val="bottom"/>
          </w:tcPr>
          <w:p>
            <w:pPr>
              <w:ind w:left="20"/>
              <w:spacing w:after="0"/>
              <w:rPr>
                <w:sz w:val="20"/>
                <w:szCs w:val="20"/>
                <w:color w:val="auto"/>
              </w:rPr>
            </w:pPr>
            <w:r>
              <w:rPr>
                <w:rFonts w:ascii="Arial" w:cs="Arial" w:eastAsia="Arial" w:hAnsi="Arial"/>
                <w:sz w:val="18"/>
                <w:szCs w:val="18"/>
                <w:color w:val="auto"/>
              </w:rPr>
              <w:t>Securities</w:t>
            </w:r>
          </w:p>
        </w:tc>
        <w:tc>
          <w:tcPr>
            <w:tcW w:w="500" w:type="dxa"/>
            <w:vAlign w:val="bottom"/>
            <w:gridSpan w:val="2"/>
          </w:tcPr>
          <w:p>
            <w:pPr>
              <w:jc w:val="right"/>
              <w:ind w:right="200"/>
              <w:spacing w:after="0"/>
              <w:rPr>
                <w:sz w:val="20"/>
                <w:szCs w:val="20"/>
                <w:color w:val="auto"/>
              </w:rPr>
            </w:pPr>
            <w:r>
              <w:rPr>
                <w:rFonts w:ascii="Arial" w:cs="Arial" w:eastAsia="Arial" w:hAnsi="Arial"/>
                <w:sz w:val="18"/>
                <w:szCs w:val="18"/>
                <w:color w:val="auto"/>
              </w:rPr>
              <w:t>93</w:t>
            </w:r>
          </w:p>
        </w:tc>
        <w:tc>
          <w:tcPr>
            <w:tcW w:w="1020" w:type="dxa"/>
            <w:vAlign w:val="bottom"/>
          </w:tcPr>
          <w:p>
            <w:pPr>
              <w:spacing w:after="0"/>
              <w:rPr>
                <w:sz w:val="20"/>
                <w:szCs w:val="20"/>
                <w:color w:val="auto"/>
              </w:rPr>
            </w:pPr>
          </w:p>
        </w:tc>
        <w:tc>
          <w:tcPr>
            <w:tcW w:w="420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900" w:type="dxa"/>
            <w:vAlign w:val="bottom"/>
            <w:vMerge w:val="continue"/>
          </w:tcPr>
          <w:p>
            <w:pPr>
              <w:spacing w:after="0"/>
              <w:rPr>
                <w:sz w:val="17"/>
                <w:szCs w:val="17"/>
                <w:color w:val="auto"/>
              </w:rPr>
            </w:pPr>
          </w:p>
        </w:tc>
        <w:tc>
          <w:tcPr>
            <w:tcW w:w="40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42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900" w:type="dxa"/>
            <w:vAlign w:val="bottom"/>
          </w:tcPr>
          <w:p>
            <w:pPr>
              <w:spacing w:after="0"/>
              <w:rPr>
                <w:sz w:val="20"/>
                <w:szCs w:val="20"/>
                <w:color w:val="auto"/>
              </w:rPr>
            </w:pPr>
            <w:r>
              <w:rPr>
                <w:rFonts w:ascii="Arial" w:cs="Arial" w:eastAsia="Arial" w:hAnsi="Arial"/>
                <w:sz w:val="18"/>
                <w:szCs w:val="18"/>
                <w:color w:val="auto"/>
              </w:rPr>
              <w:t>Item 13.</w:t>
            </w:r>
          </w:p>
        </w:tc>
        <w:tc>
          <w:tcPr>
            <w:tcW w:w="4020" w:type="dxa"/>
            <w:vAlign w:val="bottom"/>
          </w:tcPr>
          <w:p>
            <w:pPr>
              <w:ind w:left="20"/>
              <w:spacing w:after="0"/>
              <w:rPr>
                <w:sz w:val="20"/>
                <w:szCs w:val="20"/>
                <w:color w:val="auto"/>
              </w:rPr>
            </w:pPr>
            <w:r>
              <w:rPr>
                <w:rFonts w:ascii="Arial" w:cs="Arial" w:eastAsia="Arial" w:hAnsi="Arial"/>
                <w:sz w:val="18"/>
                <w:szCs w:val="18"/>
                <w:color w:val="auto"/>
              </w:rPr>
              <w:t>Defaults, Dividend Arrearages and Delinquencies</w:t>
            </w:r>
          </w:p>
        </w:tc>
        <w:tc>
          <w:tcPr>
            <w:tcW w:w="500" w:type="dxa"/>
            <w:vAlign w:val="bottom"/>
            <w:gridSpan w:val="2"/>
          </w:tcPr>
          <w:p>
            <w:pPr>
              <w:jc w:val="right"/>
              <w:ind w:right="200"/>
              <w:spacing w:after="0"/>
              <w:rPr>
                <w:sz w:val="20"/>
                <w:szCs w:val="20"/>
                <w:color w:val="auto"/>
              </w:rPr>
            </w:pPr>
            <w:r>
              <w:rPr>
                <w:rFonts w:ascii="Arial" w:cs="Arial" w:eastAsia="Arial" w:hAnsi="Arial"/>
                <w:sz w:val="18"/>
                <w:szCs w:val="18"/>
                <w:color w:val="auto"/>
              </w:rPr>
              <w:t>94</w:t>
            </w:r>
          </w:p>
        </w:tc>
        <w:tc>
          <w:tcPr>
            <w:tcW w:w="1020" w:type="dxa"/>
            <w:vAlign w:val="bottom"/>
          </w:tcPr>
          <w:p>
            <w:pPr>
              <w:spacing w:after="0"/>
              <w:rPr>
                <w:sz w:val="20"/>
                <w:szCs w:val="20"/>
                <w:color w:val="auto"/>
              </w:rPr>
            </w:pPr>
          </w:p>
        </w:tc>
        <w:tc>
          <w:tcPr>
            <w:tcW w:w="420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377" w:lineRule="exact"/>
        <w:rPr>
          <w:sz w:val="20"/>
          <w:szCs w:val="20"/>
          <w:color w:val="auto"/>
        </w:rPr>
      </w:pPr>
    </w:p>
    <w:p>
      <w:pPr>
        <w:ind w:firstLine="440"/>
        <w:spacing w:after="0" w:line="269" w:lineRule="auto"/>
        <w:rPr>
          <w:sz w:val="20"/>
          <w:szCs w:val="20"/>
          <w:color w:val="auto"/>
        </w:rPr>
      </w:pPr>
      <w:r>
        <w:rPr>
          <w:rFonts w:ascii="Arial" w:cs="Arial" w:eastAsia="Arial" w:hAnsi="Arial"/>
          <w:sz w:val="17"/>
          <w:szCs w:val="17"/>
          <w:i w:val="1"/>
          <w:iCs w:val="1"/>
          <w:color w:val="auto"/>
        </w:rPr>
        <w:t>In this Annual Report on Form 20-F, unless indicated otherwise, references to: (1) “Textainer,” “TGH,” “the Company,” “we,” “us” and “our” refer, as the context requires, to Textainer Group Holdings Limited, which is the registrant and the issuer of the class of common shares that has been registered pursuant to Section 12(b) of the Securities Exchange Act of 1934, as amended, or Textainer Group Holdings Limited and its subsidiaries; (2) “TEU” refers to a “Twenty-Foot Equivalent Unit,” which is a unit of measurement used in the container shipping industry to compare shipping containers of various lengths to a standard 20’ dry freight container, thus a 20’ container is one TEU and a 40’ container is two TEU; (3) “CEU” refers to a Cost Equivalent Unit, which is a unit of measurement based on the approximate cost of a container relative to the cost of a standard 20’ dry freight container, so the cost of a standard 20’ dry freight container is one CEU; the cost of a 40’ dry freight container is 1.6 CEU; the cost of a 40’ high cube dry freight container (9’6” high) is 1.7 CEU; and the cost of a 40’ high cube refrigerated container is 8.0 CEU; (4) “our owned fleet” means the containers we own; (5) “our managed fleet” means the containers we manage that are owned by other Container Investors; (6) “our fleet” and “our total fleet” mean our owned fleet plus our managed fleet plus any containers we lease from other lessors; and (7) “Container Investors” means the owners of the containers in our managed fleet.</w:t>
      </w:r>
    </w:p>
    <w:p>
      <w:pPr>
        <w:spacing w:after="0" w:line="182"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Dollar amounts in this Annual Report on Form 20-F are expressed in thousands, unless otherwise indicated.</w:t>
      </w:r>
    </w:p>
    <w:p>
      <w:pPr>
        <w:sectPr>
          <w:pgSz w:w="11900" w:h="16838" w:orient="portrait"/>
          <w:cols w:equalWidth="0" w:num="1">
            <w:col w:w="11000"/>
          </w:cols>
          <w:pgMar w:left="440" w:top="270" w:right="459" w:bottom="1440" w:gutter="0" w:footer="0" w:header="0"/>
        </w:sectPr>
      </w:pPr>
    </w:p>
    <w:bookmarkStart w:id="14" w:name="page15"/>
    <w:bookmarkEnd w:id="14"/>
    <w:p>
      <w:pPr>
        <w:jc w:val="center"/>
        <w:ind w:right="-3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174865" cy="38735"/>
                    </a:xfrm>
                    <a:prstGeom prst="rect">
                      <a:avLst/>
                    </a:prstGeom>
                    <a:noFill/>
                  </pic:spPr>
                </pic:pic>
              </a:graphicData>
            </a:graphic>
          </wp:anchor>
        </w:drawing>
        <w:t>INFORMATION REGARDING FORWARD-LOOKING STATEMENTS; CAUTIONARY LANGUAGE</w:t>
      </w:r>
    </w:p>
    <w:p>
      <w:pPr>
        <w:spacing w:after="0" w:line="229" w:lineRule="exact"/>
        <w:rPr>
          <w:sz w:val="20"/>
          <w:szCs w:val="20"/>
          <w:color w:val="auto"/>
        </w:rPr>
      </w:pPr>
    </w:p>
    <w:p>
      <w:pPr>
        <w:ind w:right="140" w:firstLine="440"/>
        <w:spacing w:after="0" w:line="272" w:lineRule="auto"/>
        <w:rPr>
          <w:sz w:val="20"/>
          <w:szCs w:val="20"/>
          <w:color w:val="auto"/>
        </w:rPr>
      </w:pPr>
      <w:r>
        <w:rPr>
          <w:rFonts w:ascii="Arial" w:cs="Arial" w:eastAsia="Arial" w:hAnsi="Arial"/>
          <w:sz w:val="17"/>
          <w:szCs w:val="17"/>
          <w:color w:val="auto"/>
        </w:rPr>
        <w:t xml:space="preserve">This Annual Report on Form 20-F, including the sections entitled Item 3, </w:t>
      </w:r>
      <w:r>
        <w:rPr>
          <w:rFonts w:ascii="Arial" w:cs="Arial" w:eastAsia="Arial" w:hAnsi="Arial"/>
          <w:sz w:val="17"/>
          <w:szCs w:val="17"/>
          <w:i w:val="1"/>
          <w:iCs w:val="1"/>
          <w:color w:val="auto"/>
        </w:rPr>
        <w:t>“Key Information — Risk Factors,”</w:t>
      </w:r>
      <w:r>
        <w:rPr>
          <w:rFonts w:ascii="Arial" w:cs="Arial" w:eastAsia="Arial" w:hAnsi="Arial"/>
          <w:sz w:val="17"/>
          <w:szCs w:val="17"/>
          <w:color w:val="auto"/>
        </w:rPr>
        <w:t xml:space="preserve"> and Item 5, </w:t>
      </w:r>
      <w:r>
        <w:rPr>
          <w:rFonts w:ascii="Arial" w:cs="Arial" w:eastAsia="Arial" w:hAnsi="Arial"/>
          <w:sz w:val="17"/>
          <w:szCs w:val="17"/>
          <w:i w:val="1"/>
          <w:iCs w:val="1"/>
          <w:color w:val="auto"/>
        </w:rPr>
        <w:t>“Operating and</w:t>
      </w:r>
      <w:r>
        <w:rPr>
          <w:rFonts w:ascii="Arial" w:cs="Arial" w:eastAsia="Arial" w:hAnsi="Arial"/>
          <w:sz w:val="17"/>
          <w:szCs w:val="17"/>
          <w:color w:val="auto"/>
        </w:rPr>
        <w:t xml:space="preserve"> </w:t>
      </w:r>
      <w:r>
        <w:rPr>
          <w:rFonts w:ascii="Arial" w:cs="Arial" w:eastAsia="Arial" w:hAnsi="Arial"/>
          <w:sz w:val="17"/>
          <w:szCs w:val="17"/>
          <w:i w:val="1"/>
          <w:iCs w:val="1"/>
          <w:color w:val="auto"/>
        </w:rPr>
        <w:t xml:space="preserve">Financial Review and Prospects,” </w:t>
      </w:r>
      <w:r>
        <w:rPr>
          <w:rFonts w:ascii="Arial" w:cs="Arial" w:eastAsia="Arial" w:hAnsi="Arial"/>
          <w:sz w:val="17"/>
          <w:szCs w:val="17"/>
          <w:color w:val="auto"/>
        </w:rPr>
        <w:t>contains forward-looking statements within the “safe harbor” provisions of the U.S. Private Securities Litigation</w:t>
      </w:r>
      <w:r>
        <w:rPr>
          <w:rFonts w:ascii="Arial" w:cs="Arial" w:eastAsia="Arial" w:hAnsi="Arial"/>
          <w:sz w:val="17"/>
          <w:szCs w:val="17"/>
          <w:i w:val="1"/>
          <w:iCs w:val="1"/>
          <w:color w:val="auto"/>
        </w:rPr>
        <w:t xml:space="preserve"> </w:t>
      </w:r>
      <w:r>
        <w:rPr>
          <w:rFonts w:ascii="Arial" w:cs="Arial" w:eastAsia="Arial" w:hAnsi="Arial"/>
          <w:sz w:val="17"/>
          <w:szCs w:val="17"/>
          <w:color w:val="auto"/>
        </w:rPr>
        <w:t>Reform Act of 1995. Forward-looking statements include all statements that are not statements of historical facts and may relate to, but are not limited to, expectations or estimates of future operating results or financial performance, capital expenditures, introduction of new products, regulatory compliance, plans for growth and future operations, as well as assumptions relating to the foregoing. In some cases, you can identify forward-looking statements by terminology such as “may,” “will,” “should,” “could,” “expect,” “plan,” “anticipate,” “believe,” “estimate,” “predict,” “intend,” “potential,” “continue” or the negative of these terms or other similar terminology.</w:t>
      </w:r>
    </w:p>
    <w:p>
      <w:pPr>
        <w:spacing w:after="0" w:line="177" w:lineRule="exact"/>
        <w:rPr>
          <w:sz w:val="20"/>
          <w:szCs w:val="20"/>
          <w:color w:val="auto"/>
        </w:rPr>
      </w:pPr>
    </w:p>
    <w:p>
      <w:pPr>
        <w:ind w:firstLine="440"/>
        <w:spacing w:after="0" w:line="301" w:lineRule="auto"/>
        <w:rPr>
          <w:sz w:val="20"/>
          <w:szCs w:val="20"/>
          <w:color w:val="auto"/>
        </w:rPr>
      </w:pPr>
      <w:r>
        <w:rPr>
          <w:rFonts w:ascii="Arial" w:cs="Arial" w:eastAsia="Arial" w:hAnsi="Arial"/>
          <w:sz w:val="16"/>
          <w:szCs w:val="16"/>
          <w:color w:val="auto"/>
        </w:rPr>
        <w:t xml:space="preserve">Although we do not make forward-looking statements unless we believe we have a reasonable basis for doing so, we cannot guarantee their accuracy, and actual results may differ materially from those we anticipated due to a number of uncertainties, many of which cannot be foreseen. Our actual results could differ materially from those anticipated in these forward-looking statements for many reasons, including, among others, the risks we face that are described in the section entitled Item 3, </w:t>
      </w:r>
      <w:r>
        <w:rPr>
          <w:rFonts w:ascii="Arial" w:cs="Arial" w:eastAsia="Arial" w:hAnsi="Arial"/>
          <w:sz w:val="16"/>
          <w:szCs w:val="16"/>
          <w:i w:val="1"/>
          <w:iCs w:val="1"/>
          <w:color w:val="auto"/>
        </w:rPr>
        <w:t>“Key Information — Risk Factors”</w:t>
      </w:r>
      <w:r>
        <w:rPr>
          <w:rFonts w:ascii="Arial" w:cs="Arial" w:eastAsia="Arial" w:hAnsi="Arial"/>
          <w:sz w:val="16"/>
          <w:szCs w:val="16"/>
          <w:color w:val="auto"/>
        </w:rPr>
        <w:t xml:space="preserve"> and elsewhere in this Annual Report on Form 20-F.</w:t>
      </w:r>
    </w:p>
    <w:p>
      <w:pPr>
        <w:spacing w:after="0" w:line="157" w:lineRule="exact"/>
        <w:rPr>
          <w:sz w:val="20"/>
          <w:szCs w:val="20"/>
          <w:color w:val="auto"/>
        </w:rPr>
      </w:pPr>
    </w:p>
    <w:p>
      <w:pPr>
        <w:ind w:right="20" w:firstLine="440"/>
        <w:spacing w:after="0" w:line="271" w:lineRule="auto"/>
        <w:rPr>
          <w:sz w:val="20"/>
          <w:szCs w:val="20"/>
          <w:color w:val="auto"/>
        </w:rPr>
      </w:pPr>
      <w:r>
        <w:rPr>
          <w:rFonts w:ascii="Arial" w:cs="Arial" w:eastAsia="Arial" w:hAnsi="Arial"/>
          <w:sz w:val="17"/>
          <w:szCs w:val="17"/>
          <w:color w:val="auto"/>
        </w:rPr>
        <w:t xml:space="preserve">We believe that it is important to communicate our future expectations to potential investors, shareholders and other readers. However, there may be events in the future that we are not able to accurately predict or control and that may cause actual events or results to differ materially from the expectations expressed in or implied by our forward looking statements. The risk factors listed in Item 3, </w:t>
      </w:r>
      <w:r>
        <w:rPr>
          <w:rFonts w:ascii="Arial" w:cs="Arial" w:eastAsia="Arial" w:hAnsi="Arial"/>
          <w:sz w:val="17"/>
          <w:szCs w:val="17"/>
          <w:i w:val="1"/>
          <w:iCs w:val="1"/>
          <w:color w:val="auto"/>
        </w:rPr>
        <w:t>“Key Information — Risk Factors,”</w:t>
      </w:r>
      <w:r>
        <w:rPr>
          <w:rFonts w:ascii="Arial" w:cs="Arial" w:eastAsia="Arial" w:hAnsi="Arial"/>
          <w:sz w:val="17"/>
          <w:szCs w:val="17"/>
          <w:color w:val="auto"/>
        </w:rPr>
        <w:t xml:space="preserve"> as well as any cautionary language in this Annual Report on Form 20-F, provide examples of risks, uncertainties and events that may cause our actual results to differ materially from the expectations we describe in our forward-looking statements. Before you decide to buy, hold or sell our common shares, you should be aware that the occurrence of the events described in Item 3, </w:t>
      </w:r>
      <w:r>
        <w:rPr>
          <w:rFonts w:ascii="Arial" w:cs="Arial" w:eastAsia="Arial" w:hAnsi="Arial"/>
          <w:sz w:val="17"/>
          <w:szCs w:val="17"/>
          <w:i w:val="1"/>
          <w:iCs w:val="1"/>
          <w:color w:val="auto"/>
        </w:rPr>
        <w:t>“Key Information — Risk Factors”</w:t>
      </w:r>
      <w:r>
        <w:rPr>
          <w:rFonts w:ascii="Arial" w:cs="Arial" w:eastAsia="Arial" w:hAnsi="Arial"/>
          <w:sz w:val="17"/>
          <w:szCs w:val="17"/>
          <w:color w:val="auto"/>
        </w:rPr>
        <w:t xml:space="preserve"> and elsewhere in this Annual Report on Form 20-F could negatively impact our business, cash flows, results of operations, financial condition and share price. Potential investors, shareholders and other readers should not place undue reliance on our forward-looking statements.</w:t>
      </w:r>
    </w:p>
    <w:p>
      <w:pPr>
        <w:spacing w:after="0" w:line="178" w:lineRule="exact"/>
        <w:rPr>
          <w:sz w:val="20"/>
          <w:szCs w:val="20"/>
          <w:color w:val="auto"/>
        </w:rPr>
      </w:pPr>
    </w:p>
    <w:p>
      <w:pPr>
        <w:ind w:right="20" w:firstLine="440"/>
        <w:spacing w:after="0" w:line="254" w:lineRule="auto"/>
        <w:rPr>
          <w:sz w:val="20"/>
          <w:szCs w:val="20"/>
          <w:color w:val="auto"/>
        </w:rPr>
      </w:pPr>
      <w:r>
        <w:rPr>
          <w:rFonts w:ascii="Arial" w:cs="Arial" w:eastAsia="Arial" w:hAnsi="Arial"/>
          <w:sz w:val="18"/>
          <w:szCs w:val="18"/>
          <w:color w:val="auto"/>
        </w:rPr>
        <w:t xml:space="preserve">Forward-looking statements regarding our present plans or expectations involve risks and uncertainties relative to return expectations and related allocation of resources and changing economic or competitive conditions which could cause actual results to differ from present plans or expectations, and such differences could be material. Similarly, forward-looking statements regarding our present expectations for operating results and cash flow involve risks and uncertainties related to factors such as utilization rates, per diem rates, container prices, demand for containers by container shipping lines, supply, the magnitude and duration of the ongoing COVID-19 pandemic and other factors discussed under Item 3, </w:t>
      </w:r>
      <w:r>
        <w:rPr>
          <w:rFonts w:ascii="Arial" w:cs="Arial" w:eastAsia="Arial" w:hAnsi="Arial"/>
          <w:sz w:val="18"/>
          <w:szCs w:val="18"/>
          <w:i w:val="1"/>
          <w:iCs w:val="1"/>
          <w:color w:val="auto"/>
        </w:rPr>
        <w:t>“Key Information — Risk</w:t>
      </w:r>
      <w:r>
        <w:rPr>
          <w:rFonts w:ascii="Arial" w:cs="Arial" w:eastAsia="Arial" w:hAnsi="Arial"/>
          <w:sz w:val="18"/>
          <w:szCs w:val="18"/>
          <w:color w:val="auto"/>
        </w:rPr>
        <w:t xml:space="preserve"> </w:t>
      </w:r>
      <w:r>
        <w:rPr>
          <w:rFonts w:ascii="Arial" w:cs="Arial" w:eastAsia="Arial" w:hAnsi="Arial"/>
          <w:sz w:val="18"/>
          <w:szCs w:val="18"/>
          <w:i w:val="1"/>
          <w:iCs w:val="1"/>
          <w:color w:val="auto"/>
        </w:rPr>
        <w:t xml:space="preserve">Factors” </w:t>
      </w:r>
      <w:r>
        <w:rPr>
          <w:rFonts w:ascii="Arial" w:cs="Arial" w:eastAsia="Arial" w:hAnsi="Arial"/>
          <w:sz w:val="18"/>
          <w:szCs w:val="18"/>
          <w:color w:val="auto"/>
        </w:rPr>
        <w:t>or elsewhere in this Annual Report on Form 20-F, which could also cause actual results to differ from present plans. Such differences could be</w:t>
      </w:r>
      <w:r>
        <w:rPr>
          <w:rFonts w:ascii="Arial" w:cs="Arial" w:eastAsia="Arial" w:hAnsi="Arial"/>
          <w:sz w:val="18"/>
          <w:szCs w:val="18"/>
          <w:i w:val="1"/>
          <w:iCs w:val="1"/>
          <w:color w:val="auto"/>
        </w:rPr>
        <w:t xml:space="preserve"> </w:t>
      </w:r>
      <w:r>
        <w:rPr>
          <w:rFonts w:ascii="Arial" w:cs="Arial" w:eastAsia="Arial" w:hAnsi="Arial"/>
          <w:sz w:val="18"/>
          <w:szCs w:val="18"/>
          <w:color w:val="auto"/>
        </w:rPr>
        <w:t>material.</w:t>
      </w:r>
    </w:p>
    <w:p>
      <w:pPr>
        <w:spacing w:after="0" w:line="195" w:lineRule="exact"/>
        <w:rPr>
          <w:sz w:val="20"/>
          <w:szCs w:val="20"/>
          <w:color w:val="auto"/>
        </w:rPr>
      </w:pPr>
    </w:p>
    <w:p>
      <w:pPr>
        <w:ind w:right="20" w:firstLine="440"/>
        <w:spacing w:after="0" w:line="293" w:lineRule="auto"/>
        <w:rPr>
          <w:sz w:val="20"/>
          <w:szCs w:val="20"/>
          <w:color w:val="auto"/>
        </w:rPr>
      </w:pPr>
      <w:r>
        <w:rPr>
          <w:rFonts w:ascii="Arial" w:cs="Arial" w:eastAsia="Arial" w:hAnsi="Arial"/>
          <w:sz w:val="16"/>
          <w:szCs w:val="16"/>
          <w:color w:val="auto"/>
        </w:rPr>
        <w:t>All future written and oral forward-looking statements attributable to us or any person acting on our behalf are expressly qualified in their entirety by the cautionary statements contained or referred to in this section. New risks and uncertainties arise from time to time, and we cannot predict those events or how they may affect us. We assume no obligation to, and do not plan to, update any forward-looking statements after the date of this Annual Report on Form 20-F as a result of new information, future events or developments, except as required by federal securities laws. You should read this Annual Report on Form 20-F and the documents that we reference and have filed as exhibits with the understanding that we cannot guarantee future results, levels of activity, performance or achievements and that actual results may differ materially from what we expect.</w:t>
      </w:r>
    </w:p>
    <w:p>
      <w:pPr>
        <w:spacing w:after="0" w:line="164" w:lineRule="exact"/>
        <w:rPr>
          <w:sz w:val="20"/>
          <w:szCs w:val="20"/>
          <w:color w:val="auto"/>
        </w:rPr>
      </w:pPr>
    </w:p>
    <w:p>
      <w:pPr>
        <w:ind w:right="60" w:firstLine="440"/>
        <w:spacing w:after="0" w:line="311" w:lineRule="auto"/>
        <w:rPr>
          <w:sz w:val="20"/>
          <w:szCs w:val="20"/>
          <w:color w:val="auto"/>
        </w:rPr>
      </w:pPr>
      <w:r>
        <w:rPr>
          <w:rFonts w:ascii="Arial" w:cs="Arial" w:eastAsia="Arial" w:hAnsi="Arial"/>
          <w:sz w:val="16"/>
          <w:szCs w:val="16"/>
          <w:color w:val="auto"/>
        </w:rPr>
        <w:t>Industry data and other statistical information used in this Annual Report on Form 20-F are based on independent publications, reports by market research firms or other published independent sources. Good faith estimates are used for some data that is derived from our review of internal surveys and the independent sources listed above. Although we believe these sources are reliable, we have not independently verified the information.</w:t>
      </w:r>
    </w:p>
    <w:p>
      <w:pPr>
        <w:spacing w:after="0" w:line="149" w:lineRule="exact"/>
        <w:rPr>
          <w:sz w:val="20"/>
          <w:szCs w:val="20"/>
          <w:color w:val="auto"/>
        </w:rPr>
      </w:pPr>
    </w:p>
    <w:p>
      <w:pPr>
        <w:ind w:firstLine="440"/>
        <w:spacing w:after="0" w:line="263" w:lineRule="auto"/>
        <w:rPr>
          <w:sz w:val="20"/>
          <w:szCs w:val="20"/>
          <w:color w:val="auto"/>
        </w:rPr>
      </w:pPr>
      <w:r>
        <w:rPr>
          <w:rFonts w:ascii="Arial" w:cs="Arial" w:eastAsia="Arial" w:hAnsi="Arial"/>
          <w:sz w:val="18"/>
          <w:szCs w:val="18"/>
          <w:color w:val="auto"/>
        </w:rPr>
        <w:t xml:space="preserve">In this Annual Report on Form 20-F, unless otherwise specified, all monetary amounts are in U.S. dollars. To the extent that any monetary amounts are not denominated in U.S. dollars, they have been translated into U.S. dollars in accordance with our accounting policies as described in Item 18, </w:t>
      </w:r>
      <w:r>
        <w:rPr>
          <w:rFonts w:ascii="Arial" w:cs="Arial" w:eastAsia="Arial" w:hAnsi="Arial"/>
          <w:sz w:val="18"/>
          <w:szCs w:val="18"/>
          <w:i w:val="1"/>
          <w:iCs w:val="1"/>
          <w:color w:val="auto"/>
        </w:rPr>
        <w:t>“Financial Statements”</w:t>
      </w:r>
      <w:r>
        <w:rPr>
          <w:rFonts w:ascii="Arial" w:cs="Arial" w:eastAsia="Arial" w:hAnsi="Arial"/>
          <w:sz w:val="18"/>
          <w:szCs w:val="18"/>
          <w:color w:val="auto"/>
        </w:rPr>
        <w:t xml:space="preserve"> in this Annual Report on Form 20-F.</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0960"/>
          </w:cols>
          <w:pgMar w:left="440" w:top="270" w:right="499" w:bottom="1440" w:gutter="0" w:footer="0" w:header="0"/>
        </w:sectPr>
      </w:pPr>
    </w:p>
    <w:bookmarkStart w:id="15" w:name="page16"/>
    <w:bookmarkEnd w:id="15"/>
    <w:p>
      <w:pPr>
        <w:ind w:left="522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174865" cy="38735"/>
                    </a:xfrm>
                    <a:prstGeom prst="rect">
                      <a:avLst/>
                    </a:prstGeom>
                    <a:noFill/>
                  </pic:spPr>
                </pic:pic>
              </a:graphicData>
            </a:graphic>
          </wp:anchor>
        </w:drawing>
        <w:t>PART I</w:t>
      </w:r>
    </w:p>
    <w:p>
      <w:pPr>
        <w:spacing w:after="0" w:line="252" w:lineRule="exact"/>
        <w:rPr>
          <w:sz w:val="20"/>
          <w:szCs w:val="20"/>
          <w:color w:val="auto"/>
        </w:rPr>
      </w:pPr>
    </w:p>
    <w:p>
      <w:pPr>
        <w:spacing w:after="0"/>
        <w:tabs>
          <w:tab w:leader="none" w:pos="1060" w:val="left"/>
        </w:tabs>
        <w:rPr>
          <w:sz w:val="20"/>
          <w:szCs w:val="20"/>
          <w:color w:val="auto"/>
        </w:rPr>
      </w:pPr>
      <w:r>
        <w:rPr>
          <w:rFonts w:ascii="Arial" w:cs="Arial" w:eastAsia="Arial" w:hAnsi="Arial"/>
          <w:sz w:val="18"/>
          <w:szCs w:val="18"/>
          <w:b w:val="1"/>
          <w:bCs w:val="1"/>
          <w:color w:val="auto"/>
        </w:rPr>
        <w:t>ITEM 1.</w:t>
      </w:r>
      <w:r>
        <w:rPr>
          <w:sz w:val="20"/>
          <w:szCs w:val="20"/>
          <w:color w:val="auto"/>
        </w:rPr>
        <w:tab/>
      </w:r>
      <w:r>
        <w:rPr>
          <w:rFonts w:ascii="Arial" w:cs="Arial" w:eastAsia="Arial" w:hAnsi="Arial"/>
          <w:sz w:val="18"/>
          <w:szCs w:val="18"/>
          <w:b w:val="1"/>
          <w:bCs w:val="1"/>
          <w:color w:val="auto"/>
        </w:rPr>
        <w:t>IDENTITY OF DIRECTORS, SENIOR MANAGEMENT AND ADVISERS</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Not applicable.</w:t>
      </w:r>
    </w:p>
    <w:p>
      <w:pPr>
        <w:spacing w:after="0" w:line="370" w:lineRule="exact"/>
        <w:rPr>
          <w:sz w:val="20"/>
          <w:szCs w:val="20"/>
          <w:color w:val="auto"/>
        </w:rPr>
      </w:pPr>
    </w:p>
    <w:p>
      <w:pPr>
        <w:spacing w:after="0"/>
        <w:tabs>
          <w:tab w:leader="none" w:pos="1060" w:val="left"/>
        </w:tabs>
        <w:rPr>
          <w:sz w:val="20"/>
          <w:szCs w:val="20"/>
          <w:color w:val="auto"/>
        </w:rPr>
      </w:pPr>
      <w:r>
        <w:rPr>
          <w:rFonts w:ascii="Arial" w:cs="Arial" w:eastAsia="Arial" w:hAnsi="Arial"/>
          <w:sz w:val="18"/>
          <w:szCs w:val="18"/>
          <w:b w:val="1"/>
          <w:bCs w:val="1"/>
          <w:color w:val="auto"/>
        </w:rPr>
        <w:t>ITEM 2.</w:t>
      </w:r>
      <w:r>
        <w:rPr>
          <w:sz w:val="20"/>
          <w:szCs w:val="20"/>
          <w:color w:val="auto"/>
        </w:rPr>
        <w:tab/>
      </w:r>
      <w:r>
        <w:rPr>
          <w:rFonts w:ascii="Arial" w:cs="Arial" w:eastAsia="Arial" w:hAnsi="Arial"/>
          <w:sz w:val="18"/>
          <w:szCs w:val="18"/>
          <w:b w:val="1"/>
          <w:bCs w:val="1"/>
          <w:color w:val="auto"/>
        </w:rPr>
        <w:t>OFFER STATISTICS AND EXPECTED TIMETABLE</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Not applicable.</w:t>
      </w:r>
    </w:p>
    <w:p>
      <w:pPr>
        <w:spacing w:after="0" w:line="158" w:lineRule="exact"/>
        <w:rPr>
          <w:sz w:val="20"/>
          <w:szCs w:val="20"/>
          <w:color w:val="auto"/>
        </w:rPr>
      </w:pPr>
    </w:p>
    <w:p>
      <w:pPr>
        <w:ind w:left="5460"/>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0019"/>
          </w:cols>
          <w:pgMar w:left="440" w:top="270" w:right="1440" w:bottom="1440" w:gutter="0" w:footer="0" w:header="0"/>
        </w:sectPr>
      </w:pPr>
    </w:p>
    <w:bookmarkStart w:id="16" w:name="page17"/>
    <w:bookmarkEnd w:id="16"/>
    <w:p>
      <w:pPr>
        <w:ind w:left="4"/>
        <w:spacing w:after="0"/>
        <w:tabs>
          <w:tab w:leader="none" w:pos="1064" w:val="left"/>
        </w:tabs>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174865" cy="38735"/>
                    </a:xfrm>
                    <a:prstGeom prst="rect">
                      <a:avLst/>
                    </a:prstGeom>
                    <a:noFill/>
                  </pic:spPr>
                </pic:pic>
              </a:graphicData>
            </a:graphic>
          </wp:anchor>
        </w:drawing>
        <w:t>ITEM 3.</w:t>
      </w:r>
      <w:r>
        <w:rPr>
          <w:sz w:val="20"/>
          <w:szCs w:val="20"/>
          <w:color w:val="auto"/>
        </w:rPr>
        <w:tab/>
      </w:r>
      <w:r>
        <w:rPr>
          <w:rFonts w:ascii="Arial" w:cs="Arial" w:eastAsia="Arial" w:hAnsi="Arial"/>
          <w:sz w:val="18"/>
          <w:szCs w:val="18"/>
          <w:b w:val="1"/>
          <w:bCs w:val="1"/>
          <w:color w:val="auto"/>
        </w:rPr>
        <w:t>KEY INFORMATION</w:t>
      </w:r>
    </w:p>
    <w:p>
      <w:pPr>
        <w:spacing w:after="0" w:line="131" w:lineRule="exact"/>
        <w:rPr>
          <w:sz w:val="20"/>
          <w:szCs w:val="20"/>
          <w:color w:val="auto"/>
        </w:rPr>
      </w:pPr>
    </w:p>
    <w:p>
      <w:pPr>
        <w:ind w:left="424" w:hanging="424"/>
        <w:spacing w:after="0"/>
        <w:tabs>
          <w:tab w:leader="none" w:pos="424" w:val="left"/>
        </w:tabs>
        <w:numPr>
          <w:ilvl w:val="0"/>
          <w:numId w:val="7"/>
        </w:numPr>
        <w:rPr>
          <w:rFonts w:ascii="Arial" w:cs="Arial" w:eastAsia="Arial" w:hAnsi="Arial"/>
          <w:sz w:val="18"/>
          <w:szCs w:val="18"/>
          <w:b w:val="1"/>
          <w:bCs w:val="1"/>
          <w:color w:val="auto"/>
        </w:rPr>
      </w:pPr>
      <w:r>
        <w:rPr>
          <w:rFonts w:ascii="Arial" w:cs="Arial" w:eastAsia="Arial" w:hAnsi="Arial"/>
          <w:sz w:val="18"/>
          <w:szCs w:val="18"/>
          <w:b w:val="1"/>
          <w:bCs w:val="1"/>
          <w:color w:val="auto"/>
        </w:rPr>
        <w:t>Selected Financial Data</w:t>
      </w:r>
    </w:p>
    <w:p>
      <w:pPr>
        <w:spacing w:after="0" w:line="121" w:lineRule="exact"/>
        <w:rPr>
          <w:sz w:val="20"/>
          <w:szCs w:val="20"/>
          <w:color w:val="auto"/>
        </w:rPr>
      </w:pPr>
    </w:p>
    <w:p>
      <w:pPr>
        <w:ind w:left="4" w:right="40" w:firstLine="440"/>
        <w:spacing w:after="0" w:line="270" w:lineRule="auto"/>
        <w:rPr>
          <w:sz w:val="20"/>
          <w:szCs w:val="20"/>
          <w:color w:val="auto"/>
        </w:rPr>
      </w:pPr>
      <w:r>
        <w:rPr>
          <w:rFonts w:ascii="Arial" w:cs="Arial" w:eastAsia="Arial" w:hAnsi="Arial"/>
          <w:sz w:val="17"/>
          <w:szCs w:val="17"/>
          <w:color w:val="auto"/>
        </w:rPr>
        <w:t xml:space="preserve">The selected financial data presented below under the heading “Statement of Income Data” for the years ended December 31, 2020, 2019 and 2018 and under the heading “Balance Sheet Data” as of December 31, 2020 and 2019 have been derived from our audited consolidated financial statements included in Item 18, </w:t>
      </w:r>
      <w:r>
        <w:rPr>
          <w:rFonts w:ascii="Arial" w:cs="Arial" w:eastAsia="Arial" w:hAnsi="Arial"/>
          <w:sz w:val="17"/>
          <w:szCs w:val="17"/>
          <w:i w:val="1"/>
          <w:iCs w:val="1"/>
          <w:color w:val="auto"/>
        </w:rPr>
        <w:t>“Financial Statements”</w:t>
      </w:r>
      <w:r>
        <w:rPr>
          <w:rFonts w:ascii="Arial" w:cs="Arial" w:eastAsia="Arial" w:hAnsi="Arial"/>
          <w:sz w:val="17"/>
          <w:szCs w:val="17"/>
          <w:color w:val="auto"/>
        </w:rPr>
        <w:t xml:space="preserve"> in this Annual Report on Form 20-F. The selected financial data presented below under the heading “Statement of Income Data” for the years ended December 31, 2017 and 2016 and under the heading “Balance Sheet Data” as of December 31, 2018, 2017 and 2016 are audited and have been derived from our audited consolidated financial statements not included in this Annual Report on Form 20-F. The data presented below under the heading “Other Financial and Operating Data” have not been audited. Historical results are not necessarily indicative of the results of operations to be expected in future periods. You should read the selected consolidated financial data and operating data presented below in conjunction with Item 5, </w:t>
      </w:r>
      <w:r>
        <w:rPr>
          <w:rFonts w:ascii="Arial" w:cs="Arial" w:eastAsia="Arial" w:hAnsi="Arial"/>
          <w:sz w:val="17"/>
          <w:szCs w:val="17"/>
          <w:i w:val="1"/>
          <w:iCs w:val="1"/>
          <w:color w:val="auto"/>
        </w:rPr>
        <w:t>“Operating and Financial Review and Prospects”</w:t>
      </w:r>
      <w:r>
        <w:rPr>
          <w:rFonts w:ascii="Arial" w:cs="Arial" w:eastAsia="Arial" w:hAnsi="Arial"/>
          <w:sz w:val="17"/>
          <w:szCs w:val="17"/>
          <w:color w:val="auto"/>
        </w:rPr>
        <w:t xml:space="preserve"> and with Item 18, </w:t>
      </w:r>
      <w:r>
        <w:rPr>
          <w:rFonts w:ascii="Arial" w:cs="Arial" w:eastAsia="Arial" w:hAnsi="Arial"/>
          <w:sz w:val="17"/>
          <w:szCs w:val="17"/>
          <w:i w:val="1"/>
          <w:iCs w:val="1"/>
          <w:color w:val="auto"/>
        </w:rPr>
        <w:t>“Financial Statements”</w:t>
      </w:r>
      <w:r>
        <w:rPr>
          <w:rFonts w:ascii="Arial" w:cs="Arial" w:eastAsia="Arial" w:hAnsi="Arial"/>
          <w:sz w:val="17"/>
          <w:szCs w:val="17"/>
          <w:color w:val="auto"/>
        </w:rPr>
        <w:t xml:space="preserve"> in this Annual Report on Form 20-F.</w:t>
      </w:r>
    </w:p>
    <w:p>
      <w:pPr>
        <w:spacing w:after="0" w:line="187" w:lineRule="exact"/>
        <w:rPr>
          <w:sz w:val="20"/>
          <w:szCs w:val="20"/>
          <w:color w:val="auto"/>
        </w:rPr>
      </w:pPr>
    </w:p>
    <w:tbl>
      <w:tblPr>
        <w:tblLayout w:type="fixed"/>
        <w:tblInd w:w="4" w:type="dxa"/>
        <w:tblCellMar>
          <w:top w:w="0" w:type="dxa"/>
          <w:left w:w="0" w:type="dxa"/>
          <w:bottom w:w="0" w:type="dxa"/>
          <w:right w:w="0" w:type="dxa"/>
        </w:tblCellMar>
      </w:tblPr>
      <w:tr>
        <w:trPr>
          <w:trHeight w:val="161"/>
        </w:trPr>
        <w:tc>
          <w:tcPr>
            <w:tcW w:w="5020" w:type="dxa"/>
            <w:vAlign w:val="bottom"/>
          </w:tcPr>
          <w:p>
            <w:pPr>
              <w:spacing w:after="0"/>
              <w:rPr>
                <w:sz w:val="14"/>
                <w:szCs w:val="14"/>
                <w:color w:val="auto"/>
              </w:rPr>
            </w:pPr>
          </w:p>
        </w:tc>
        <w:tc>
          <w:tcPr>
            <w:tcW w:w="1920" w:type="dxa"/>
            <w:vAlign w:val="bottom"/>
            <w:gridSpan w:val="2"/>
            <w:vMerge w:val="restart"/>
          </w:tcPr>
          <w:p>
            <w:pPr>
              <w:jc w:val="right"/>
              <w:ind w:right="110"/>
              <w:spacing w:after="0"/>
              <w:rPr>
                <w:sz w:val="20"/>
                <w:szCs w:val="20"/>
                <w:color w:val="auto"/>
              </w:rPr>
            </w:pPr>
            <w:r>
              <w:rPr>
                <w:rFonts w:ascii="Arial" w:cs="Arial" w:eastAsia="Arial" w:hAnsi="Arial"/>
                <w:sz w:val="14"/>
                <w:szCs w:val="14"/>
                <w:b w:val="1"/>
                <w:bCs w:val="1"/>
                <w:color w:val="auto"/>
              </w:rPr>
              <w:t>2020</w:t>
            </w:r>
          </w:p>
        </w:tc>
        <w:tc>
          <w:tcPr>
            <w:tcW w:w="220" w:type="dxa"/>
            <w:vAlign w:val="bottom"/>
          </w:tcPr>
          <w:p>
            <w:pPr>
              <w:spacing w:after="0"/>
              <w:rPr>
                <w:sz w:val="14"/>
                <w:szCs w:val="14"/>
                <w:color w:val="auto"/>
              </w:rPr>
            </w:pPr>
          </w:p>
        </w:tc>
        <w:tc>
          <w:tcPr>
            <w:tcW w:w="2980" w:type="dxa"/>
            <w:vAlign w:val="bottom"/>
            <w:gridSpan w:val="7"/>
          </w:tcPr>
          <w:p>
            <w:pPr>
              <w:jc w:val="center"/>
              <w:ind w:right="140"/>
              <w:spacing w:after="0"/>
              <w:rPr>
                <w:sz w:val="20"/>
                <w:szCs w:val="20"/>
                <w:color w:val="auto"/>
              </w:rPr>
            </w:pPr>
            <w:r>
              <w:rPr>
                <w:rFonts w:ascii="Arial" w:cs="Arial" w:eastAsia="Arial" w:hAnsi="Arial"/>
                <w:sz w:val="14"/>
                <w:szCs w:val="14"/>
                <w:b w:val="1"/>
                <w:bCs w:val="1"/>
                <w:color w:val="auto"/>
                <w:w w:val="91"/>
              </w:rPr>
              <w:t>Fiscal Years Ended December 31,</w:t>
            </w:r>
          </w:p>
        </w:tc>
        <w:tc>
          <w:tcPr>
            <w:tcW w:w="760" w:type="dxa"/>
            <w:vAlign w:val="bottom"/>
            <w:gridSpan w:val="2"/>
            <w:vMerge w:val="restart"/>
          </w:tcPr>
          <w:p>
            <w:pPr>
              <w:jc w:val="right"/>
              <w:ind w:right="110"/>
              <w:spacing w:after="0"/>
              <w:rPr>
                <w:sz w:val="20"/>
                <w:szCs w:val="20"/>
                <w:color w:val="auto"/>
              </w:rPr>
            </w:pPr>
            <w:r>
              <w:rPr>
                <w:rFonts w:ascii="Arial" w:cs="Arial" w:eastAsia="Arial" w:hAnsi="Arial"/>
                <w:sz w:val="14"/>
                <w:szCs w:val="14"/>
                <w:b w:val="1"/>
                <w:bCs w:val="1"/>
                <w:color w:val="auto"/>
              </w:rPr>
              <w:t>2016</w:t>
            </w: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5020" w:type="dxa"/>
            <w:vAlign w:val="bottom"/>
          </w:tcPr>
          <w:p>
            <w:pPr>
              <w:spacing w:after="0"/>
              <w:rPr>
                <w:sz w:val="14"/>
                <w:szCs w:val="14"/>
                <w:color w:val="auto"/>
              </w:rPr>
            </w:pPr>
          </w:p>
        </w:tc>
        <w:tc>
          <w:tcPr>
            <w:tcW w:w="1920" w:type="dxa"/>
            <w:vAlign w:val="bottom"/>
            <w:gridSpan w:val="2"/>
            <w:vMerge w:val="continue"/>
          </w:tcPr>
          <w:p>
            <w:pPr>
              <w:spacing w:after="0"/>
              <w:rPr>
                <w:sz w:val="14"/>
                <w:szCs w:val="14"/>
                <w:color w:val="auto"/>
              </w:rPr>
            </w:pPr>
          </w:p>
        </w:tc>
        <w:tc>
          <w:tcPr>
            <w:tcW w:w="220" w:type="dxa"/>
            <w:vAlign w:val="bottom"/>
          </w:tcPr>
          <w:p>
            <w:pPr>
              <w:spacing w:after="0"/>
              <w:rPr>
                <w:sz w:val="14"/>
                <w:szCs w:val="14"/>
                <w:color w:val="auto"/>
              </w:rPr>
            </w:pPr>
          </w:p>
        </w:tc>
        <w:tc>
          <w:tcPr>
            <w:tcW w:w="780" w:type="dxa"/>
            <w:vAlign w:val="bottom"/>
          </w:tcPr>
          <w:p>
            <w:pPr>
              <w:jc w:val="right"/>
              <w:ind w:right="172"/>
              <w:spacing w:after="0"/>
              <w:rPr>
                <w:sz w:val="20"/>
                <w:szCs w:val="20"/>
                <w:color w:val="auto"/>
              </w:rPr>
            </w:pPr>
            <w:r>
              <w:rPr>
                <w:rFonts w:ascii="Arial" w:cs="Arial" w:eastAsia="Arial" w:hAnsi="Arial"/>
                <w:sz w:val="14"/>
                <w:szCs w:val="14"/>
                <w:b w:val="1"/>
                <w:bCs w:val="1"/>
                <w:color w:val="auto"/>
              </w:rPr>
              <w:t>2019</w:t>
            </w:r>
          </w:p>
        </w:tc>
        <w:tc>
          <w:tcPr>
            <w:tcW w:w="140" w:type="dxa"/>
            <w:vAlign w:val="bottom"/>
          </w:tcPr>
          <w:p>
            <w:pPr>
              <w:spacing w:after="0"/>
              <w:rPr>
                <w:sz w:val="14"/>
                <w:szCs w:val="14"/>
                <w:color w:val="auto"/>
              </w:rPr>
            </w:pPr>
          </w:p>
        </w:tc>
        <w:tc>
          <w:tcPr>
            <w:tcW w:w="860" w:type="dxa"/>
            <w:vAlign w:val="bottom"/>
            <w:gridSpan w:val="2"/>
          </w:tcPr>
          <w:p>
            <w:pPr>
              <w:jc w:val="center"/>
              <w:ind w:left="12"/>
              <w:spacing w:after="0"/>
              <w:rPr>
                <w:sz w:val="20"/>
                <w:szCs w:val="20"/>
                <w:color w:val="auto"/>
              </w:rPr>
            </w:pPr>
            <w:r>
              <w:rPr>
                <w:rFonts w:ascii="Arial" w:cs="Arial" w:eastAsia="Arial" w:hAnsi="Arial"/>
                <w:sz w:val="14"/>
                <w:szCs w:val="14"/>
                <w:b w:val="1"/>
                <w:bCs w:val="1"/>
                <w:color w:val="auto"/>
                <w:w w:val="89"/>
              </w:rPr>
              <w:t>2018</w:t>
            </w:r>
          </w:p>
        </w:tc>
        <w:tc>
          <w:tcPr>
            <w:tcW w:w="240" w:type="dxa"/>
            <w:vAlign w:val="bottom"/>
          </w:tcPr>
          <w:p>
            <w:pPr>
              <w:spacing w:after="0"/>
              <w:rPr>
                <w:sz w:val="14"/>
                <w:szCs w:val="14"/>
                <w:color w:val="auto"/>
              </w:rPr>
            </w:pPr>
          </w:p>
        </w:tc>
        <w:tc>
          <w:tcPr>
            <w:tcW w:w="820" w:type="dxa"/>
            <w:vAlign w:val="bottom"/>
          </w:tcPr>
          <w:p>
            <w:pPr>
              <w:jc w:val="right"/>
              <w:ind w:right="171"/>
              <w:spacing w:after="0"/>
              <w:rPr>
                <w:sz w:val="20"/>
                <w:szCs w:val="20"/>
                <w:color w:val="auto"/>
              </w:rPr>
            </w:pPr>
            <w:r>
              <w:rPr>
                <w:rFonts w:ascii="Arial" w:cs="Arial" w:eastAsia="Arial" w:hAnsi="Arial"/>
                <w:sz w:val="14"/>
                <w:szCs w:val="14"/>
                <w:b w:val="1"/>
                <w:bCs w:val="1"/>
                <w:color w:val="auto"/>
              </w:rPr>
              <w:t>2017</w:t>
            </w:r>
          </w:p>
        </w:tc>
        <w:tc>
          <w:tcPr>
            <w:tcW w:w="140" w:type="dxa"/>
            <w:vAlign w:val="bottom"/>
          </w:tcPr>
          <w:p>
            <w:pPr>
              <w:spacing w:after="0"/>
              <w:rPr>
                <w:sz w:val="14"/>
                <w:szCs w:val="14"/>
                <w:color w:val="auto"/>
              </w:rPr>
            </w:pPr>
          </w:p>
        </w:tc>
        <w:tc>
          <w:tcPr>
            <w:tcW w:w="760" w:type="dxa"/>
            <w:vAlign w:val="bottom"/>
            <w:gridSpan w:val="2"/>
            <w:vMerge w:val="continue"/>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5020" w:type="dxa"/>
            <w:vAlign w:val="bottom"/>
          </w:tcPr>
          <w:p>
            <w:pPr>
              <w:spacing w:after="0"/>
              <w:rPr>
                <w:sz w:val="12"/>
                <w:szCs w:val="12"/>
                <w:color w:val="auto"/>
              </w:rPr>
            </w:pPr>
          </w:p>
        </w:tc>
        <w:tc>
          <w:tcPr>
            <w:tcW w:w="1220" w:type="dxa"/>
            <w:vAlign w:val="bottom"/>
          </w:tcPr>
          <w:p>
            <w:pPr>
              <w:spacing w:after="0"/>
              <w:rPr>
                <w:sz w:val="12"/>
                <w:szCs w:val="12"/>
                <w:color w:val="auto"/>
              </w:rPr>
            </w:pPr>
          </w:p>
        </w:tc>
        <w:tc>
          <w:tcPr>
            <w:tcW w:w="700" w:type="dxa"/>
            <w:vAlign w:val="bottom"/>
            <w:tcBorders>
              <w:top w:val="single" w:sz="8" w:color="auto"/>
            </w:tcBorders>
          </w:tcPr>
          <w:p>
            <w:pPr>
              <w:spacing w:after="0"/>
              <w:rPr>
                <w:sz w:val="12"/>
                <w:szCs w:val="12"/>
                <w:color w:val="auto"/>
              </w:rPr>
            </w:pPr>
          </w:p>
        </w:tc>
        <w:tc>
          <w:tcPr>
            <w:tcW w:w="220" w:type="dxa"/>
            <w:vAlign w:val="bottom"/>
          </w:tcPr>
          <w:p>
            <w:pPr>
              <w:spacing w:after="0"/>
              <w:rPr>
                <w:sz w:val="12"/>
                <w:szCs w:val="12"/>
                <w:color w:val="auto"/>
              </w:rPr>
            </w:pPr>
          </w:p>
        </w:tc>
        <w:tc>
          <w:tcPr>
            <w:tcW w:w="2840" w:type="dxa"/>
            <w:vAlign w:val="bottom"/>
            <w:tcBorders>
              <w:top w:val="single" w:sz="8" w:color="auto"/>
            </w:tcBorders>
            <w:gridSpan w:val="6"/>
          </w:tcPr>
          <w:p>
            <w:pPr>
              <w:jc w:val="center"/>
              <w:spacing w:after="0" w:line="142" w:lineRule="exact"/>
              <w:rPr>
                <w:sz w:val="20"/>
                <w:szCs w:val="20"/>
                <w:color w:val="auto"/>
              </w:rPr>
            </w:pPr>
            <w:r>
              <w:rPr>
                <w:rFonts w:ascii="Arial" w:cs="Arial" w:eastAsia="Arial" w:hAnsi="Arial"/>
                <w:sz w:val="14"/>
                <w:szCs w:val="14"/>
                <w:b w:val="1"/>
                <w:bCs w:val="1"/>
                <w:color w:val="auto"/>
                <w:w w:val="91"/>
              </w:rPr>
              <w:t>(Dollars in thousands, except per share data)</w:t>
            </w: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80" w:type="dxa"/>
            <w:vAlign w:val="bottom"/>
            <w:tcBorders>
              <w:top w:val="single" w:sz="8" w:color="auto"/>
            </w:tcBorders>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50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Statement of Income Data:</w:t>
            </w:r>
          </w:p>
        </w:tc>
        <w:tc>
          <w:tcPr>
            <w:tcW w:w="122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020" w:type="dxa"/>
            <w:vAlign w:val="bottom"/>
          </w:tcPr>
          <w:p>
            <w:pPr>
              <w:spacing w:after="0"/>
              <w:rPr>
                <w:sz w:val="20"/>
                <w:szCs w:val="20"/>
                <w:color w:val="auto"/>
              </w:rPr>
            </w:pPr>
            <w:r>
              <w:rPr>
                <w:rFonts w:ascii="Arial" w:cs="Arial" w:eastAsia="Arial" w:hAnsi="Arial"/>
                <w:sz w:val="18"/>
                <w:szCs w:val="18"/>
                <w:color w:val="auto"/>
              </w:rPr>
              <w:t>Revenues:</w:t>
            </w:r>
          </w:p>
        </w:tc>
        <w:tc>
          <w:tcPr>
            <w:tcW w:w="122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0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Lease rental income - owned fleet</w:t>
            </w:r>
          </w:p>
        </w:tc>
        <w:tc>
          <w:tcPr>
            <w:tcW w:w="214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$538,425</w:t>
            </w:r>
          </w:p>
        </w:tc>
        <w:tc>
          <w:tcPr>
            <w:tcW w:w="9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w w:val="94"/>
              </w:rPr>
              <w:t>$ 517,859</w:t>
            </w:r>
          </w:p>
        </w:tc>
        <w:tc>
          <w:tcPr>
            <w:tcW w:w="1100" w:type="dxa"/>
            <w:vAlign w:val="bottom"/>
            <w:gridSpan w:val="3"/>
            <w:shd w:val="clear" w:color="auto" w:fill="CCEEFF"/>
          </w:tcPr>
          <w:p>
            <w:pPr>
              <w:jc w:val="right"/>
              <w:ind w:right="240"/>
              <w:spacing w:after="0"/>
              <w:rPr>
                <w:sz w:val="20"/>
                <w:szCs w:val="20"/>
                <w:color w:val="auto"/>
              </w:rPr>
            </w:pPr>
            <w:r>
              <w:rPr>
                <w:rFonts w:ascii="Arial" w:cs="Arial" w:eastAsia="Arial" w:hAnsi="Arial"/>
                <w:sz w:val="18"/>
                <w:szCs w:val="18"/>
                <w:color w:val="auto"/>
              </w:rPr>
              <w:t>$ 501,362</w:t>
            </w:r>
          </w:p>
        </w:tc>
        <w:tc>
          <w:tcPr>
            <w:tcW w:w="9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w w:val="93"/>
              </w:rPr>
              <w:t>$  444,888</w:t>
            </w:r>
          </w:p>
        </w:tc>
        <w:tc>
          <w:tcPr>
            <w:tcW w:w="8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w w:val="98"/>
              </w:rPr>
              <w:t>$460,427</w:t>
            </w:r>
          </w:p>
        </w:tc>
        <w:tc>
          <w:tcPr>
            <w:tcW w:w="0" w:type="dxa"/>
            <w:vAlign w:val="bottom"/>
          </w:tcPr>
          <w:p>
            <w:pPr>
              <w:spacing w:after="0"/>
              <w:rPr>
                <w:sz w:val="1"/>
                <w:szCs w:val="1"/>
                <w:color w:val="auto"/>
              </w:rPr>
            </w:pPr>
          </w:p>
        </w:tc>
      </w:tr>
      <w:tr>
        <w:trPr>
          <w:trHeight w:val="216"/>
        </w:trPr>
        <w:tc>
          <w:tcPr>
            <w:tcW w:w="5020" w:type="dxa"/>
            <w:vAlign w:val="bottom"/>
          </w:tcPr>
          <w:p>
            <w:pPr>
              <w:ind w:left="360"/>
              <w:spacing w:after="0"/>
              <w:rPr>
                <w:sz w:val="20"/>
                <w:szCs w:val="20"/>
                <w:color w:val="auto"/>
              </w:rPr>
            </w:pPr>
            <w:r>
              <w:rPr>
                <w:rFonts w:ascii="Arial" w:cs="Arial" w:eastAsia="Arial" w:hAnsi="Arial"/>
                <w:sz w:val="18"/>
                <w:szCs w:val="18"/>
                <w:color w:val="auto"/>
              </w:rPr>
              <w:t>Lease rental income - managed fleet</w:t>
            </w:r>
          </w:p>
        </w:tc>
        <w:tc>
          <w:tcPr>
            <w:tcW w:w="122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62,448</w:t>
            </w:r>
          </w:p>
        </w:tc>
        <w:tc>
          <w:tcPr>
            <w:tcW w:w="220" w:type="dxa"/>
            <w:vAlign w:val="bottom"/>
          </w:tcPr>
          <w:p>
            <w:pPr>
              <w:spacing w:after="0"/>
              <w:rPr>
                <w:sz w:val="18"/>
                <w:szCs w:val="18"/>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101,901</w:t>
            </w: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20" w:type="dxa"/>
            <w:vAlign w:val="bottom"/>
            <w:gridSpan w:val="2"/>
          </w:tcPr>
          <w:p>
            <w:pPr>
              <w:jc w:val="right"/>
              <w:ind w:right="240"/>
              <w:spacing w:after="0"/>
              <w:rPr>
                <w:sz w:val="20"/>
                <w:szCs w:val="20"/>
                <w:color w:val="auto"/>
              </w:rPr>
            </w:pPr>
            <w:r>
              <w:rPr>
                <w:rFonts w:ascii="Arial" w:cs="Arial" w:eastAsia="Arial" w:hAnsi="Arial"/>
                <w:sz w:val="18"/>
                <w:szCs w:val="18"/>
                <w:color w:val="auto"/>
              </w:rPr>
              <w:t>111,342</w:t>
            </w:r>
          </w:p>
        </w:tc>
        <w:tc>
          <w:tcPr>
            <w:tcW w:w="960" w:type="dxa"/>
            <w:vAlign w:val="bottom"/>
            <w:gridSpan w:val="2"/>
          </w:tcPr>
          <w:p>
            <w:pPr>
              <w:jc w:val="right"/>
              <w:ind w:right="140"/>
              <w:spacing w:after="0"/>
              <w:rPr>
                <w:sz w:val="20"/>
                <w:szCs w:val="20"/>
                <w:color w:val="auto"/>
              </w:rPr>
            </w:pPr>
            <w:r>
              <w:rPr>
                <w:rFonts w:ascii="Arial" w:cs="Arial" w:eastAsia="Arial" w:hAnsi="Arial"/>
                <w:sz w:val="18"/>
                <w:szCs w:val="18"/>
                <w:color w:val="auto"/>
              </w:rPr>
              <w:t>104,566</w:t>
            </w:r>
          </w:p>
        </w:tc>
        <w:tc>
          <w:tcPr>
            <w:tcW w:w="880" w:type="dxa"/>
            <w:vAlign w:val="bottom"/>
            <w:gridSpan w:val="3"/>
          </w:tcPr>
          <w:p>
            <w:pPr>
              <w:jc w:val="right"/>
              <w:ind w:right="120"/>
              <w:spacing w:after="0"/>
              <w:rPr>
                <w:sz w:val="20"/>
                <w:szCs w:val="20"/>
                <w:color w:val="auto"/>
              </w:rPr>
            </w:pPr>
            <w:r>
              <w:rPr>
                <w:rFonts w:ascii="Arial" w:cs="Arial" w:eastAsia="Arial" w:hAnsi="Arial"/>
                <w:sz w:val="18"/>
                <w:szCs w:val="18"/>
                <w:color w:val="auto"/>
              </w:rPr>
              <w:t>105,511</w:t>
            </w:r>
          </w:p>
        </w:tc>
        <w:tc>
          <w:tcPr>
            <w:tcW w:w="0" w:type="dxa"/>
            <w:vAlign w:val="bottom"/>
          </w:tcPr>
          <w:p>
            <w:pPr>
              <w:spacing w:after="0"/>
              <w:rPr>
                <w:sz w:val="1"/>
                <w:szCs w:val="1"/>
                <w:color w:val="auto"/>
              </w:rPr>
            </w:pPr>
          </w:p>
        </w:tc>
      </w:tr>
      <w:tr>
        <w:trPr>
          <w:trHeight w:val="27"/>
        </w:trPr>
        <w:tc>
          <w:tcPr>
            <w:tcW w:w="5020" w:type="dxa"/>
            <w:vAlign w:val="bottom"/>
          </w:tcPr>
          <w:p>
            <w:pPr>
              <w:spacing w:after="0"/>
              <w:rPr>
                <w:sz w:val="2"/>
                <w:szCs w:val="2"/>
                <w:color w:val="auto"/>
              </w:rPr>
            </w:pPr>
          </w:p>
        </w:tc>
        <w:tc>
          <w:tcPr>
            <w:tcW w:w="1220" w:type="dxa"/>
            <w:vAlign w:val="bottom"/>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78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78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82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5020" w:type="dxa"/>
            <w:vAlign w:val="bottom"/>
            <w:shd w:val="clear" w:color="auto" w:fill="CCEEFF"/>
          </w:tcPr>
          <w:p>
            <w:pPr>
              <w:ind w:left="720"/>
              <w:spacing w:after="0"/>
              <w:rPr>
                <w:sz w:val="20"/>
                <w:szCs w:val="20"/>
                <w:color w:val="auto"/>
              </w:rPr>
            </w:pPr>
            <w:r>
              <w:rPr>
                <w:rFonts w:ascii="Arial" w:cs="Arial" w:eastAsia="Arial" w:hAnsi="Arial"/>
                <w:sz w:val="18"/>
                <w:szCs w:val="18"/>
                <w:color w:val="auto"/>
              </w:rPr>
              <w:t>Lease rental income</w:t>
            </w:r>
          </w:p>
        </w:tc>
        <w:tc>
          <w:tcPr>
            <w:tcW w:w="122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600,873</w:t>
            </w:r>
          </w:p>
        </w:tc>
        <w:tc>
          <w:tcPr>
            <w:tcW w:w="22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619,760</w:t>
            </w: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612,704</w:t>
            </w:r>
          </w:p>
        </w:tc>
        <w:tc>
          <w:tcPr>
            <w:tcW w:w="9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549,454</w:t>
            </w:r>
          </w:p>
        </w:tc>
        <w:tc>
          <w:tcPr>
            <w:tcW w:w="8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565,938</w:t>
            </w:r>
          </w:p>
        </w:tc>
        <w:tc>
          <w:tcPr>
            <w:tcW w:w="0" w:type="dxa"/>
            <w:vAlign w:val="bottom"/>
          </w:tcPr>
          <w:p>
            <w:pPr>
              <w:spacing w:after="0"/>
              <w:rPr>
                <w:sz w:val="1"/>
                <w:szCs w:val="1"/>
                <w:color w:val="auto"/>
              </w:rPr>
            </w:pPr>
          </w:p>
        </w:tc>
      </w:tr>
      <w:tr>
        <w:trPr>
          <w:trHeight w:val="224"/>
        </w:trPr>
        <w:tc>
          <w:tcPr>
            <w:tcW w:w="5020" w:type="dxa"/>
            <w:vAlign w:val="bottom"/>
          </w:tcPr>
          <w:p>
            <w:pPr>
              <w:ind w:left="360"/>
              <w:spacing w:after="0"/>
              <w:rPr>
                <w:sz w:val="20"/>
                <w:szCs w:val="20"/>
                <w:color w:val="auto"/>
              </w:rPr>
            </w:pPr>
            <w:r>
              <w:rPr>
                <w:rFonts w:ascii="Arial" w:cs="Arial" w:eastAsia="Arial" w:hAnsi="Arial"/>
                <w:sz w:val="18"/>
                <w:szCs w:val="18"/>
                <w:color w:val="auto"/>
              </w:rPr>
              <w:t>Management fees - non-leasing</w:t>
            </w:r>
          </w:p>
        </w:tc>
        <w:tc>
          <w:tcPr>
            <w:tcW w:w="1220" w:type="dxa"/>
            <w:vAlign w:val="bottom"/>
          </w:tcPr>
          <w:p>
            <w:pPr>
              <w:spacing w:after="0"/>
              <w:rPr>
                <w:sz w:val="19"/>
                <w:szCs w:val="19"/>
                <w:color w:val="auto"/>
              </w:rPr>
            </w:pPr>
          </w:p>
        </w:tc>
        <w:tc>
          <w:tcPr>
            <w:tcW w:w="7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5,271</w:t>
            </w:r>
          </w:p>
        </w:tc>
        <w:tc>
          <w:tcPr>
            <w:tcW w:w="220" w:type="dxa"/>
            <w:vAlign w:val="bottom"/>
          </w:tcPr>
          <w:p>
            <w:pPr>
              <w:spacing w:after="0"/>
              <w:rPr>
                <w:sz w:val="19"/>
                <w:szCs w:val="19"/>
                <w:color w:val="auto"/>
              </w:rPr>
            </w:pPr>
          </w:p>
        </w:tc>
        <w:tc>
          <w:tcPr>
            <w:tcW w:w="7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7,590</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8,529</w:t>
            </w:r>
          </w:p>
        </w:tc>
        <w:tc>
          <w:tcPr>
            <w:tcW w:w="240" w:type="dxa"/>
            <w:vAlign w:val="bottom"/>
          </w:tcPr>
          <w:p>
            <w:pPr>
              <w:spacing w:after="0"/>
              <w:rPr>
                <w:sz w:val="19"/>
                <w:szCs w:val="19"/>
                <w:color w:val="auto"/>
              </w:rPr>
            </w:pPr>
          </w:p>
        </w:tc>
        <w:tc>
          <w:tcPr>
            <w:tcW w:w="8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7,146</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6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5,937</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07"/>
        </w:trPr>
        <w:tc>
          <w:tcPr>
            <w:tcW w:w="5020" w:type="dxa"/>
            <w:vAlign w:val="bottom"/>
          </w:tcPr>
          <w:p>
            <w:pPr>
              <w:spacing w:after="0"/>
              <w:rPr>
                <w:sz w:val="9"/>
                <w:szCs w:val="9"/>
                <w:color w:val="auto"/>
              </w:rPr>
            </w:pPr>
          </w:p>
        </w:tc>
        <w:tc>
          <w:tcPr>
            <w:tcW w:w="1220" w:type="dxa"/>
            <w:vAlign w:val="bottom"/>
          </w:tcPr>
          <w:p>
            <w:pPr>
              <w:spacing w:after="0"/>
              <w:rPr>
                <w:sz w:val="9"/>
                <w:szCs w:val="9"/>
                <w:color w:val="auto"/>
              </w:rPr>
            </w:pPr>
          </w:p>
        </w:tc>
        <w:tc>
          <w:tcPr>
            <w:tcW w:w="700" w:type="dxa"/>
            <w:vAlign w:val="bottom"/>
          </w:tcPr>
          <w:p>
            <w:pPr>
              <w:spacing w:after="0"/>
              <w:rPr>
                <w:sz w:val="9"/>
                <w:szCs w:val="9"/>
                <w:color w:val="auto"/>
              </w:rPr>
            </w:pPr>
          </w:p>
        </w:tc>
        <w:tc>
          <w:tcPr>
            <w:tcW w:w="220" w:type="dxa"/>
            <w:vAlign w:val="bottom"/>
          </w:tcPr>
          <w:p>
            <w:pPr>
              <w:spacing w:after="0"/>
              <w:rPr>
                <w:sz w:val="9"/>
                <w:szCs w:val="9"/>
                <w:color w:val="auto"/>
              </w:rPr>
            </w:pPr>
          </w:p>
        </w:tc>
        <w:tc>
          <w:tcPr>
            <w:tcW w:w="780" w:type="dxa"/>
            <w:vAlign w:val="bottom"/>
          </w:tcPr>
          <w:p>
            <w:pPr>
              <w:spacing w:after="0"/>
              <w:rPr>
                <w:sz w:val="9"/>
                <w:szCs w:val="9"/>
                <w:color w:val="auto"/>
              </w:rPr>
            </w:pPr>
          </w:p>
        </w:tc>
        <w:tc>
          <w:tcPr>
            <w:tcW w:w="140" w:type="dxa"/>
            <w:vAlign w:val="bottom"/>
          </w:tcPr>
          <w:p>
            <w:pPr>
              <w:spacing w:after="0"/>
              <w:rPr>
                <w:sz w:val="9"/>
                <w:szCs w:val="9"/>
                <w:color w:val="auto"/>
              </w:rPr>
            </w:pPr>
          </w:p>
        </w:tc>
        <w:tc>
          <w:tcPr>
            <w:tcW w:w="80" w:type="dxa"/>
            <w:vAlign w:val="bottom"/>
          </w:tcPr>
          <w:p>
            <w:pPr>
              <w:spacing w:after="0"/>
              <w:rPr>
                <w:sz w:val="9"/>
                <w:szCs w:val="9"/>
                <w:color w:val="auto"/>
              </w:rPr>
            </w:pPr>
          </w:p>
        </w:tc>
        <w:tc>
          <w:tcPr>
            <w:tcW w:w="780" w:type="dxa"/>
            <w:vAlign w:val="bottom"/>
          </w:tcPr>
          <w:p>
            <w:pPr>
              <w:spacing w:after="0"/>
              <w:rPr>
                <w:sz w:val="9"/>
                <w:szCs w:val="9"/>
                <w:color w:val="auto"/>
              </w:rPr>
            </w:pPr>
          </w:p>
        </w:tc>
        <w:tc>
          <w:tcPr>
            <w:tcW w:w="240" w:type="dxa"/>
            <w:vAlign w:val="bottom"/>
          </w:tcPr>
          <w:p>
            <w:pPr>
              <w:spacing w:after="0"/>
              <w:rPr>
                <w:sz w:val="9"/>
                <w:szCs w:val="9"/>
                <w:color w:val="auto"/>
              </w:rPr>
            </w:pPr>
          </w:p>
        </w:tc>
        <w:tc>
          <w:tcPr>
            <w:tcW w:w="820" w:type="dxa"/>
            <w:vAlign w:val="bottom"/>
          </w:tcPr>
          <w:p>
            <w:pPr>
              <w:spacing w:after="0"/>
              <w:rPr>
                <w:sz w:val="9"/>
                <w:szCs w:val="9"/>
                <w:color w:val="auto"/>
              </w:rPr>
            </w:pPr>
          </w:p>
        </w:tc>
        <w:tc>
          <w:tcPr>
            <w:tcW w:w="140" w:type="dxa"/>
            <w:vAlign w:val="bottom"/>
          </w:tcPr>
          <w:p>
            <w:pPr>
              <w:spacing w:after="0"/>
              <w:rPr>
                <w:sz w:val="9"/>
                <w:szCs w:val="9"/>
                <w:color w:val="auto"/>
              </w:rPr>
            </w:pPr>
          </w:p>
        </w:tc>
        <w:tc>
          <w:tcPr>
            <w:tcW w:w="8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50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Trading container sales proceeds</w:t>
            </w:r>
          </w:p>
        </w:tc>
        <w:tc>
          <w:tcPr>
            <w:tcW w:w="214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31,941</w:t>
            </w:r>
          </w:p>
        </w:tc>
        <w:tc>
          <w:tcPr>
            <w:tcW w:w="9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58,734</w:t>
            </w:r>
          </w:p>
        </w:tc>
        <w:tc>
          <w:tcPr>
            <w:tcW w:w="1100" w:type="dxa"/>
            <w:vAlign w:val="bottom"/>
            <w:gridSpan w:val="3"/>
            <w:shd w:val="clear" w:color="auto" w:fill="CCEEFF"/>
          </w:tcPr>
          <w:p>
            <w:pPr>
              <w:jc w:val="right"/>
              <w:ind w:right="240"/>
              <w:spacing w:after="0"/>
              <w:rPr>
                <w:sz w:val="20"/>
                <w:szCs w:val="20"/>
                <w:color w:val="auto"/>
              </w:rPr>
            </w:pPr>
            <w:r>
              <w:rPr>
                <w:rFonts w:ascii="Arial" w:cs="Arial" w:eastAsia="Arial" w:hAnsi="Arial"/>
                <w:sz w:val="18"/>
                <w:szCs w:val="18"/>
                <w:color w:val="auto"/>
              </w:rPr>
              <w:t>19,568</w:t>
            </w:r>
          </w:p>
        </w:tc>
        <w:tc>
          <w:tcPr>
            <w:tcW w:w="9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4,758</w:t>
            </w:r>
          </w:p>
        </w:tc>
        <w:tc>
          <w:tcPr>
            <w:tcW w:w="8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15,628</w:t>
            </w:r>
          </w:p>
        </w:tc>
        <w:tc>
          <w:tcPr>
            <w:tcW w:w="0" w:type="dxa"/>
            <w:vAlign w:val="bottom"/>
          </w:tcPr>
          <w:p>
            <w:pPr>
              <w:spacing w:after="0"/>
              <w:rPr>
                <w:sz w:val="1"/>
                <w:szCs w:val="1"/>
                <w:color w:val="auto"/>
              </w:rPr>
            </w:pPr>
          </w:p>
        </w:tc>
      </w:tr>
      <w:tr>
        <w:trPr>
          <w:trHeight w:val="216"/>
        </w:trPr>
        <w:tc>
          <w:tcPr>
            <w:tcW w:w="5020" w:type="dxa"/>
            <w:vAlign w:val="bottom"/>
          </w:tcPr>
          <w:p>
            <w:pPr>
              <w:ind w:left="360"/>
              <w:spacing w:after="0"/>
              <w:rPr>
                <w:sz w:val="20"/>
                <w:szCs w:val="20"/>
                <w:color w:val="auto"/>
              </w:rPr>
            </w:pPr>
            <w:r>
              <w:rPr>
                <w:rFonts w:ascii="Arial" w:cs="Arial" w:eastAsia="Arial" w:hAnsi="Arial"/>
                <w:sz w:val="18"/>
                <w:szCs w:val="18"/>
                <w:color w:val="auto"/>
              </w:rPr>
              <w:t>Cost of trading containers sold</w:t>
            </w:r>
          </w:p>
        </w:tc>
        <w:tc>
          <w:tcPr>
            <w:tcW w:w="1220" w:type="dxa"/>
            <w:vAlign w:val="bottom"/>
          </w:tcPr>
          <w:p>
            <w:pPr>
              <w:spacing w:after="0"/>
              <w:rPr>
                <w:sz w:val="18"/>
                <w:szCs w:val="18"/>
                <w:color w:val="auto"/>
              </w:rPr>
            </w:pP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(28,409)</w:t>
            </w:r>
          </w:p>
        </w:tc>
        <w:tc>
          <w:tcPr>
            <w:tcW w:w="920" w:type="dxa"/>
            <w:vAlign w:val="bottom"/>
            <w:gridSpan w:val="2"/>
          </w:tcPr>
          <w:p>
            <w:pPr>
              <w:jc w:val="right"/>
              <w:ind w:right="80"/>
              <w:spacing w:after="0"/>
              <w:rPr>
                <w:sz w:val="20"/>
                <w:szCs w:val="20"/>
                <w:color w:val="auto"/>
              </w:rPr>
            </w:pPr>
            <w:r>
              <w:rPr>
                <w:rFonts w:ascii="Arial" w:cs="Arial" w:eastAsia="Arial" w:hAnsi="Arial"/>
                <w:sz w:val="18"/>
                <w:szCs w:val="18"/>
                <w:color w:val="auto"/>
              </w:rPr>
              <w:t>(51,336)</w:t>
            </w:r>
          </w:p>
        </w:tc>
        <w:tc>
          <w:tcPr>
            <w:tcW w:w="1100" w:type="dxa"/>
            <w:vAlign w:val="bottom"/>
            <w:gridSpan w:val="3"/>
          </w:tcPr>
          <w:p>
            <w:pPr>
              <w:jc w:val="right"/>
              <w:ind w:right="180"/>
              <w:spacing w:after="0"/>
              <w:rPr>
                <w:sz w:val="20"/>
                <w:szCs w:val="20"/>
                <w:color w:val="auto"/>
              </w:rPr>
            </w:pPr>
            <w:r>
              <w:rPr>
                <w:rFonts w:ascii="Arial" w:cs="Arial" w:eastAsia="Arial" w:hAnsi="Arial"/>
                <w:sz w:val="18"/>
                <w:szCs w:val="18"/>
                <w:color w:val="auto"/>
              </w:rPr>
              <w:t>(16,118)</w:t>
            </w:r>
          </w:p>
        </w:tc>
        <w:tc>
          <w:tcPr>
            <w:tcW w:w="960" w:type="dxa"/>
            <w:vAlign w:val="bottom"/>
            <w:gridSpan w:val="2"/>
          </w:tcPr>
          <w:p>
            <w:pPr>
              <w:jc w:val="right"/>
              <w:ind w:right="80"/>
              <w:spacing w:after="0"/>
              <w:rPr>
                <w:sz w:val="20"/>
                <w:szCs w:val="20"/>
                <w:color w:val="auto"/>
              </w:rPr>
            </w:pPr>
            <w:r>
              <w:rPr>
                <w:rFonts w:ascii="Arial" w:cs="Arial" w:eastAsia="Arial" w:hAnsi="Arial"/>
                <w:sz w:val="18"/>
                <w:szCs w:val="18"/>
                <w:color w:val="auto"/>
              </w:rPr>
              <w:t>(3,302)</w:t>
            </w:r>
          </w:p>
        </w:tc>
        <w:tc>
          <w:tcPr>
            <w:tcW w:w="880" w:type="dxa"/>
            <w:vAlign w:val="bottom"/>
            <w:gridSpan w:val="3"/>
          </w:tcPr>
          <w:p>
            <w:pPr>
              <w:jc w:val="right"/>
              <w:ind w:right="60"/>
              <w:spacing w:after="0"/>
              <w:rPr>
                <w:sz w:val="20"/>
                <w:szCs w:val="20"/>
                <w:color w:val="auto"/>
              </w:rPr>
            </w:pPr>
            <w:r>
              <w:rPr>
                <w:rFonts w:ascii="Arial" w:cs="Arial" w:eastAsia="Arial" w:hAnsi="Arial"/>
                <w:sz w:val="18"/>
                <w:szCs w:val="18"/>
                <w:color w:val="auto"/>
              </w:rPr>
              <w:t>(15,904)</w:t>
            </w:r>
          </w:p>
        </w:tc>
        <w:tc>
          <w:tcPr>
            <w:tcW w:w="0" w:type="dxa"/>
            <w:vAlign w:val="bottom"/>
          </w:tcPr>
          <w:p>
            <w:pPr>
              <w:spacing w:after="0"/>
              <w:rPr>
                <w:sz w:val="1"/>
                <w:szCs w:val="1"/>
                <w:color w:val="auto"/>
              </w:rPr>
            </w:pPr>
          </w:p>
        </w:tc>
      </w:tr>
      <w:tr>
        <w:trPr>
          <w:trHeight w:val="27"/>
        </w:trPr>
        <w:tc>
          <w:tcPr>
            <w:tcW w:w="5020" w:type="dxa"/>
            <w:vAlign w:val="bottom"/>
          </w:tcPr>
          <w:p>
            <w:pPr>
              <w:spacing w:after="0"/>
              <w:rPr>
                <w:sz w:val="2"/>
                <w:szCs w:val="2"/>
                <w:color w:val="auto"/>
              </w:rPr>
            </w:pPr>
          </w:p>
        </w:tc>
        <w:tc>
          <w:tcPr>
            <w:tcW w:w="1220" w:type="dxa"/>
            <w:vAlign w:val="bottom"/>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78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78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82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5020" w:type="dxa"/>
            <w:vAlign w:val="bottom"/>
            <w:shd w:val="clear" w:color="auto" w:fill="CCEEFF"/>
          </w:tcPr>
          <w:p>
            <w:pPr>
              <w:ind w:left="720"/>
              <w:spacing w:after="0"/>
              <w:rPr>
                <w:sz w:val="20"/>
                <w:szCs w:val="20"/>
                <w:color w:val="auto"/>
              </w:rPr>
            </w:pPr>
            <w:r>
              <w:rPr>
                <w:rFonts w:ascii="Arial" w:cs="Arial" w:eastAsia="Arial" w:hAnsi="Arial"/>
                <w:sz w:val="18"/>
                <w:szCs w:val="18"/>
                <w:color w:val="auto"/>
              </w:rPr>
              <w:t>Trading container margin</w:t>
            </w:r>
          </w:p>
        </w:tc>
        <w:tc>
          <w:tcPr>
            <w:tcW w:w="122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3,532</w:t>
            </w:r>
          </w:p>
        </w:tc>
        <w:tc>
          <w:tcPr>
            <w:tcW w:w="22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7,398</w:t>
            </w: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3,450</w:t>
            </w:r>
          </w:p>
        </w:tc>
        <w:tc>
          <w:tcPr>
            <w:tcW w:w="9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1,456</w:t>
            </w:r>
          </w:p>
        </w:tc>
        <w:tc>
          <w:tcPr>
            <w:tcW w:w="88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(276)</w:t>
            </w:r>
          </w:p>
        </w:tc>
        <w:tc>
          <w:tcPr>
            <w:tcW w:w="0" w:type="dxa"/>
            <w:vAlign w:val="bottom"/>
          </w:tcPr>
          <w:p>
            <w:pPr>
              <w:spacing w:after="0"/>
              <w:rPr>
                <w:sz w:val="1"/>
                <w:szCs w:val="1"/>
                <w:color w:val="auto"/>
              </w:rPr>
            </w:pPr>
          </w:p>
        </w:tc>
      </w:tr>
      <w:tr>
        <w:trPr>
          <w:trHeight w:val="224"/>
        </w:trPr>
        <w:tc>
          <w:tcPr>
            <w:tcW w:w="5020" w:type="dxa"/>
            <w:vAlign w:val="bottom"/>
          </w:tcPr>
          <w:p>
            <w:pPr>
              <w:spacing w:after="0"/>
              <w:rPr>
                <w:sz w:val="20"/>
                <w:szCs w:val="20"/>
                <w:color w:val="auto"/>
              </w:rPr>
            </w:pPr>
            <w:r>
              <w:rPr>
                <w:rFonts w:ascii="Arial" w:cs="Arial" w:eastAsia="Arial" w:hAnsi="Arial"/>
                <w:sz w:val="18"/>
                <w:szCs w:val="18"/>
                <w:color w:val="auto"/>
              </w:rPr>
              <w:t>Gain on sale of owned fleet containers, net</w:t>
            </w:r>
          </w:p>
        </w:tc>
        <w:tc>
          <w:tcPr>
            <w:tcW w:w="1220" w:type="dxa"/>
            <w:vAlign w:val="bottom"/>
          </w:tcPr>
          <w:p>
            <w:pPr>
              <w:spacing w:after="0"/>
              <w:rPr>
                <w:sz w:val="19"/>
                <w:szCs w:val="19"/>
                <w:color w:val="auto"/>
              </w:rPr>
            </w:pPr>
          </w:p>
        </w:tc>
        <w:tc>
          <w:tcPr>
            <w:tcW w:w="7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27,230</w:t>
            </w:r>
          </w:p>
        </w:tc>
        <w:tc>
          <w:tcPr>
            <w:tcW w:w="220" w:type="dxa"/>
            <w:vAlign w:val="bottom"/>
          </w:tcPr>
          <w:p>
            <w:pPr>
              <w:spacing w:after="0"/>
              <w:rPr>
                <w:sz w:val="19"/>
                <w:szCs w:val="19"/>
                <w:color w:val="auto"/>
              </w:rPr>
            </w:pPr>
          </w:p>
        </w:tc>
        <w:tc>
          <w:tcPr>
            <w:tcW w:w="7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21,397</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36,071</w:t>
            </w:r>
          </w:p>
        </w:tc>
        <w:tc>
          <w:tcPr>
            <w:tcW w:w="240" w:type="dxa"/>
            <w:vAlign w:val="bottom"/>
          </w:tcPr>
          <w:p>
            <w:pPr>
              <w:spacing w:after="0"/>
              <w:rPr>
                <w:sz w:val="19"/>
                <w:szCs w:val="19"/>
                <w:color w:val="auto"/>
              </w:rPr>
            </w:pPr>
          </w:p>
        </w:tc>
        <w:tc>
          <w:tcPr>
            <w:tcW w:w="8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26,210</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6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6,761</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07"/>
        </w:trPr>
        <w:tc>
          <w:tcPr>
            <w:tcW w:w="5020" w:type="dxa"/>
            <w:vAlign w:val="bottom"/>
          </w:tcPr>
          <w:p>
            <w:pPr>
              <w:spacing w:after="0"/>
              <w:rPr>
                <w:sz w:val="9"/>
                <w:szCs w:val="9"/>
                <w:color w:val="auto"/>
              </w:rPr>
            </w:pPr>
          </w:p>
        </w:tc>
        <w:tc>
          <w:tcPr>
            <w:tcW w:w="1220" w:type="dxa"/>
            <w:vAlign w:val="bottom"/>
          </w:tcPr>
          <w:p>
            <w:pPr>
              <w:spacing w:after="0"/>
              <w:rPr>
                <w:sz w:val="9"/>
                <w:szCs w:val="9"/>
                <w:color w:val="auto"/>
              </w:rPr>
            </w:pPr>
          </w:p>
        </w:tc>
        <w:tc>
          <w:tcPr>
            <w:tcW w:w="700" w:type="dxa"/>
            <w:vAlign w:val="bottom"/>
          </w:tcPr>
          <w:p>
            <w:pPr>
              <w:spacing w:after="0"/>
              <w:rPr>
                <w:sz w:val="9"/>
                <w:szCs w:val="9"/>
                <w:color w:val="auto"/>
              </w:rPr>
            </w:pPr>
          </w:p>
        </w:tc>
        <w:tc>
          <w:tcPr>
            <w:tcW w:w="220" w:type="dxa"/>
            <w:vAlign w:val="bottom"/>
          </w:tcPr>
          <w:p>
            <w:pPr>
              <w:spacing w:after="0"/>
              <w:rPr>
                <w:sz w:val="9"/>
                <w:szCs w:val="9"/>
                <w:color w:val="auto"/>
              </w:rPr>
            </w:pPr>
          </w:p>
        </w:tc>
        <w:tc>
          <w:tcPr>
            <w:tcW w:w="780" w:type="dxa"/>
            <w:vAlign w:val="bottom"/>
          </w:tcPr>
          <w:p>
            <w:pPr>
              <w:spacing w:after="0"/>
              <w:rPr>
                <w:sz w:val="9"/>
                <w:szCs w:val="9"/>
                <w:color w:val="auto"/>
              </w:rPr>
            </w:pPr>
          </w:p>
        </w:tc>
        <w:tc>
          <w:tcPr>
            <w:tcW w:w="140" w:type="dxa"/>
            <w:vAlign w:val="bottom"/>
          </w:tcPr>
          <w:p>
            <w:pPr>
              <w:spacing w:after="0"/>
              <w:rPr>
                <w:sz w:val="9"/>
                <w:szCs w:val="9"/>
                <w:color w:val="auto"/>
              </w:rPr>
            </w:pPr>
          </w:p>
        </w:tc>
        <w:tc>
          <w:tcPr>
            <w:tcW w:w="80" w:type="dxa"/>
            <w:vAlign w:val="bottom"/>
          </w:tcPr>
          <w:p>
            <w:pPr>
              <w:spacing w:after="0"/>
              <w:rPr>
                <w:sz w:val="9"/>
                <w:szCs w:val="9"/>
                <w:color w:val="auto"/>
              </w:rPr>
            </w:pPr>
          </w:p>
        </w:tc>
        <w:tc>
          <w:tcPr>
            <w:tcW w:w="780" w:type="dxa"/>
            <w:vAlign w:val="bottom"/>
          </w:tcPr>
          <w:p>
            <w:pPr>
              <w:spacing w:after="0"/>
              <w:rPr>
                <w:sz w:val="9"/>
                <w:szCs w:val="9"/>
                <w:color w:val="auto"/>
              </w:rPr>
            </w:pPr>
          </w:p>
        </w:tc>
        <w:tc>
          <w:tcPr>
            <w:tcW w:w="240" w:type="dxa"/>
            <w:vAlign w:val="bottom"/>
          </w:tcPr>
          <w:p>
            <w:pPr>
              <w:spacing w:after="0"/>
              <w:rPr>
                <w:sz w:val="9"/>
                <w:szCs w:val="9"/>
                <w:color w:val="auto"/>
              </w:rPr>
            </w:pPr>
          </w:p>
        </w:tc>
        <w:tc>
          <w:tcPr>
            <w:tcW w:w="820" w:type="dxa"/>
            <w:vAlign w:val="bottom"/>
          </w:tcPr>
          <w:p>
            <w:pPr>
              <w:spacing w:after="0"/>
              <w:rPr>
                <w:sz w:val="9"/>
                <w:szCs w:val="9"/>
                <w:color w:val="auto"/>
              </w:rPr>
            </w:pPr>
          </w:p>
        </w:tc>
        <w:tc>
          <w:tcPr>
            <w:tcW w:w="140" w:type="dxa"/>
            <w:vAlign w:val="bottom"/>
          </w:tcPr>
          <w:p>
            <w:pPr>
              <w:spacing w:after="0"/>
              <w:rPr>
                <w:sz w:val="9"/>
                <w:szCs w:val="9"/>
                <w:color w:val="auto"/>
              </w:rPr>
            </w:pPr>
          </w:p>
        </w:tc>
        <w:tc>
          <w:tcPr>
            <w:tcW w:w="8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5020" w:type="dxa"/>
            <w:vAlign w:val="bottom"/>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122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020" w:type="dxa"/>
            <w:vAlign w:val="bottom"/>
          </w:tcPr>
          <w:p>
            <w:pPr>
              <w:ind w:left="360"/>
              <w:spacing w:after="0"/>
              <w:rPr>
                <w:sz w:val="20"/>
                <w:szCs w:val="20"/>
                <w:color w:val="auto"/>
              </w:rPr>
            </w:pPr>
            <w:r>
              <w:rPr>
                <w:rFonts w:ascii="Arial" w:cs="Arial" w:eastAsia="Arial" w:hAnsi="Arial"/>
                <w:sz w:val="18"/>
                <w:szCs w:val="18"/>
                <w:color w:val="auto"/>
              </w:rPr>
              <w:t>Direct container expense - owned fleet</w:t>
            </w:r>
          </w:p>
        </w:tc>
        <w:tc>
          <w:tcPr>
            <w:tcW w:w="2140" w:type="dxa"/>
            <w:vAlign w:val="bottom"/>
            <w:gridSpan w:val="3"/>
          </w:tcPr>
          <w:p>
            <w:pPr>
              <w:jc w:val="right"/>
              <w:ind w:right="220"/>
              <w:spacing w:after="0"/>
              <w:rPr>
                <w:sz w:val="20"/>
                <w:szCs w:val="20"/>
                <w:color w:val="auto"/>
              </w:rPr>
            </w:pPr>
            <w:r>
              <w:rPr>
                <w:rFonts w:ascii="Arial" w:cs="Arial" w:eastAsia="Arial" w:hAnsi="Arial"/>
                <w:sz w:val="18"/>
                <w:szCs w:val="18"/>
                <w:color w:val="auto"/>
              </w:rPr>
              <w:t>55,222</w:t>
            </w:r>
          </w:p>
        </w:tc>
        <w:tc>
          <w:tcPr>
            <w:tcW w:w="920" w:type="dxa"/>
            <w:vAlign w:val="bottom"/>
            <w:gridSpan w:val="2"/>
          </w:tcPr>
          <w:p>
            <w:pPr>
              <w:jc w:val="right"/>
              <w:ind w:right="140"/>
              <w:spacing w:after="0"/>
              <w:rPr>
                <w:sz w:val="20"/>
                <w:szCs w:val="20"/>
                <w:color w:val="auto"/>
              </w:rPr>
            </w:pPr>
            <w:r>
              <w:rPr>
                <w:rFonts w:ascii="Arial" w:cs="Arial" w:eastAsia="Arial" w:hAnsi="Arial"/>
                <w:sz w:val="18"/>
                <w:szCs w:val="18"/>
                <w:color w:val="auto"/>
              </w:rPr>
              <w:t>45,831</w:t>
            </w:r>
          </w:p>
        </w:tc>
        <w:tc>
          <w:tcPr>
            <w:tcW w:w="1100" w:type="dxa"/>
            <w:vAlign w:val="bottom"/>
            <w:gridSpan w:val="3"/>
          </w:tcPr>
          <w:p>
            <w:pPr>
              <w:jc w:val="right"/>
              <w:ind w:right="240"/>
              <w:spacing w:after="0"/>
              <w:rPr>
                <w:sz w:val="20"/>
                <w:szCs w:val="20"/>
                <w:color w:val="auto"/>
              </w:rPr>
            </w:pPr>
            <w:r>
              <w:rPr>
                <w:rFonts w:ascii="Arial" w:cs="Arial" w:eastAsia="Arial" w:hAnsi="Arial"/>
                <w:sz w:val="18"/>
                <w:szCs w:val="18"/>
                <w:color w:val="auto"/>
              </w:rPr>
              <w:t>53,845</w:t>
            </w:r>
          </w:p>
        </w:tc>
        <w:tc>
          <w:tcPr>
            <w:tcW w:w="960" w:type="dxa"/>
            <w:vAlign w:val="bottom"/>
            <w:gridSpan w:val="2"/>
          </w:tcPr>
          <w:p>
            <w:pPr>
              <w:jc w:val="right"/>
              <w:ind w:right="140"/>
              <w:spacing w:after="0"/>
              <w:rPr>
                <w:sz w:val="20"/>
                <w:szCs w:val="20"/>
                <w:color w:val="auto"/>
              </w:rPr>
            </w:pPr>
            <w:r>
              <w:rPr>
                <w:rFonts w:ascii="Arial" w:cs="Arial" w:eastAsia="Arial" w:hAnsi="Arial"/>
                <w:sz w:val="18"/>
                <w:szCs w:val="18"/>
                <w:color w:val="auto"/>
              </w:rPr>
              <w:t>59,538</w:t>
            </w:r>
          </w:p>
        </w:tc>
        <w:tc>
          <w:tcPr>
            <w:tcW w:w="880" w:type="dxa"/>
            <w:vAlign w:val="bottom"/>
            <w:gridSpan w:val="3"/>
          </w:tcPr>
          <w:p>
            <w:pPr>
              <w:jc w:val="right"/>
              <w:ind w:right="120"/>
              <w:spacing w:after="0"/>
              <w:rPr>
                <w:sz w:val="20"/>
                <w:szCs w:val="20"/>
                <w:color w:val="auto"/>
              </w:rPr>
            </w:pPr>
            <w:r>
              <w:rPr>
                <w:rFonts w:ascii="Arial" w:cs="Arial" w:eastAsia="Arial" w:hAnsi="Arial"/>
                <w:sz w:val="18"/>
                <w:szCs w:val="18"/>
                <w:color w:val="auto"/>
              </w:rPr>
              <w:t>60,029</w:t>
            </w:r>
          </w:p>
        </w:tc>
        <w:tc>
          <w:tcPr>
            <w:tcW w:w="0" w:type="dxa"/>
            <w:vAlign w:val="bottom"/>
          </w:tcPr>
          <w:p>
            <w:pPr>
              <w:spacing w:after="0"/>
              <w:rPr>
                <w:sz w:val="1"/>
                <w:szCs w:val="1"/>
                <w:color w:val="auto"/>
              </w:rPr>
            </w:pPr>
          </w:p>
        </w:tc>
      </w:tr>
      <w:tr>
        <w:trPr>
          <w:trHeight w:val="216"/>
        </w:trPr>
        <w:tc>
          <w:tcPr>
            <w:tcW w:w="50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Distribution expense to managed fleet container investors</w:t>
            </w:r>
          </w:p>
        </w:tc>
        <w:tc>
          <w:tcPr>
            <w:tcW w:w="214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57,311</w:t>
            </w:r>
          </w:p>
        </w:tc>
        <w:tc>
          <w:tcPr>
            <w:tcW w:w="9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93,858</w:t>
            </w:r>
          </w:p>
        </w:tc>
        <w:tc>
          <w:tcPr>
            <w:tcW w:w="1100" w:type="dxa"/>
            <w:vAlign w:val="bottom"/>
            <w:gridSpan w:val="3"/>
            <w:shd w:val="clear" w:color="auto" w:fill="CCEEFF"/>
          </w:tcPr>
          <w:p>
            <w:pPr>
              <w:jc w:val="right"/>
              <w:ind w:right="240"/>
              <w:spacing w:after="0"/>
              <w:rPr>
                <w:sz w:val="20"/>
                <w:szCs w:val="20"/>
                <w:color w:val="auto"/>
              </w:rPr>
            </w:pPr>
            <w:r>
              <w:rPr>
                <w:rFonts w:ascii="Arial" w:cs="Arial" w:eastAsia="Arial" w:hAnsi="Arial"/>
                <w:sz w:val="18"/>
                <w:szCs w:val="18"/>
                <w:color w:val="auto"/>
              </w:rPr>
              <w:t>102,992</w:t>
            </w:r>
          </w:p>
        </w:tc>
        <w:tc>
          <w:tcPr>
            <w:tcW w:w="9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96,718</w:t>
            </w:r>
          </w:p>
        </w:tc>
        <w:tc>
          <w:tcPr>
            <w:tcW w:w="8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98,028</w:t>
            </w:r>
          </w:p>
        </w:tc>
        <w:tc>
          <w:tcPr>
            <w:tcW w:w="0" w:type="dxa"/>
            <w:vAlign w:val="bottom"/>
          </w:tcPr>
          <w:p>
            <w:pPr>
              <w:spacing w:after="0"/>
              <w:rPr>
                <w:sz w:val="1"/>
                <w:szCs w:val="1"/>
                <w:color w:val="auto"/>
              </w:rPr>
            </w:pPr>
          </w:p>
        </w:tc>
      </w:tr>
      <w:tr>
        <w:trPr>
          <w:trHeight w:val="216"/>
        </w:trPr>
        <w:tc>
          <w:tcPr>
            <w:tcW w:w="5020" w:type="dxa"/>
            <w:vAlign w:val="bottom"/>
          </w:tcPr>
          <w:p>
            <w:pPr>
              <w:ind w:left="360"/>
              <w:spacing w:after="0"/>
              <w:rPr>
                <w:sz w:val="20"/>
                <w:szCs w:val="20"/>
                <w:color w:val="auto"/>
              </w:rPr>
            </w:pPr>
            <w:r>
              <w:rPr>
                <w:rFonts w:ascii="Arial" w:cs="Arial" w:eastAsia="Arial" w:hAnsi="Arial"/>
                <w:sz w:val="18"/>
                <w:szCs w:val="18"/>
                <w:color w:val="auto"/>
              </w:rPr>
              <w:t>Depreciation expense</w:t>
            </w:r>
          </w:p>
        </w:tc>
        <w:tc>
          <w:tcPr>
            <w:tcW w:w="2140" w:type="dxa"/>
            <w:vAlign w:val="bottom"/>
            <w:gridSpan w:val="3"/>
          </w:tcPr>
          <w:p>
            <w:pPr>
              <w:jc w:val="right"/>
              <w:ind w:right="220"/>
              <w:spacing w:after="0"/>
              <w:rPr>
                <w:sz w:val="20"/>
                <w:szCs w:val="20"/>
                <w:color w:val="auto"/>
              </w:rPr>
            </w:pPr>
            <w:r>
              <w:rPr>
                <w:rFonts w:ascii="Arial" w:cs="Arial" w:eastAsia="Arial" w:hAnsi="Arial"/>
                <w:sz w:val="18"/>
                <w:szCs w:val="18"/>
                <w:color w:val="auto"/>
              </w:rPr>
              <w:t>261,665</w:t>
            </w:r>
          </w:p>
        </w:tc>
        <w:tc>
          <w:tcPr>
            <w:tcW w:w="920" w:type="dxa"/>
            <w:vAlign w:val="bottom"/>
            <w:gridSpan w:val="2"/>
          </w:tcPr>
          <w:p>
            <w:pPr>
              <w:jc w:val="right"/>
              <w:ind w:right="140"/>
              <w:spacing w:after="0"/>
              <w:rPr>
                <w:sz w:val="20"/>
                <w:szCs w:val="20"/>
                <w:color w:val="auto"/>
              </w:rPr>
            </w:pPr>
            <w:r>
              <w:rPr>
                <w:rFonts w:ascii="Arial" w:cs="Arial" w:eastAsia="Arial" w:hAnsi="Arial"/>
                <w:sz w:val="18"/>
                <w:szCs w:val="18"/>
                <w:color w:val="auto"/>
              </w:rPr>
              <w:t>260,372</w:t>
            </w:r>
          </w:p>
        </w:tc>
        <w:tc>
          <w:tcPr>
            <w:tcW w:w="1100" w:type="dxa"/>
            <w:vAlign w:val="bottom"/>
            <w:gridSpan w:val="3"/>
          </w:tcPr>
          <w:p>
            <w:pPr>
              <w:jc w:val="right"/>
              <w:ind w:right="240"/>
              <w:spacing w:after="0"/>
              <w:rPr>
                <w:sz w:val="20"/>
                <w:szCs w:val="20"/>
                <w:color w:val="auto"/>
              </w:rPr>
            </w:pPr>
            <w:r>
              <w:rPr>
                <w:rFonts w:ascii="Arial" w:cs="Arial" w:eastAsia="Arial" w:hAnsi="Arial"/>
                <w:sz w:val="18"/>
                <w:szCs w:val="18"/>
                <w:color w:val="auto"/>
              </w:rPr>
              <w:t>249,500</w:t>
            </w:r>
          </w:p>
        </w:tc>
        <w:tc>
          <w:tcPr>
            <w:tcW w:w="960" w:type="dxa"/>
            <w:vAlign w:val="bottom"/>
            <w:gridSpan w:val="2"/>
          </w:tcPr>
          <w:p>
            <w:pPr>
              <w:jc w:val="right"/>
              <w:ind w:right="140"/>
              <w:spacing w:after="0"/>
              <w:rPr>
                <w:sz w:val="20"/>
                <w:szCs w:val="20"/>
                <w:color w:val="auto"/>
              </w:rPr>
            </w:pPr>
            <w:r>
              <w:rPr>
                <w:rFonts w:ascii="Arial" w:cs="Arial" w:eastAsia="Arial" w:hAnsi="Arial"/>
                <w:sz w:val="18"/>
                <w:szCs w:val="18"/>
                <w:color w:val="auto"/>
              </w:rPr>
              <w:t>235,293</w:t>
            </w:r>
          </w:p>
        </w:tc>
        <w:tc>
          <w:tcPr>
            <w:tcW w:w="880" w:type="dxa"/>
            <w:vAlign w:val="bottom"/>
            <w:gridSpan w:val="3"/>
          </w:tcPr>
          <w:p>
            <w:pPr>
              <w:jc w:val="right"/>
              <w:ind w:right="120"/>
              <w:spacing w:after="0"/>
              <w:rPr>
                <w:sz w:val="20"/>
                <w:szCs w:val="20"/>
                <w:color w:val="auto"/>
              </w:rPr>
            </w:pPr>
            <w:r>
              <w:rPr>
                <w:rFonts w:ascii="Arial" w:cs="Arial" w:eastAsia="Arial" w:hAnsi="Arial"/>
                <w:sz w:val="18"/>
                <w:szCs w:val="18"/>
                <w:color w:val="auto"/>
              </w:rPr>
              <w:t>302,599</w:t>
            </w:r>
          </w:p>
        </w:tc>
        <w:tc>
          <w:tcPr>
            <w:tcW w:w="0" w:type="dxa"/>
            <w:vAlign w:val="bottom"/>
          </w:tcPr>
          <w:p>
            <w:pPr>
              <w:spacing w:after="0"/>
              <w:rPr>
                <w:sz w:val="1"/>
                <w:szCs w:val="1"/>
                <w:color w:val="auto"/>
              </w:rPr>
            </w:pPr>
          </w:p>
        </w:tc>
      </w:tr>
      <w:tr>
        <w:trPr>
          <w:trHeight w:val="216"/>
        </w:trPr>
        <w:tc>
          <w:tcPr>
            <w:tcW w:w="50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Amortization expense</w:t>
            </w:r>
          </w:p>
        </w:tc>
        <w:tc>
          <w:tcPr>
            <w:tcW w:w="214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2,572</w:t>
            </w:r>
          </w:p>
        </w:tc>
        <w:tc>
          <w:tcPr>
            <w:tcW w:w="9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2,093</w:t>
            </w:r>
          </w:p>
        </w:tc>
        <w:tc>
          <w:tcPr>
            <w:tcW w:w="1100" w:type="dxa"/>
            <w:vAlign w:val="bottom"/>
            <w:gridSpan w:val="3"/>
            <w:shd w:val="clear" w:color="auto" w:fill="CCEEFF"/>
          </w:tcPr>
          <w:p>
            <w:pPr>
              <w:jc w:val="right"/>
              <w:ind w:right="240"/>
              <w:spacing w:after="0"/>
              <w:rPr>
                <w:sz w:val="20"/>
                <w:szCs w:val="20"/>
                <w:color w:val="auto"/>
              </w:rPr>
            </w:pPr>
            <w:r>
              <w:rPr>
                <w:rFonts w:ascii="Arial" w:cs="Arial" w:eastAsia="Arial" w:hAnsi="Arial"/>
                <w:sz w:val="18"/>
                <w:szCs w:val="18"/>
                <w:color w:val="auto"/>
              </w:rPr>
              <w:t>3,721</w:t>
            </w:r>
          </w:p>
        </w:tc>
        <w:tc>
          <w:tcPr>
            <w:tcW w:w="9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4,092</w:t>
            </w:r>
          </w:p>
        </w:tc>
        <w:tc>
          <w:tcPr>
            <w:tcW w:w="8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5,053</w:t>
            </w:r>
          </w:p>
        </w:tc>
        <w:tc>
          <w:tcPr>
            <w:tcW w:w="0" w:type="dxa"/>
            <w:vAlign w:val="bottom"/>
          </w:tcPr>
          <w:p>
            <w:pPr>
              <w:spacing w:after="0"/>
              <w:rPr>
                <w:sz w:val="1"/>
                <w:szCs w:val="1"/>
                <w:color w:val="auto"/>
              </w:rPr>
            </w:pPr>
          </w:p>
        </w:tc>
      </w:tr>
      <w:tr>
        <w:trPr>
          <w:trHeight w:val="216"/>
        </w:trPr>
        <w:tc>
          <w:tcPr>
            <w:tcW w:w="5020" w:type="dxa"/>
            <w:vAlign w:val="bottom"/>
          </w:tcPr>
          <w:p>
            <w:pPr>
              <w:ind w:left="360"/>
              <w:spacing w:after="0"/>
              <w:rPr>
                <w:sz w:val="20"/>
                <w:szCs w:val="20"/>
                <w:color w:val="auto"/>
              </w:rPr>
            </w:pPr>
            <w:r>
              <w:rPr>
                <w:rFonts w:ascii="Arial" w:cs="Arial" w:eastAsia="Arial" w:hAnsi="Arial"/>
                <w:sz w:val="18"/>
                <w:szCs w:val="18"/>
                <w:color w:val="auto"/>
              </w:rPr>
              <w:t>General and administrative expense</w:t>
            </w:r>
          </w:p>
        </w:tc>
        <w:tc>
          <w:tcPr>
            <w:tcW w:w="2140" w:type="dxa"/>
            <w:vAlign w:val="bottom"/>
            <w:gridSpan w:val="3"/>
          </w:tcPr>
          <w:p>
            <w:pPr>
              <w:jc w:val="right"/>
              <w:ind w:right="220"/>
              <w:spacing w:after="0"/>
              <w:rPr>
                <w:sz w:val="20"/>
                <w:szCs w:val="20"/>
                <w:color w:val="auto"/>
              </w:rPr>
            </w:pPr>
            <w:r>
              <w:rPr>
                <w:rFonts w:ascii="Arial" w:cs="Arial" w:eastAsia="Arial" w:hAnsi="Arial"/>
                <w:sz w:val="18"/>
                <w:szCs w:val="18"/>
                <w:color w:val="auto"/>
              </w:rPr>
              <w:t>41,880</w:t>
            </w:r>
          </w:p>
        </w:tc>
        <w:tc>
          <w:tcPr>
            <w:tcW w:w="920" w:type="dxa"/>
            <w:vAlign w:val="bottom"/>
            <w:gridSpan w:val="2"/>
          </w:tcPr>
          <w:p>
            <w:pPr>
              <w:jc w:val="right"/>
              <w:ind w:right="140"/>
              <w:spacing w:after="0"/>
              <w:rPr>
                <w:sz w:val="20"/>
                <w:szCs w:val="20"/>
                <w:color w:val="auto"/>
              </w:rPr>
            </w:pPr>
            <w:r>
              <w:rPr>
                <w:rFonts w:ascii="Arial" w:cs="Arial" w:eastAsia="Arial" w:hAnsi="Arial"/>
                <w:sz w:val="18"/>
                <w:szCs w:val="18"/>
                <w:color w:val="auto"/>
              </w:rPr>
              <w:t>38,142</w:t>
            </w:r>
          </w:p>
        </w:tc>
        <w:tc>
          <w:tcPr>
            <w:tcW w:w="1100" w:type="dxa"/>
            <w:vAlign w:val="bottom"/>
            <w:gridSpan w:val="3"/>
          </w:tcPr>
          <w:p>
            <w:pPr>
              <w:jc w:val="right"/>
              <w:ind w:right="240"/>
              <w:spacing w:after="0"/>
              <w:rPr>
                <w:sz w:val="20"/>
                <w:szCs w:val="20"/>
                <w:color w:val="auto"/>
              </w:rPr>
            </w:pPr>
            <w:r>
              <w:rPr>
                <w:rFonts w:ascii="Arial" w:cs="Arial" w:eastAsia="Arial" w:hAnsi="Arial"/>
                <w:sz w:val="18"/>
                <w:szCs w:val="18"/>
                <w:color w:val="auto"/>
              </w:rPr>
              <w:t>44,317</w:t>
            </w:r>
          </w:p>
        </w:tc>
        <w:tc>
          <w:tcPr>
            <w:tcW w:w="960" w:type="dxa"/>
            <w:vAlign w:val="bottom"/>
            <w:gridSpan w:val="2"/>
          </w:tcPr>
          <w:p>
            <w:pPr>
              <w:jc w:val="right"/>
              <w:ind w:right="140"/>
              <w:spacing w:after="0"/>
              <w:rPr>
                <w:sz w:val="20"/>
                <w:szCs w:val="20"/>
                <w:color w:val="auto"/>
              </w:rPr>
            </w:pPr>
            <w:r>
              <w:rPr>
                <w:rFonts w:ascii="Arial" w:cs="Arial" w:eastAsia="Arial" w:hAnsi="Arial"/>
                <w:sz w:val="18"/>
                <w:szCs w:val="18"/>
                <w:color w:val="auto"/>
              </w:rPr>
              <w:t>39,677</w:t>
            </w:r>
          </w:p>
        </w:tc>
        <w:tc>
          <w:tcPr>
            <w:tcW w:w="880" w:type="dxa"/>
            <w:vAlign w:val="bottom"/>
            <w:gridSpan w:val="3"/>
          </w:tcPr>
          <w:p>
            <w:pPr>
              <w:jc w:val="right"/>
              <w:ind w:right="120"/>
              <w:spacing w:after="0"/>
              <w:rPr>
                <w:sz w:val="20"/>
                <w:szCs w:val="20"/>
                <w:color w:val="auto"/>
              </w:rPr>
            </w:pPr>
            <w:r>
              <w:rPr>
                <w:rFonts w:ascii="Arial" w:cs="Arial" w:eastAsia="Arial" w:hAnsi="Arial"/>
                <w:sz w:val="18"/>
                <w:szCs w:val="18"/>
                <w:color w:val="auto"/>
              </w:rPr>
              <w:t>34,540</w:t>
            </w:r>
          </w:p>
        </w:tc>
        <w:tc>
          <w:tcPr>
            <w:tcW w:w="0" w:type="dxa"/>
            <w:vAlign w:val="bottom"/>
          </w:tcPr>
          <w:p>
            <w:pPr>
              <w:spacing w:after="0"/>
              <w:rPr>
                <w:sz w:val="1"/>
                <w:szCs w:val="1"/>
                <w:color w:val="auto"/>
              </w:rPr>
            </w:pPr>
          </w:p>
        </w:tc>
      </w:tr>
      <w:tr>
        <w:trPr>
          <w:trHeight w:val="216"/>
        </w:trPr>
        <w:tc>
          <w:tcPr>
            <w:tcW w:w="50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Bad debt (recovery) expense, net</w:t>
            </w:r>
          </w:p>
        </w:tc>
        <w:tc>
          <w:tcPr>
            <w:tcW w:w="214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(1,668)</w:t>
            </w:r>
          </w:p>
        </w:tc>
        <w:tc>
          <w:tcPr>
            <w:tcW w:w="9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2,002</w:t>
            </w:r>
          </w:p>
        </w:tc>
        <w:tc>
          <w:tcPr>
            <w:tcW w:w="1100" w:type="dxa"/>
            <w:vAlign w:val="bottom"/>
            <w:gridSpan w:val="3"/>
            <w:shd w:val="clear" w:color="auto" w:fill="CCEEFF"/>
          </w:tcPr>
          <w:p>
            <w:pPr>
              <w:jc w:val="right"/>
              <w:ind w:right="240"/>
              <w:spacing w:after="0"/>
              <w:rPr>
                <w:sz w:val="20"/>
                <w:szCs w:val="20"/>
                <w:color w:val="auto"/>
              </w:rPr>
            </w:pPr>
            <w:r>
              <w:rPr>
                <w:rFonts w:ascii="Arial" w:cs="Arial" w:eastAsia="Arial" w:hAnsi="Arial"/>
                <w:sz w:val="18"/>
                <w:szCs w:val="18"/>
                <w:color w:val="auto"/>
              </w:rPr>
              <w:t>2,697</w:t>
            </w:r>
          </w:p>
        </w:tc>
        <w:tc>
          <w:tcPr>
            <w:tcW w:w="9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477</w:t>
            </w:r>
          </w:p>
        </w:tc>
        <w:tc>
          <w:tcPr>
            <w:tcW w:w="8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21,166</w:t>
            </w:r>
          </w:p>
        </w:tc>
        <w:tc>
          <w:tcPr>
            <w:tcW w:w="0" w:type="dxa"/>
            <w:vAlign w:val="bottom"/>
          </w:tcPr>
          <w:p>
            <w:pPr>
              <w:spacing w:after="0"/>
              <w:rPr>
                <w:sz w:val="1"/>
                <w:szCs w:val="1"/>
                <w:color w:val="auto"/>
              </w:rPr>
            </w:pPr>
          </w:p>
        </w:tc>
      </w:tr>
      <w:tr>
        <w:trPr>
          <w:trHeight w:val="216"/>
        </w:trPr>
        <w:tc>
          <w:tcPr>
            <w:tcW w:w="5020" w:type="dxa"/>
            <w:vAlign w:val="bottom"/>
          </w:tcPr>
          <w:p>
            <w:pPr>
              <w:ind w:left="360"/>
              <w:spacing w:after="0"/>
              <w:rPr>
                <w:sz w:val="20"/>
                <w:szCs w:val="20"/>
                <w:color w:val="auto"/>
              </w:rPr>
            </w:pPr>
            <w:r>
              <w:rPr>
                <w:rFonts w:ascii="Arial" w:cs="Arial" w:eastAsia="Arial" w:hAnsi="Arial"/>
                <w:sz w:val="18"/>
                <w:szCs w:val="18"/>
                <w:color w:val="auto"/>
              </w:rPr>
              <w:t>Container lessee default (recovery) expense, net</w:t>
            </w:r>
          </w:p>
        </w:tc>
        <w:tc>
          <w:tcPr>
            <w:tcW w:w="2140" w:type="dxa"/>
            <w:vAlign w:val="bottom"/>
            <w:gridSpan w:val="3"/>
          </w:tcPr>
          <w:p>
            <w:pPr>
              <w:jc w:val="right"/>
              <w:ind w:right="160"/>
              <w:spacing w:after="0"/>
              <w:rPr>
                <w:sz w:val="20"/>
                <w:szCs w:val="20"/>
                <w:color w:val="auto"/>
              </w:rPr>
            </w:pPr>
            <w:r>
              <w:rPr>
                <w:rFonts w:ascii="Arial" w:cs="Arial" w:eastAsia="Arial" w:hAnsi="Arial"/>
                <w:sz w:val="18"/>
                <w:szCs w:val="18"/>
                <w:color w:val="auto"/>
              </w:rPr>
              <w:t>(1,675)</w:t>
            </w:r>
          </w:p>
        </w:tc>
        <w:tc>
          <w:tcPr>
            <w:tcW w:w="920" w:type="dxa"/>
            <w:vAlign w:val="bottom"/>
            <w:gridSpan w:val="2"/>
          </w:tcPr>
          <w:p>
            <w:pPr>
              <w:jc w:val="right"/>
              <w:ind w:right="140"/>
              <w:spacing w:after="0"/>
              <w:rPr>
                <w:sz w:val="20"/>
                <w:szCs w:val="20"/>
                <w:color w:val="auto"/>
              </w:rPr>
            </w:pPr>
            <w:r>
              <w:rPr>
                <w:rFonts w:ascii="Arial" w:cs="Arial" w:eastAsia="Arial" w:hAnsi="Arial"/>
                <w:sz w:val="18"/>
                <w:szCs w:val="18"/>
                <w:color w:val="auto"/>
              </w:rPr>
              <w:t>7,867</w:t>
            </w:r>
          </w:p>
        </w:tc>
        <w:tc>
          <w:tcPr>
            <w:tcW w:w="1100" w:type="dxa"/>
            <w:vAlign w:val="bottom"/>
            <w:gridSpan w:val="3"/>
          </w:tcPr>
          <w:p>
            <w:pPr>
              <w:jc w:val="right"/>
              <w:ind w:right="240"/>
              <w:spacing w:after="0"/>
              <w:rPr>
                <w:sz w:val="20"/>
                <w:szCs w:val="20"/>
                <w:color w:val="auto"/>
              </w:rPr>
            </w:pPr>
            <w:r>
              <w:rPr>
                <w:rFonts w:ascii="Arial" w:cs="Arial" w:eastAsia="Arial" w:hAnsi="Arial"/>
                <w:sz w:val="18"/>
                <w:szCs w:val="18"/>
                <w:color w:val="auto"/>
              </w:rPr>
              <w:t>17,948</w:t>
            </w:r>
          </w:p>
        </w:tc>
        <w:tc>
          <w:tcPr>
            <w:tcW w:w="960" w:type="dxa"/>
            <w:vAlign w:val="bottom"/>
            <w:gridSpan w:val="2"/>
          </w:tcPr>
          <w:p>
            <w:pPr>
              <w:jc w:val="right"/>
              <w:ind w:right="140"/>
              <w:spacing w:after="0"/>
              <w:rPr>
                <w:sz w:val="20"/>
                <w:szCs w:val="20"/>
                <w:color w:val="auto"/>
              </w:rPr>
            </w:pPr>
            <w:r>
              <w:rPr>
                <w:rFonts w:ascii="Arial" w:cs="Arial" w:eastAsia="Arial" w:hAnsi="Arial"/>
                <w:sz w:val="18"/>
                <w:szCs w:val="18"/>
                <w:color w:val="auto"/>
              </w:rPr>
              <w:t>4,605</w:t>
            </w:r>
          </w:p>
        </w:tc>
        <w:tc>
          <w:tcPr>
            <w:tcW w:w="880" w:type="dxa"/>
            <w:vAlign w:val="bottom"/>
            <w:gridSpan w:val="3"/>
          </w:tcPr>
          <w:p>
            <w:pPr>
              <w:jc w:val="right"/>
              <w:ind w:right="120"/>
              <w:spacing w:after="0"/>
              <w:rPr>
                <w:sz w:val="20"/>
                <w:szCs w:val="20"/>
                <w:color w:val="auto"/>
              </w:rPr>
            </w:pPr>
            <w:r>
              <w:rPr>
                <w:rFonts w:ascii="Arial" w:cs="Arial" w:eastAsia="Arial" w:hAnsi="Arial"/>
                <w:sz w:val="18"/>
                <w:szCs w:val="18"/>
                <w:color w:val="auto"/>
              </w:rPr>
              <w:t>30,735</w:t>
            </w:r>
          </w:p>
        </w:tc>
        <w:tc>
          <w:tcPr>
            <w:tcW w:w="0" w:type="dxa"/>
            <w:vAlign w:val="bottom"/>
          </w:tcPr>
          <w:p>
            <w:pPr>
              <w:spacing w:after="0"/>
              <w:rPr>
                <w:sz w:val="1"/>
                <w:szCs w:val="1"/>
                <w:color w:val="auto"/>
              </w:rPr>
            </w:pPr>
          </w:p>
        </w:tc>
      </w:tr>
      <w:tr>
        <w:trPr>
          <w:trHeight w:val="216"/>
        </w:trPr>
        <w:tc>
          <w:tcPr>
            <w:tcW w:w="50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Gain on insurance recovery and legal settlement</w:t>
            </w:r>
          </w:p>
        </w:tc>
        <w:tc>
          <w:tcPr>
            <w:tcW w:w="122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92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(14,881)</w:t>
            </w:r>
          </w:p>
        </w:tc>
        <w:tc>
          <w:tcPr>
            <w:tcW w:w="110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(8,692)</w:t>
            </w:r>
          </w:p>
        </w:tc>
        <w:tc>
          <w:tcPr>
            <w:tcW w:w="96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5020" w:type="dxa"/>
            <w:vAlign w:val="bottom"/>
          </w:tcPr>
          <w:p>
            <w:pPr>
              <w:ind w:left="360"/>
              <w:spacing w:after="0"/>
              <w:rPr>
                <w:sz w:val="20"/>
                <w:szCs w:val="20"/>
                <w:color w:val="auto"/>
              </w:rPr>
            </w:pPr>
            <w:r>
              <w:rPr>
                <w:rFonts w:ascii="Arial" w:cs="Arial" w:eastAsia="Arial" w:hAnsi="Arial"/>
                <w:sz w:val="18"/>
                <w:szCs w:val="18"/>
                <w:color w:val="auto"/>
                <w:w w:val="98"/>
              </w:rPr>
              <w:t>Gain on settlement of pre-existing management agreement</w:t>
            </w:r>
          </w:p>
        </w:tc>
        <w:tc>
          <w:tcPr>
            <w:tcW w:w="1220" w:type="dxa"/>
            <w:vAlign w:val="bottom"/>
          </w:tcPr>
          <w:p>
            <w:pPr>
              <w:spacing w:after="0"/>
              <w:rPr>
                <w:sz w:val="18"/>
                <w:szCs w:val="18"/>
                <w:color w:val="auto"/>
              </w:rPr>
            </w:pPr>
          </w:p>
        </w:tc>
        <w:tc>
          <w:tcPr>
            <w:tcW w:w="700" w:type="dxa"/>
            <w:vAlign w:val="bottom"/>
          </w:tcPr>
          <w:p>
            <w:pPr>
              <w:jc w:val="right"/>
              <w:ind w:right="10"/>
              <w:spacing w:after="0"/>
              <w:rPr>
                <w:sz w:val="20"/>
                <w:szCs w:val="20"/>
                <w:color w:val="auto"/>
              </w:rPr>
            </w:pPr>
            <w:r>
              <w:rPr>
                <w:rFonts w:ascii="Arial" w:cs="Arial" w:eastAsia="Arial" w:hAnsi="Arial"/>
                <w:sz w:val="18"/>
                <w:szCs w:val="18"/>
                <w:color w:val="auto"/>
              </w:rPr>
              <w:t>—</w:t>
            </w:r>
          </w:p>
        </w:tc>
        <w:tc>
          <w:tcPr>
            <w:tcW w:w="220" w:type="dxa"/>
            <w:vAlign w:val="bottom"/>
          </w:tcPr>
          <w:p>
            <w:pPr>
              <w:spacing w:after="0"/>
              <w:rPr>
                <w:sz w:val="18"/>
                <w:szCs w:val="18"/>
                <w:color w:val="auto"/>
              </w:rPr>
            </w:pPr>
          </w:p>
        </w:tc>
        <w:tc>
          <w:tcPr>
            <w:tcW w:w="920" w:type="dxa"/>
            <w:vAlign w:val="bottom"/>
            <w:gridSpan w:val="2"/>
          </w:tcPr>
          <w:p>
            <w:pPr>
              <w:jc w:val="right"/>
              <w:ind w:right="80"/>
              <w:spacing w:after="0"/>
              <w:rPr>
                <w:sz w:val="20"/>
                <w:szCs w:val="20"/>
                <w:color w:val="auto"/>
              </w:rPr>
            </w:pPr>
            <w:r>
              <w:rPr>
                <w:rFonts w:ascii="Arial" w:cs="Arial" w:eastAsia="Arial" w:hAnsi="Arial"/>
                <w:sz w:val="18"/>
                <w:szCs w:val="18"/>
                <w:color w:val="auto"/>
              </w:rPr>
              <w:t>(1,823)</w:t>
            </w:r>
          </w:p>
        </w:tc>
        <w:tc>
          <w:tcPr>
            <w:tcW w:w="80" w:type="dxa"/>
            <w:vAlign w:val="bottom"/>
          </w:tcPr>
          <w:p>
            <w:pPr>
              <w:spacing w:after="0"/>
              <w:rPr>
                <w:sz w:val="18"/>
                <w:szCs w:val="18"/>
                <w:color w:val="auto"/>
              </w:rPr>
            </w:pPr>
          </w:p>
        </w:tc>
        <w:tc>
          <w:tcPr>
            <w:tcW w:w="1020" w:type="dxa"/>
            <w:vAlign w:val="bottom"/>
            <w:gridSpan w:val="2"/>
          </w:tcPr>
          <w:p>
            <w:pPr>
              <w:jc w:val="right"/>
              <w:ind w:right="320"/>
              <w:spacing w:after="0"/>
              <w:rPr>
                <w:sz w:val="20"/>
                <w:szCs w:val="20"/>
                <w:color w:val="auto"/>
              </w:rPr>
            </w:pPr>
            <w:r>
              <w:rPr>
                <w:rFonts w:ascii="Arial" w:cs="Arial" w:eastAsia="Arial" w:hAnsi="Arial"/>
                <w:sz w:val="18"/>
                <w:szCs w:val="18"/>
                <w:b w:val="1"/>
                <w:bCs w:val="1"/>
                <w:color w:val="auto"/>
              </w:rPr>
              <w:t>—</w:t>
            </w:r>
          </w:p>
        </w:tc>
        <w:tc>
          <w:tcPr>
            <w:tcW w:w="96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80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
        </w:trPr>
        <w:tc>
          <w:tcPr>
            <w:tcW w:w="5020" w:type="dxa"/>
            <w:vAlign w:val="bottom"/>
          </w:tcPr>
          <w:p>
            <w:pPr>
              <w:spacing w:after="0"/>
              <w:rPr>
                <w:sz w:val="2"/>
                <w:szCs w:val="2"/>
                <w:color w:val="auto"/>
              </w:rPr>
            </w:pPr>
          </w:p>
        </w:tc>
        <w:tc>
          <w:tcPr>
            <w:tcW w:w="1220" w:type="dxa"/>
            <w:vAlign w:val="bottom"/>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78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78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82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5020" w:type="dxa"/>
            <w:vAlign w:val="bottom"/>
            <w:shd w:val="clear" w:color="auto" w:fill="CCEEFF"/>
          </w:tcPr>
          <w:p>
            <w:pPr>
              <w:ind w:left="720"/>
              <w:spacing w:after="0"/>
              <w:rPr>
                <w:sz w:val="20"/>
                <w:szCs w:val="20"/>
                <w:color w:val="auto"/>
              </w:rPr>
            </w:pPr>
            <w:r>
              <w:rPr>
                <w:rFonts w:ascii="Arial" w:cs="Arial" w:eastAsia="Arial" w:hAnsi="Arial"/>
                <w:sz w:val="18"/>
                <w:szCs w:val="18"/>
                <w:color w:val="auto"/>
              </w:rPr>
              <w:t>Total operating expenses</w:t>
            </w:r>
          </w:p>
        </w:tc>
        <w:tc>
          <w:tcPr>
            <w:tcW w:w="122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415,307</w:t>
            </w:r>
          </w:p>
        </w:tc>
        <w:tc>
          <w:tcPr>
            <w:tcW w:w="22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433,461</w:t>
            </w: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466,328</w:t>
            </w:r>
          </w:p>
        </w:tc>
        <w:tc>
          <w:tcPr>
            <w:tcW w:w="9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440,400</w:t>
            </w:r>
          </w:p>
        </w:tc>
        <w:tc>
          <w:tcPr>
            <w:tcW w:w="8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552,150</w:t>
            </w:r>
          </w:p>
        </w:tc>
        <w:tc>
          <w:tcPr>
            <w:tcW w:w="0" w:type="dxa"/>
            <w:vAlign w:val="bottom"/>
          </w:tcPr>
          <w:p>
            <w:pPr>
              <w:spacing w:after="0"/>
              <w:rPr>
                <w:sz w:val="1"/>
                <w:szCs w:val="1"/>
                <w:color w:val="auto"/>
              </w:rPr>
            </w:pPr>
          </w:p>
        </w:tc>
      </w:tr>
      <w:tr>
        <w:trPr>
          <w:trHeight w:val="223"/>
        </w:trPr>
        <w:tc>
          <w:tcPr>
            <w:tcW w:w="5020" w:type="dxa"/>
            <w:vAlign w:val="bottom"/>
          </w:tcPr>
          <w:p>
            <w:pPr>
              <w:ind w:left="720"/>
              <w:spacing w:after="0"/>
              <w:rPr>
                <w:sz w:val="20"/>
                <w:szCs w:val="20"/>
                <w:color w:val="auto"/>
              </w:rPr>
            </w:pPr>
            <w:r>
              <w:rPr>
                <w:rFonts w:ascii="Arial" w:cs="Arial" w:eastAsia="Arial" w:hAnsi="Arial"/>
                <w:sz w:val="18"/>
                <w:szCs w:val="18"/>
                <w:color w:val="auto"/>
              </w:rPr>
              <w:t>Income from operations</w:t>
            </w:r>
          </w:p>
        </w:tc>
        <w:tc>
          <w:tcPr>
            <w:tcW w:w="1220" w:type="dxa"/>
            <w:vAlign w:val="bottom"/>
          </w:tcPr>
          <w:p>
            <w:pPr>
              <w:spacing w:after="0"/>
              <w:rPr>
                <w:sz w:val="19"/>
                <w:szCs w:val="19"/>
                <w:color w:val="auto"/>
              </w:rPr>
            </w:pPr>
          </w:p>
        </w:tc>
        <w:tc>
          <w:tcPr>
            <w:tcW w:w="7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221,599</w:t>
            </w:r>
          </w:p>
        </w:tc>
        <w:tc>
          <w:tcPr>
            <w:tcW w:w="220" w:type="dxa"/>
            <w:vAlign w:val="bottom"/>
          </w:tcPr>
          <w:p>
            <w:pPr>
              <w:spacing w:after="0"/>
              <w:rPr>
                <w:sz w:val="19"/>
                <w:szCs w:val="19"/>
                <w:color w:val="auto"/>
              </w:rPr>
            </w:pP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222,684</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194,426</w:t>
            </w:r>
          </w:p>
        </w:tc>
        <w:tc>
          <w:tcPr>
            <w:tcW w:w="240" w:type="dxa"/>
            <w:vAlign w:val="bottom"/>
          </w:tcPr>
          <w:p>
            <w:pPr>
              <w:spacing w:after="0"/>
              <w:rPr>
                <w:sz w:val="19"/>
                <w:szCs w:val="19"/>
                <w:color w:val="auto"/>
              </w:rPr>
            </w:pP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143,866</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26,210</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72"/>
        </w:trPr>
        <w:tc>
          <w:tcPr>
            <w:tcW w:w="5020" w:type="dxa"/>
            <w:vAlign w:val="bottom"/>
          </w:tcPr>
          <w:p>
            <w:pPr>
              <w:spacing w:after="0"/>
              <w:rPr>
                <w:sz w:val="24"/>
                <w:szCs w:val="24"/>
                <w:color w:val="auto"/>
              </w:rPr>
            </w:pPr>
          </w:p>
        </w:tc>
        <w:tc>
          <w:tcPr>
            <w:tcW w:w="1220" w:type="dxa"/>
            <w:vAlign w:val="bottom"/>
          </w:tcPr>
          <w:p>
            <w:pPr>
              <w:jc w:val="right"/>
              <w:ind w:right="612"/>
              <w:spacing w:after="0"/>
              <w:rPr>
                <w:sz w:val="20"/>
                <w:szCs w:val="20"/>
                <w:color w:val="auto"/>
              </w:rPr>
            </w:pPr>
            <w:r>
              <w:rPr>
                <w:rFonts w:ascii="Arial" w:cs="Arial" w:eastAsia="Arial" w:hAnsi="Arial"/>
                <w:sz w:val="18"/>
                <w:szCs w:val="18"/>
                <w:color w:val="auto"/>
              </w:rPr>
              <w:t>3</w:t>
            </w:r>
          </w:p>
        </w:tc>
        <w:tc>
          <w:tcPr>
            <w:tcW w:w="7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024"/>
          </w:cols>
          <w:pgMar w:left="436" w:top="270" w:right="439" w:bottom="1440" w:gutter="0" w:footer="0" w:header="0"/>
        </w:sectPr>
      </w:pPr>
    </w:p>
    <w:bookmarkStart w:id="17" w:name="page18"/>
    <w:bookmarkEnd w:id="17"/>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p>
    <w:tbl>
      <w:tblPr>
        <w:tblLayout w:type="fixed"/>
        <w:tblInd w:w="4" w:type="dxa"/>
        <w:tblCellMar>
          <w:top w:w="0" w:type="dxa"/>
          <w:left w:w="0" w:type="dxa"/>
          <w:bottom w:w="0" w:type="dxa"/>
          <w:right w:w="0" w:type="dxa"/>
        </w:tblCellMar>
      </w:tblPr>
      <w:tr>
        <w:trPr>
          <w:trHeight w:val="161"/>
        </w:trPr>
        <w:tc>
          <w:tcPr>
            <w:tcW w:w="49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40" w:type="dxa"/>
            <w:vAlign w:val="bottom"/>
            <w:vMerge w:val="restart"/>
          </w:tcPr>
          <w:p>
            <w:pPr>
              <w:jc w:val="right"/>
              <w:ind w:right="191"/>
              <w:spacing w:after="0"/>
              <w:rPr>
                <w:sz w:val="20"/>
                <w:szCs w:val="20"/>
                <w:color w:val="auto"/>
              </w:rPr>
            </w:pPr>
            <w:r>
              <w:rPr>
                <w:rFonts w:ascii="Arial" w:cs="Arial" w:eastAsia="Arial" w:hAnsi="Arial"/>
                <w:sz w:val="14"/>
                <w:szCs w:val="14"/>
                <w:b w:val="1"/>
                <w:bCs w:val="1"/>
                <w:color w:val="auto"/>
              </w:rPr>
              <w:t>2020</w:t>
            </w:r>
          </w:p>
        </w:tc>
        <w:tc>
          <w:tcPr>
            <w:tcW w:w="4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700" w:type="dxa"/>
            <w:vAlign w:val="bottom"/>
            <w:gridSpan w:val="8"/>
          </w:tcPr>
          <w:p>
            <w:pPr>
              <w:jc w:val="right"/>
              <w:ind w:right="1100"/>
              <w:spacing w:after="0"/>
              <w:rPr>
                <w:sz w:val="20"/>
                <w:szCs w:val="20"/>
                <w:color w:val="auto"/>
              </w:rPr>
            </w:pPr>
            <w:r>
              <w:rPr>
                <w:rFonts w:ascii="Arial" w:cs="Arial" w:eastAsia="Arial" w:hAnsi="Arial"/>
                <w:sz w:val="14"/>
                <w:szCs w:val="14"/>
                <w:b w:val="1"/>
                <w:bCs w:val="1"/>
                <w:color w:val="auto"/>
              </w:rPr>
              <w:t>Fiscal Years Ended December 31,</w:t>
            </w:r>
          </w:p>
        </w:tc>
        <w:tc>
          <w:tcPr>
            <w:tcW w:w="100" w:type="dxa"/>
            <w:vAlign w:val="bottom"/>
          </w:tcPr>
          <w:p>
            <w:pPr>
              <w:spacing w:after="0"/>
              <w:rPr>
                <w:sz w:val="14"/>
                <w:szCs w:val="14"/>
                <w:color w:val="auto"/>
              </w:rPr>
            </w:pPr>
          </w:p>
        </w:tc>
        <w:tc>
          <w:tcPr>
            <w:tcW w:w="720" w:type="dxa"/>
            <w:vAlign w:val="bottom"/>
            <w:vMerge w:val="restart"/>
          </w:tcPr>
          <w:p>
            <w:pPr>
              <w:jc w:val="right"/>
              <w:ind w:right="171"/>
              <w:spacing w:after="0"/>
              <w:rPr>
                <w:sz w:val="20"/>
                <w:szCs w:val="20"/>
                <w:color w:val="auto"/>
              </w:rPr>
            </w:pPr>
            <w:r>
              <w:rPr>
                <w:rFonts w:ascii="Arial" w:cs="Arial" w:eastAsia="Arial" w:hAnsi="Arial"/>
                <w:sz w:val="14"/>
                <w:szCs w:val="14"/>
                <w:b w:val="1"/>
                <w:bCs w:val="1"/>
                <w:color w:val="auto"/>
              </w:rPr>
              <w:t>2016</w:t>
            </w:r>
          </w:p>
        </w:tc>
        <w:tc>
          <w:tcPr>
            <w:tcW w:w="2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490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vMerge w:val="continue"/>
          </w:tcPr>
          <w:p>
            <w:pPr>
              <w:spacing w:after="0"/>
              <w:rPr>
                <w:sz w:val="14"/>
                <w:szCs w:val="14"/>
                <w:color w:val="auto"/>
              </w:rPr>
            </w:pPr>
          </w:p>
        </w:tc>
        <w:tc>
          <w:tcPr>
            <w:tcW w:w="44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tcPr>
          <w:p>
            <w:pPr>
              <w:jc w:val="right"/>
              <w:ind w:right="171"/>
              <w:spacing w:after="0"/>
              <w:rPr>
                <w:sz w:val="20"/>
                <w:szCs w:val="20"/>
                <w:color w:val="auto"/>
              </w:rPr>
            </w:pPr>
            <w:r>
              <w:rPr>
                <w:rFonts w:ascii="Arial" w:cs="Arial" w:eastAsia="Arial" w:hAnsi="Arial"/>
                <w:sz w:val="14"/>
                <w:szCs w:val="14"/>
                <w:b w:val="1"/>
                <w:bCs w:val="1"/>
                <w:color w:val="auto"/>
              </w:rPr>
              <w:t>2019</w:t>
            </w:r>
          </w:p>
        </w:tc>
        <w:tc>
          <w:tcPr>
            <w:tcW w:w="44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jc w:val="right"/>
              <w:ind w:right="191"/>
              <w:spacing w:after="0"/>
              <w:rPr>
                <w:sz w:val="20"/>
                <w:szCs w:val="20"/>
                <w:color w:val="auto"/>
              </w:rPr>
            </w:pPr>
            <w:r>
              <w:rPr>
                <w:rFonts w:ascii="Arial" w:cs="Arial" w:eastAsia="Arial" w:hAnsi="Arial"/>
                <w:sz w:val="14"/>
                <w:szCs w:val="14"/>
                <w:b w:val="1"/>
                <w:bCs w:val="1"/>
                <w:color w:val="auto"/>
              </w:rPr>
              <w:t>2018</w:t>
            </w:r>
          </w:p>
        </w:tc>
        <w:tc>
          <w:tcPr>
            <w:tcW w:w="44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tcPr>
          <w:p>
            <w:pPr>
              <w:jc w:val="right"/>
              <w:ind w:right="171"/>
              <w:spacing w:after="0"/>
              <w:rPr>
                <w:sz w:val="20"/>
                <w:szCs w:val="20"/>
                <w:color w:val="auto"/>
              </w:rPr>
            </w:pPr>
            <w:r>
              <w:rPr>
                <w:rFonts w:ascii="Arial" w:cs="Arial" w:eastAsia="Arial" w:hAnsi="Arial"/>
                <w:sz w:val="14"/>
                <w:szCs w:val="14"/>
                <w:b w:val="1"/>
                <w:bCs w:val="1"/>
                <w:color w:val="auto"/>
              </w:rPr>
              <w:t>2017</w:t>
            </w:r>
          </w:p>
        </w:tc>
        <w:tc>
          <w:tcPr>
            <w:tcW w:w="44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vMerge w:val="continue"/>
          </w:tcPr>
          <w:p>
            <w:pPr>
              <w:spacing w:after="0"/>
              <w:rPr>
                <w:sz w:val="14"/>
                <w:szCs w:val="14"/>
                <w:color w:val="auto"/>
              </w:rPr>
            </w:pPr>
          </w:p>
        </w:tc>
        <w:tc>
          <w:tcPr>
            <w:tcW w:w="2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49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2980" w:type="dxa"/>
            <w:vAlign w:val="bottom"/>
            <w:gridSpan w:val="7"/>
          </w:tcPr>
          <w:p>
            <w:pPr>
              <w:jc w:val="right"/>
              <w:ind w:right="120"/>
              <w:spacing w:after="0" w:line="142" w:lineRule="exact"/>
              <w:rPr>
                <w:sz w:val="20"/>
                <w:szCs w:val="20"/>
                <w:color w:val="auto"/>
              </w:rPr>
            </w:pPr>
            <w:r>
              <w:rPr>
                <w:rFonts w:ascii="Arial" w:cs="Arial" w:eastAsia="Arial" w:hAnsi="Arial"/>
                <w:sz w:val="14"/>
                <w:szCs w:val="14"/>
                <w:b w:val="1"/>
                <w:bCs w:val="1"/>
                <w:color w:val="auto"/>
                <w:w w:val="94"/>
              </w:rPr>
              <w:t>(Dollars in thousands, except per share data)</w:t>
            </w:r>
          </w:p>
        </w:tc>
        <w:tc>
          <w:tcPr>
            <w:tcW w:w="10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Other (expense) income:</w:t>
            </w: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900" w:type="dxa"/>
            <w:vAlign w:val="bottom"/>
          </w:tcPr>
          <w:p>
            <w:pPr>
              <w:ind w:left="360"/>
              <w:spacing w:after="0"/>
              <w:rPr>
                <w:sz w:val="20"/>
                <w:szCs w:val="20"/>
                <w:color w:val="auto"/>
              </w:rPr>
            </w:pPr>
            <w:r>
              <w:rPr>
                <w:rFonts w:ascii="Arial" w:cs="Arial" w:eastAsia="Arial" w:hAnsi="Arial"/>
                <w:sz w:val="18"/>
                <w:szCs w:val="18"/>
                <w:color w:val="auto"/>
              </w:rPr>
              <w:t>Interest expense</w:t>
            </w:r>
          </w:p>
        </w:tc>
        <w:tc>
          <w:tcPr>
            <w:tcW w:w="100" w:type="dxa"/>
            <w:vAlign w:val="bottom"/>
          </w:tcPr>
          <w:p>
            <w:pPr>
              <w:spacing w:after="0"/>
              <w:rPr>
                <w:sz w:val="18"/>
                <w:szCs w:val="18"/>
                <w:color w:val="auto"/>
              </w:rPr>
            </w:pPr>
          </w:p>
        </w:tc>
        <w:tc>
          <w:tcPr>
            <w:tcW w:w="1180" w:type="dxa"/>
            <w:vAlign w:val="bottom"/>
            <w:gridSpan w:val="2"/>
          </w:tcPr>
          <w:p>
            <w:pPr>
              <w:jc w:val="right"/>
              <w:ind w:right="380"/>
              <w:spacing w:after="0"/>
              <w:rPr>
                <w:sz w:val="20"/>
                <w:szCs w:val="20"/>
                <w:color w:val="auto"/>
              </w:rPr>
            </w:pPr>
            <w:r>
              <w:rPr>
                <w:rFonts w:ascii="Arial" w:cs="Arial" w:eastAsia="Arial" w:hAnsi="Arial"/>
                <w:sz w:val="18"/>
                <w:szCs w:val="18"/>
                <w:color w:val="auto"/>
              </w:rPr>
              <w:t>(123,230)</w:t>
            </w:r>
          </w:p>
        </w:tc>
        <w:tc>
          <w:tcPr>
            <w:tcW w:w="100" w:type="dxa"/>
            <w:vAlign w:val="bottom"/>
          </w:tcPr>
          <w:p>
            <w:pPr>
              <w:spacing w:after="0"/>
              <w:rPr>
                <w:sz w:val="18"/>
                <w:szCs w:val="18"/>
                <w:color w:val="auto"/>
              </w:rPr>
            </w:pPr>
          </w:p>
        </w:tc>
        <w:tc>
          <w:tcPr>
            <w:tcW w:w="1160" w:type="dxa"/>
            <w:vAlign w:val="bottom"/>
            <w:gridSpan w:val="2"/>
          </w:tcPr>
          <w:p>
            <w:pPr>
              <w:jc w:val="right"/>
              <w:ind w:right="308"/>
              <w:spacing w:after="0"/>
              <w:rPr>
                <w:sz w:val="20"/>
                <w:szCs w:val="20"/>
                <w:color w:val="auto"/>
              </w:rPr>
            </w:pPr>
            <w:r>
              <w:rPr>
                <w:rFonts w:ascii="Arial" w:cs="Arial" w:eastAsia="Arial" w:hAnsi="Arial"/>
                <w:sz w:val="18"/>
                <w:szCs w:val="18"/>
                <w:color w:val="auto"/>
                <w:w w:val="98"/>
              </w:rPr>
              <w:t>(153,185)</w:t>
            </w:r>
          </w:p>
        </w:tc>
        <w:tc>
          <w:tcPr>
            <w:tcW w:w="100" w:type="dxa"/>
            <w:vAlign w:val="bottom"/>
          </w:tcPr>
          <w:p>
            <w:pPr>
              <w:spacing w:after="0"/>
              <w:rPr>
                <w:sz w:val="18"/>
                <w:szCs w:val="18"/>
                <w:color w:val="auto"/>
              </w:rPr>
            </w:pPr>
          </w:p>
        </w:tc>
        <w:tc>
          <w:tcPr>
            <w:tcW w:w="1180" w:type="dxa"/>
            <w:vAlign w:val="bottom"/>
            <w:gridSpan w:val="2"/>
          </w:tcPr>
          <w:p>
            <w:pPr>
              <w:jc w:val="right"/>
              <w:ind w:right="380"/>
              <w:spacing w:after="0"/>
              <w:rPr>
                <w:sz w:val="20"/>
                <w:szCs w:val="20"/>
                <w:color w:val="auto"/>
              </w:rPr>
            </w:pPr>
            <w:r>
              <w:rPr>
                <w:rFonts w:ascii="Arial" w:cs="Arial" w:eastAsia="Arial" w:hAnsi="Arial"/>
                <w:sz w:val="18"/>
                <w:szCs w:val="18"/>
                <w:color w:val="auto"/>
              </w:rPr>
              <w:t>(138,427)</w:t>
            </w:r>
          </w:p>
        </w:tc>
        <w:tc>
          <w:tcPr>
            <w:tcW w:w="100" w:type="dxa"/>
            <w:vAlign w:val="bottom"/>
          </w:tcPr>
          <w:p>
            <w:pPr>
              <w:spacing w:after="0"/>
              <w:rPr>
                <w:sz w:val="18"/>
                <w:szCs w:val="18"/>
                <w:color w:val="auto"/>
              </w:rPr>
            </w:pPr>
          </w:p>
        </w:tc>
        <w:tc>
          <w:tcPr>
            <w:tcW w:w="1160" w:type="dxa"/>
            <w:vAlign w:val="bottom"/>
            <w:gridSpan w:val="2"/>
          </w:tcPr>
          <w:p>
            <w:pPr>
              <w:jc w:val="right"/>
              <w:ind w:right="380"/>
              <w:spacing w:after="0"/>
              <w:rPr>
                <w:sz w:val="20"/>
                <w:szCs w:val="20"/>
                <w:color w:val="auto"/>
              </w:rPr>
            </w:pPr>
            <w:r>
              <w:rPr>
                <w:rFonts w:ascii="Arial" w:cs="Arial" w:eastAsia="Arial" w:hAnsi="Arial"/>
                <w:sz w:val="18"/>
                <w:szCs w:val="18"/>
                <w:color w:val="auto"/>
                <w:w w:val="98"/>
              </w:rPr>
              <w:t>(117,475)</w:t>
            </w:r>
          </w:p>
        </w:tc>
        <w:tc>
          <w:tcPr>
            <w:tcW w:w="100" w:type="dxa"/>
            <w:vAlign w:val="bottom"/>
          </w:tcPr>
          <w:p>
            <w:pPr>
              <w:spacing w:after="0"/>
              <w:rPr>
                <w:sz w:val="18"/>
                <w:szCs w:val="18"/>
                <w:color w:val="auto"/>
              </w:rPr>
            </w:pP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(85,215)</w:t>
            </w:r>
          </w:p>
        </w:tc>
        <w:tc>
          <w:tcPr>
            <w:tcW w:w="0" w:type="dxa"/>
            <w:vAlign w:val="bottom"/>
          </w:tcPr>
          <w:p>
            <w:pPr>
              <w:spacing w:after="0"/>
              <w:rPr>
                <w:sz w:val="1"/>
                <w:szCs w:val="1"/>
                <w:color w:val="auto"/>
              </w:rPr>
            </w:pPr>
          </w:p>
        </w:tc>
      </w:tr>
      <w:tr>
        <w:trPr>
          <w:trHeight w:val="202"/>
        </w:trPr>
        <w:tc>
          <w:tcPr>
            <w:tcW w:w="4900" w:type="dxa"/>
            <w:vAlign w:val="bottom"/>
            <w:shd w:val="clear" w:color="auto" w:fill="CCEEFF"/>
          </w:tcPr>
          <w:p>
            <w:pPr>
              <w:ind w:left="360"/>
              <w:spacing w:after="0" w:line="201" w:lineRule="exact"/>
              <w:rPr>
                <w:sz w:val="20"/>
                <w:szCs w:val="20"/>
                <w:color w:val="auto"/>
              </w:rPr>
            </w:pPr>
            <w:r>
              <w:rPr>
                <w:rFonts w:ascii="Arial" w:cs="Arial" w:eastAsia="Arial" w:hAnsi="Arial"/>
                <w:sz w:val="18"/>
                <w:szCs w:val="18"/>
                <w:color w:val="auto"/>
              </w:rPr>
              <w:t>Write-off of unamortized deferred debt issuance</w:t>
            </w:r>
          </w:p>
        </w:tc>
        <w:tc>
          <w:tcPr>
            <w:tcW w:w="10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44"/>
        </w:trPr>
        <w:tc>
          <w:tcPr>
            <w:tcW w:w="49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costs and bond discounts</w:t>
            </w:r>
          </w:p>
        </w:tc>
        <w:tc>
          <w:tcPr>
            <w:tcW w:w="100" w:type="dxa"/>
            <w:vAlign w:val="bottom"/>
            <w:shd w:val="clear" w:color="auto" w:fill="CCEEFF"/>
          </w:tcPr>
          <w:p>
            <w:pPr>
              <w:spacing w:after="0"/>
              <w:rPr>
                <w:sz w:val="21"/>
                <w:szCs w:val="21"/>
                <w:color w:val="auto"/>
              </w:rPr>
            </w:pPr>
          </w:p>
        </w:tc>
        <w:tc>
          <w:tcPr>
            <w:tcW w:w="11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(8,750)</w:t>
            </w:r>
          </w:p>
        </w:tc>
        <w:tc>
          <w:tcPr>
            <w:tcW w:w="100" w:type="dxa"/>
            <w:vAlign w:val="bottom"/>
            <w:shd w:val="clear" w:color="auto" w:fill="CCEEFF"/>
          </w:tcPr>
          <w:p>
            <w:pPr>
              <w:spacing w:after="0"/>
              <w:rPr>
                <w:sz w:val="21"/>
                <w:szCs w:val="21"/>
                <w:color w:val="auto"/>
              </w:rPr>
            </w:pPr>
          </w:p>
        </w:tc>
        <w:tc>
          <w:tcPr>
            <w:tcW w:w="1160" w:type="dxa"/>
            <w:vAlign w:val="bottom"/>
            <w:gridSpan w:val="2"/>
            <w:shd w:val="clear" w:color="auto" w:fill="CCEEFF"/>
          </w:tcPr>
          <w:p>
            <w:pPr>
              <w:jc w:val="right"/>
              <w:ind w:right="448"/>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21"/>
                <w:szCs w:val="21"/>
                <w:color w:val="auto"/>
              </w:rPr>
            </w:pPr>
          </w:p>
        </w:tc>
        <w:tc>
          <w:tcPr>
            <w:tcW w:w="11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(881)</w:t>
            </w:r>
          </w:p>
        </w:tc>
        <w:tc>
          <w:tcPr>
            <w:tcW w:w="100" w:type="dxa"/>
            <w:vAlign w:val="bottom"/>
            <w:shd w:val="clear" w:color="auto" w:fill="CCEEFF"/>
          </w:tcPr>
          <w:p>
            <w:pPr>
              <w:spacing w:after="0"/>
              <w:rPr>
                <w:sz w:val="21"/>
                <w:szCs w:val="21"/>
                <w:color w:val="auto"/>
              </w:rPr>
            </w:pPr>
          </w:p>
        </w:tc>
        <w:tc>
          <w:tcPr>
            <w:tcW w:w="116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(7,550)</w:t>
            </w:r>
          </w:p>
        </w:tc>
        <w:tc>
          <w:tcPr>
            <w:tcW w:w="100" w:type="dxa"/>
            <w:vAlign w:val="bottom"/>
            <w:shd w:val="clear" w:color="auto" w:fill="CCEEFF"/>
          </w:tcPr>
          <w:p>
            <w:pPr>
              <w:spacing w:after="0"/>
              <w:rPr>
                <w:sz w:val="21"/>
                <w:szCs w:val="21"/>
                <w:color w:val="auto"/>
              </w:rPr>
            </w:pPr>
          </w:p>
        </w:tc>
        <w:tc>
          <w:tcPr>
            <w:tcW w:w="94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900" w:type="dxa"/>
            <w:vAlign w:val="bottom"/>
          </w:tcPr>
          <w:p>
            <w:pPr>
              <w:ind w:left="360"/>
              <w:spacing w:after="0"/>
              <w:rPr>
                <w:sz w:val="20"/>
                <w:szCs w:val="20"/>
                <w:color w:val="auto"/>
              </w:rPr>
            </w:pPr>
            <w:r>
              <w:rPr>
                <w:rFonts w:ascii="Arial" w:cs="Arial" w:eastAsia="Arial" w:hAnsi="Arial"/>
                <w:sz w:val="18"/>
                <w:szCs w:val="18"/>
                <w:color w:val="auto"/>
              </w:rPr>
              <w:t>Interest income</w:t>
            </w:r>
          </w:p>
        </w:tc>
        <w:tc>
          <w:tcPr>
            <w:tcW w:w="100" w:type="dxa"/>
            <w:vAlign w:val="bottom"/>
          </w:tcPr>
          <w:p>
            <w:pPr>
              <w:spacing w:after="0"/>
              <w:rPr>
                <w:sz w:val="18"/>
                <w:szCs w:val="18"/>
                <w:color w:val="auto"/>
              </w:rPr>
            </w:pP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rPr>
              <w:t>531</w:t>
            </w:r>
          </w:p>
        </w:tc>
        <w:tc>
          <w:tcPr>
            <w:tcW w:w="100" w:type="dxa"/>
            <w:vAlign w:val="bottom"/>
          </w:tcPr>
          <w:p>
            <w:pPr>
              <w:spacing w:after="0"/>
              <w:rPr>
                <w:sz w:val="18"/>
                <w:szCs w:val="18"/>
                <w:color w:val="auto"/>
              </w:rPr>
            </w:pPr>
          </w:p>
        </w:tc>
        <w:tc>
          <w:tcPr>
            <w:tcW w:w="1160" w:type="dxa"/>
            <w:vAlign w:val="bottom"/>
            <w:gridSpan w:val="2"/>
          </w:tcPr>
          <w:p>
            <w:pPr>
              <w:jc w:val="right"/>
              <w:ind w:right="368"/>
              <w:spacing w:after="0"/>
              <w:rPr>
                <w:sz w:val="20"/>
                <w:szCs w:val="20"/>
                <w:color w:val="auto"/>
              </w:rPr>
            </w:pPr>
            <w:r>
              <w:rPr>
                <w:rFonts w:ascii="Arial" w:cs="Arial" w:eastAsia="Arial" w:hAnsi="Arial"/>
                <w:sz w:val="18"/>
                <w:szCs w:val="18"/>
                <w:color w:val="auto"/>
              </w:rPr>
              <w:t>2,505</w:t>
            </w:r>
          </w:p>
        </w:tc>
        <w:tc>
          <w:tcPr>
            <w:tcW w:w="100" w:type="dxa"/>
            <w:vAlign w:val="bottom"/>
          </w:tcPr>
          <w:p>
            <w:pPr>
              <w:spacing w:after="0"/>
              <w:rPr>
                <w:sz w:val="18"/>
                <w:szCs w:val="18"/>
                <w:color w:val="auto"/>
              </w:rPr>
            </w:pP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rPr>
              <w:t>1,709</w:t>
            </w:r>
          </w:p>
        </w:tc>
        <w:tc>
          <w:tcPr>
            <w:tcW w:w="100" w:type="dxa"/>
            <w:vAlign w:val="bottom"/>
          </w:tcPr>
          <w:p>
            <w:pPr>
              <w:spacing w:after="0"/>
              <w:rPr>
                <w:sz w:val="18"/>
                <w:szCs w:val="18"/>
                <w:color w:val="auto"/>
              </w:rPr>
            </w:pPr>
          </w:p>
        </w:tc>
        <w:tc>
          <w:tcPr>
            <w:tcW w:w="1160" w:type="dxa"/>
            <w:vAlign w:val="bottom"/>
            <w:gridSpan w:val="2"/>
          </w:tcPr>
          <w:p>
            <w:pPr>
              <w:jc w:val="right"/>
              <w:ind w:right="440"/>
              <w:spacing w:after="0"/>
              <w:rPr>
                <w:sz w:val="20"/>
                <w:szCs w:val="20"/>
                <w:color w:val="auto"/>
              </w:rPr>
            </w:pPr>
            <w:r>
              <w:rPr>
                <w:rFonts w:ascii="Arial" w:cs="Arial" w:eastAsia="Arial" w:hAnsi="Arial"/>
                <w:sz w:val="18"/>
                <w:szCs w:val="18"/>
                <w:color w:val="auto"/>
              </w:rPr>
              <w:t>613</w:t>
            </w:r>
          </w:p>
        </w:tc>
        <w:tc>
          <w:tcPr>
            <w:tcW w:w="100" w:type="dxa"/>
            <w:vAlign w:val="bottom"/>
          </w:tcPr>
          <w:p>
            <w:pPr>
              <w:spacing w:after="0"/>
              <w:rPr>
                <w:sz w:val="18"/>
                <w:szCs w:val="18"/>
                <w:color w:val="auto"/>
              </w:rPr>
            </w:pPr>
          </w:p>
        </w:tc>
        <w:tc>
          <w:tcPr>
            <w:tcW w:w="940" w:type="dxa"/>
            <w:vAlign w:val="bottom"/>
            <w:gridSpan w:val="2"/>
          </w:tcPr>
          <w:p>
            <w:pPr>
              <w:jc w:val="right"/>
              <w:ind w:right="220"/>
              <w:spacing w:after="0"/>
              <w:rPr>
                <w:sz w:val="20"/>
                <w:szCs w:val="20"/>
                <w:color w:val="auto"/>
              </w:rPr>
            </w:pPr>
            <w:r>
              <w:rPr>
                <w:rFonts w:ascii="Arial" w:cs="Arial" w:eastAsia="Arial" w:hAnsi="Arial"/>
                <w:sz w:val="18"/>
                <w:szCs w:val="18"/>
                <w:color w:val="auto"/>
              </w:rPr>
              <w:t>408</w:t>
            </w: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Realized (loss) gain on derivative instruments, net</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(12,295)</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368"/>
              <w:spacing w:after="0"/>
              <w:rPr>
                <w:sz w:val="20"/>
                <w:szCs w:val="20"/>
                <w:color w:val="auto"/>
              </w:rPr>
            </w:pPr>
            <w:r>
              <w:rPr>
                <w:rFonts w:ascii="Arial" w:cs="Arial" w:eastAsia="Arial" w:hAnsi="Arial"/>
                <w:sz w:val="18"/>
                <w:szCs w:val="18"/>
                <w:color w:val="auto"/>
              </w:rPr>
              <w:t>1,946</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5,238</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(1,191)</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(8,928)</w:t>
            </w:r>
          </w:p>
        </w:tc>
        <w:tc>
          <w:tcPr>
            <w:tcW w:w="0" w:type="dxa"/>
            <w:vAlign w:val="bottom"/>
          </w:tcPr>
          <w:p>
            <w:pPr>
              <w:spacing w:after="0"/>
              <w:rPr>
                <w:sz w:val="1"/>
                <w:szCs w:val="1"/>
                <w:color w:val="auto"/>
              </w:rPr>
            </w:pPr>
          </w:p>
        </w:tc>
      </w:tr>
      <w:tr>
        <w:trPr>
          <w:trHeight w:val="216"/>
        </w:trPr>
        <w:tc>
          <w:tcPr>
            <w:tcW w:w="4900" w:type="dxa"/>
            <w:vAlign w:val="bottom"/>
          </w:tcPr>
          <w:p>
            <w:pPr>
              <w:ind w:left="360"/>
              <w:spacing w:after="0"/>
              <w:rPr>
                <w:sz w:val="20"/>
                <w:szCs w:val="20"/>
                <w:color w:val="auto"/>
              </w:rPr>
            </w:pPr>
            <w:r>
              <w:rPr>
                <w:rFonts w:ascii="Arial" w:cs="Arial" w:eastAsia="Arial" w:hAnsi="Arial"/>
                <w:sz w:val="18"/>
                <w:szCs w:val="18"/>
                <w:color w:val="auto"/>
              </w:rPr>
              <w:t>Unrealized (loss) gain on derivative instruments, net</w:t>
            </w:r>
          </w:p>
        </w:tc>
        <w:tc>
          <w:tcPr>
            <w:tcW w:w="100" w:type="dxa"/>
            <w:vAlign w:val="bottom"/>
          </w:tcPr>
          <w:p>
            <w:pPr>
              <w:spacing w:after="0"/>
              <w:rPr>
                <w:sz w:val="18"/>
                <w:szCs w:val="18"/>
                <w:color w:val="auto"/>
              </w:rPr>
            </w:pPr>
          </w:p>
        </w:tc>
        <w:tc>
          <w:tcPr>
            <w:tcW w:w="1180" w:type="dxa"/>
            <w:vAlign w:val="bottom"/>
            <w:gridSpan w:val="2"/>
          </w:tcPr>
          <w:p>
            <w:pPr>
              <w:jc w:val="right"/>
              <w:ind w:right="380"/>
              <w:spacing w:after="0"/>
              <w:rPr>
                <w:sz w:val="20"/>
                <w:szCs w:val="20"/>
                <w:color w:val="auto"/>
              </w:rPr>
            </w:pPr>
            <w:r>
              <w:rPr>
                <w:rFonts w:ascii="Arial" w:cs="Arial" w:eastAsia="Arial" w:hAnsi="Arial"/>
                <w:sz w:val="18"/>
                <w:szCs w:val="18"/>
                <w:color w:val="auto"/>
              </w:rPr>
              <w:t>(6,044)</w:t>
            </w:r>
          </w:p>
        </w:tc>
        <w:tc>
          <w:tcPr>
            <w:tcW w:w="100" w:type="dxa"/>
            <w:vAlign w:val="bottom"/>
          </w:tcPr>
          <w:p>
            <w:pPr>
              <w:spacing w:after="0"/>
              <w:rPr>
                <w:sz w:val="18"/>
                <w:szCs w:val="18"/>
                <w:color w:val="auto"/>
              </w:rPr>
            </w:pPr>
          </w:p>
        </w:tc>
        <w:tc>
          <w:tcPr>
            <w:tcW w:w="1160" w:type="dxa"/>
            <w:vAlign w:val="bottom"/>
            <w:gridSpan w:val="2"/>
          </w:tcPr>
          <w:p>
            <w:pPr>
              <w:jc w:val="right"/>
              <w:ind w:right="308"/>
              <w:spacing w:after="0"/>
              <w:rPr>
                <w:sz w:val="20"/>
                <w:szCs w:val="20"/>
                <w:color w:val="auto"/>
              </w:rPr>
            </w:pPr>
            <w:r>
              <w:rPr>
                <w:rFonts w:ascii="Arial" w:cs="Arial" w:eastAsia="Arial" w:hAnsi="Arial"/>
                <w:sz w:val="18"/>
                <w:szCs w:val="18"/>
                <w:color w:val="auto"/>
              </w:rPr>
              <w:t>(15,442)</w:t>
            </w:r>
          </w:p>
        </w:tc>
        <w:tc>
          <w:tcPr>
            <w:tcW w:w="100" w:type="dxa"/>
            <w:vAlign w:val="bottom"/>
          </w:tcPr>
          <w:p>
            <w:pPr>
              <w:spacing w:after="0"/>
              <w:rPr>
                <w:sz w:val="18"/>
                <w:szCs w:val="18"/>
                <w:color w:val="auto"/>
              </w:rPr>
            </w:pPr>
          </w:p>
        </w:tc>
        <w:tc>
          <w:tcPr>
            <w:tcW w:w="1180" w:type="dxa"/>
            <w:vAlign w:val="bottom"/>
            <w:gridSpan w:val="2"/>
          </w:tcPr>
          <w:p>
            <w:pPr>
              <w:jc w:val="right"/>
              <w:ind w:right="380"/>
              <w:spacing w:after="0"/>
              <w:rPr>
                <w:sz w:val="20"/>
                <w:szCs w:val="20"/>
                <w:color w:val="auto"/>
              </w:rPr>
            </w:pPr>
            <w:r>
              <w:rPr>
                <w:rFonts w:ascii="Arial" w:cs="Arial" w:eastAsia="Arial" w:hAnsi="Arial"/>
                <w:sz w:val="18"/>
                <w:szCs w:val="18"/>
                <w:color w:val="auto"/>
              </w:rPr>
              <w:t>(5,790)</w:t>
            </w:r>
          </w:p>
        </w:tc>
        <w:tc>
          <w:tcPr>
            <w:tcW w:w="100" w:type="dxa"/>
            <w:vAlign w:val="bottom"/>
          </w:tcPr>
          <w:p>
            <w:pPr>
              <w:spacing w:after="0"/>
              <w:rPr>
                <w:sz w:val="18"/>
                <w:szCs w:val="18"/>
                <w:color w:val="auto"/>
              </w:rPr>
            </w:pPr>
          </w:p>
        </w:tc>
        <w:tc>
          <w:tcPr>
            <w:tcW w:w="1160" w:type="dxa"/>
            <w:vAlign w:val="bottom"/>
            <w:gridSpan w:val="2"/>
          </w:tcPr>
          <w:p>
            <w:pPr>
              <w:jc w:val="right"/>
              <w:ind w:right="440"/>
              <w:spacing w:after="0"/>
              <w:rPr>
                <w:sz w:val="20"/>
                <w:szCs w:val="20"/>
                <w:color w:val="auto"/>
              </w:rPr>
            </w:pPr>
            <w:r>
              <w:rPr>
                <w:rFonts w:ascii="Arial" w:cs="Arial" w:eastAsia="Arial" w:hAnsi="Arial"/>
                <w:sz w:val="18"/>
                <w:szCs w:val="18"/>
                <w:color w:val="auto"/>
              </w:rPr>
              <w:t>4,094</w:t>
            </w:r>
          </w:p>
        </w:tc>
        <w:tc>
          <w:tcPr>
            <w:tcW w:w="100" w:type="dxa"/>
            <w:vAlign w:val="bottom"/>
          </w:tcPr>
          <w:p>
            <w:pPr>
              <w:spacing w:after="0"/>
              <w:rPr>
                <w:sz w:val="18"/>
                <w:szCs w:val="18"/>
                <w:color w:val="auto"/>
              </w:rPr>
            </w:pPr>
          </w:p>
        </w:tc>
        <w:tc>
          <w:tcPr>
            <w:tcW w:w="940" w:type="dxa"/>
            <w:vAlign w:val="bottom"/>
            <w:gridSpan w:val="2"/>
          </w:tcPr>
          <w:p>
            <w:pPr>
              <w:jc w:val="right"/>
              <w:ind w:right="220"/>
              <w:spacing w:after="0"/>
              <w:rPr>
                <w:sz w:val="20"/>
                <w:szCs w:val="20"/>
                <w:color w:val="auto"/>
              </w:rPr>
            </w:pPr>
            <w:r>
              <w:rPr>
                <w:rFonts w:ascii="Arial" w:cs="Arial" w:eastAsia="Arial" w:hAnsi="Arial"/>
                <w:sz w:val="18"/>
                <w:szCs w:val="18"/>
                <w:color w:val="auto"/>
              </w:rPr>
              <w:t>6,210</w:t>
            </w: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Other, net</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1,488</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308"/>
              <w:spacing w:after="0"/>
              <w:rPr>
                <w:sz w:val="20"/>
                <w:szCs w:val="20"/>
                <w:color w:val="auto"/>
              </w:rPr>
            </w:pPr>
            <w:r>
              <w:rPr>
                <w:rFonts w:ascii="Arial" w:cs="Arial" w:eastAsia="Arial" w:hAnsi="Arial"/>
                <w:sz w:val="18"/>
                <w:szCs w:val="18"/>
                <w:color w:val="auto"/>
              </w:rPr>
              <w:t>(4)</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3</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w:t>
            </w:r>
          </w:p>
        </w:tc>
        <w:tc>
          <w:tcPr>
            <w:tcW w:w="0" w:type="dxa"/>
            <w:vAlign w:val="bottom"/>
          </w:tcPr>
          <w:p>
            <w:pPr>
              <w:spacing w:after="0"/>
              <w:rPr>
                <w:sz w:val="1"/>
                <w:szCs w:val="1"/>
                <w:color w:val="auto"/>
              </w:rPr>
            </w:pPr>
          </w:p>
        </w:tc>
      </w:tr>
      <w:tr>
        <w:trPr>
          <w:trHeight w:val="230"/>
        </w:trPr>
        <w:tc>
          <w:tcPr>
            <w:tcW w:w="4900" w:type="dxa"/>
            <w:vAlign w:val="bottom"/>
          </w:tcPr>
          <w:p>
            <w:pPr>
              <w:ind w:left="360"/>
              <w:spacing w:after="0"/>
              <w:rPr>
                <w:sz w:val="20"/>
                <w:szCs w:val="20"/>
                <w:color w:val="auto"/>
              </w:rPr>
            </w:pPr>
            <w:r>
              <w:rPr>
                <w:rFonts w:ascii="Arial" w:cs="Arial" w:eastAsia="Arial" w:hAnsi="Arial"/>
                <w:sz w:val="18"/>
                <w:szCs w:val="18"/>
                <w:color w:val="auto"/>
              </w:rPr>
              <w:t>Net other expense</w:t>
            </w:r>
          </w:p>
        </w:tc>
        <w:tc>
          <w:tcPr>
            <w:tcW w:w="100" w:type="dxa"/>
            <w:vAlign w:val="bottom"/>
            <w:tcBorders>
              <w:top w:val="single" w:sz="8" w:color="auto"/>
              <w:bottom w:val="single" w:sz="8" w:color="auto"/>
            </w:tcBorders>
          </w:tcPr>
          <w:p>
            <w:pPr>
              <w:spacing w:after="0"/>
              <w:rPr>
                <w:sz w:val="20"/>
                <w:szCs w:val="20"/>
                <w:color w:val="auto"/>
              </w:rPr>
            </w:pP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3"/>
              </w:rPr>
              <w:t>(148,300)</w:t>
            </w:r>
          </w:p>
        </w:tc>
        <w:tc>
          <w:tcPr>
            <w:tcW w:w="4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0"/>
              </w:rPr>
              <w:t>(164,180)</w:t>
            </w:r>
          </w:p>
        </w:tc>
        <w:tc>
          <w:tcPr>
            <w:tcW w:w="4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3"/>
              </w:rPr>
              <w:t>(138,151)</w:t>
            </w:r>
          </w:p>
        </w:tc>
        <w:tc>
          <w:tcPr>
            <w:tcW w:w="4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0"/>
              </w:rPr>
              <w:t>(121,506)</w:t>
            </w:r>
          </w:p>
        </w:tc>
        <w:tc>
          <w:tcPr>
            <w:tcW w:w="4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(87,533)</w:t>
            </w:r>
          </w:p>
        </w:tc>
        <w:tc>
          <w:tcPr>
            <w:tcW w:w="2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Income (loss) before income tax and noncontrolling interest</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73,299</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368"/>
              <w:spacing w:after="0"/>
              <w:rPr>
                <w:sz w:val="20"/>
                <w:szCs w:val="20"/>
                <w:color w:val="auto"/>
              </w:rPr>
            </w:pPr>
            <w:r>
              <w:rPr>
                <w:rFonts w:ascii="Arial" w:cs="Arial" w:eastAsia="Arial" w:hAnsi="Arial"/>
                <w:sz w:val="18"/>
                <w:szCs w:val="18"/>
                <w:color w:val="auto"/>
              </w:rPr>
              <w:t>58,504</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56,275</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22,360</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(61,323)</w:t>
            </w:r>
          </w:p>
        </w:tc>
        <w:tc>
          <w:tcPr>
            <w:tcW w:w="0" w:type="dxa"/>
            <w:vAlign w:val="bottom"/>
          </w:tcPr>
          <w:p>
            <w:pPr>
              <w:spacing w:after="0"/>
              <w:rPr>
                <w:sz w:val="1"/>
                <w:szCs w:val="1"/>
                <w:color w:val="auto"/>
              </w:rPr>
            </w:pPr>
          </w:p>
        </w:tc>
      </w:tr>
      <w:tr>
        <w:trPr>
          <w:trHeight w:val="216"/>
        </w:trPr>
        <w:tc>
          <w:tcPr>
            <w:tcW w:w="4900" w:type="dxa"/>
            <w:vAlign w:val="bottom"/>
          </w:tcPr>
          <w:p>
            <w:pPr>
              <w:spacing w:after="0"/>
              <w:rPr>
                <w:sz w:val="20"/>
                <w:szCs w:val="20"/>
                <w:color w:val="auto"/>
              </w:rPr>
            </w:pPr>
            <w:r>
              <w:rPr>
                <w:rFonts w:ascii="Arial" w:cs="Arial" w:eastAsia="Arial" w:hAnsi="Arial"/>
                <w:sz w:val="18"/>
                <w:szCs w:val="18"/>
                <w:color w:val="auto"/>
              </w:rPr>
              <w:t>Income tax benefit (expense)</w:t>
            </w:r>
          </w:p>
        </w:tc>
        <w:tc>
          <w:tcPr>
            <w:tcW w:w="10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374</w:t>
            </w:r>
          </w:p>
        </w:tc>
        <w:tc>
          <w:tcPr>
            <w:tcW w:w="4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60" w:type="dxa"/>
            <w:vAlign w:val="bottom"/>
            <w:gridSpan w:val="2"/>
          </w:tcPr>
          <w:p>
            <w:pPr>
              <w:jc w:val="right"/>
              <w:ind w:right="308"/>
              <w:spacing w:after="0"/>
              <w:rPr>
                <w:sz w:val="20"/>
                <w:szCs w:val="20"/>
                <w:color w:val="auto"/>
              </w:rPr>
            </w:pPr>
            <w:r>
              <w:rPr>
                <w:rFonts w:ascii="Arial" w:cs="Arial" w:eastAsia="Arial" w:hAnsi="Arial"/>
                <w:sz w:val="18"/>
                <w:szCs w:val="18"/>
                <w:color w:val="auto"/>
              </w:rPr>
              <w:t>(1,948)</w:t>
            </w:r>
          </w:p>
        </w:tc>
        <w:tc>
          <w:tcPr>
            <w:tcW w:w="100" w:type="dxa"/>
            <w:vAlign w:val="bottom"/>
          </w:tcPr>
          <w:p>
            <w:pPr>
              <w:spacing w:after="0"/>
              <w:rPr>
                <w:sz w:val="18"/>
                <w:szCs w:val="18"/>
                <w:color w:val="auto"/>
              </w:rPr>
            </w:pPr>
          </w:p>
        </w:tc>
        <w:tc>
          <w:tcPr>
            <w:tcW w:w="1180" w:type="dxa"/>
            <w:vAlign w:val="bottom"/>
            <w:gridSpan w:val="2"/>
          </w:tcPr>
          <w:p>
            <w:pPr>
              <w:jc w:val="right"/>
              <w:ind w:right="380"/>
              <w:spacing w:after="0"/>
              <w:rPr>
                <w:sz w:val="20"/>
                <w:szCs w:val="20"/>
                <w:color w:val="auto"/>
              </w:rPr>
            </w:pPr>
            <w:r>
              <w:rPr>
                <w:rFonts w:ascii="Arial" w:cs="Arial" w:eastAsia="Arial" w:hAnsi="Arial"/>
                <w:sz w:val="18"/>
                <w:szCs w:val="18"/>
                <w:color w:val="auto"/>
              </w:rPr>
              <w:t>(2,025)</w:t>
            </w:r>
          </w:p>
        </w:tc>
        <w:tc>
          <w:tcPr>
            <w:tcW w:w="100" w:type="dxa"/>
            <w:vAlign w:val="bottom"/>
          </w:tcPr>
          <w:p>
            <w:pPr>
              <w:spacing w:after="0"/>
              <w:rPr>
                <w:sz w:val="18"/>
                <w:szCs w:val="18"/>
                <w:color w:val="auto"/>
              </w:rPr>
            </w:pPr>
          </w:p>
        </w:tc>
        <w:tc>
          <w:tcPr>
            <w:tcW w:w="1160" w:type="dxa"/>
            <w:vAlign w:val="bottom"/>
            <w:gridSpan w:val="2"/>
          </w:tcPr>
          <w:p>
            <w:pPr>
              <w:jc w:val="right"/>
              <w:ind w:right="380"/>
              <w:spacing w:after="0"/>
              <w:rPr>
                <w:sz w:val="20"/>
                <w:szCs w:val="20"/>
                <w:color w:val="auto"/>
              </w:rPr>
            </w:pPr>
            <w:r>
              <w:rPr>
                <w:rFonts w:ascii="Arial" w:cs="Arial" w:eastAsia="Arial" w:hAnsi="Arial"/>
                <w:sz w:val="18"/>
                <w:szCs w:val="18"/>
                <w:color w:val="auto"/>
              </w:rPr>
              <w:t>(1,618)</w:t>
            </w:r>
          </w:p>
        </w:tc>
        <w:tc>
          <w:tcPr>
            <w:tcW w:w="100" w:type="dxa"/>
            <w:vAlign w:val="bottom"/>
          </w:tcPr>
          <w:p>
            <w:pPr>
              <w:spacing w:after="0"/>
              <w:rPr>
                <w:sz w:val="18"/>
                <w:szCs w:val="18"/>
                <w:color w:val="auto"/>
              </w:rPr>
            </w:pPr>
          </w:p>
        </w:tc>
        <w:tc>
          <w:tcPr>
            <w:tcW w:w="940" w:type="dxa"/>
            <w:vAlign w:val="bottom"/>
            <w:gridSpan w:val="2"/>
          </w:tcPr>
          <w:p>
            <w:pPr>
              <w:jc w:val="right"/>
              <w:ind w:right="220"/>
              <w:spacing w:after="0"/>
              <w:rPr>
                <w:sz w:val="20"/>
                <w:szCs w:val="20"/>
                <w:color w:val="auto"/>
              </w:rPr>
            </w:pPr>
            <w:r>
              <w:rPr>
                <w:rFonts w:ascii="Arial" w:cs="Arial" w:eastAsia="Arial" w:hAnsi="Arial"/>
                <w:sz w:val="18"/>
                <w:szCs w:val="18"/>
                <w:color w:val="auto"/>
              </w:rPr>
              <w:t>3,447</w:t>
            </w:r>
          </w:p>
        </w:tc>
        <w:tc>
          <w:tcPr>
            <w:tcW w:w="0" w:type="dxa"/>
            <w:vAlign w:val="bottom"/>
          </w:tcPr>
          <w:p>
            <w:pPr>
              <w:spacing w:after="0"/>
              <w:rPr>
                <w:sz w:val="1"/>
                <w:szCs w:val="1"/>
                <w:color w:val="auto"/>
              </w:rPr>
            </w:pPr>
          </w:p>
        </w:tc>
      </w:tr>
      <w:tr>
        <w:trPr>
          <w:trHeight w:val="27"/>
        </w:trPr>
        <w:tc>
          <w:tcPr>
            <w:tcW w:w="49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4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4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4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4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4900" w:type="dxa"/>
            <w:vAlign w:val="bottom"/>
            <w:shd w:val="clear" w:color="auto" w:fill="CCEEFF"/>
          </w:tcPr>
          <w:p>
            <w:pPr>
              <w:ind w:left="720"/>
              <w:spacing w:after="0"/>
              <w:rPr>
                <w:sz w:val="20"/>
                <w:szCs w:val="20"/>
                <w:color w:val="auto"/>
              </w:rPr>
            </w:pPr>
            <w:r>
              <w:rPr>
                <w:rFonts w:ascii="Arial" w:cs="Arial" w:eastAsia="Arial" w:hAnsi="Arial"/>
                <w:sz w:val="18"/>
                <w:szCs w:val="18"/>
                <w:color w:val="auto"/>
              </w:rPr>
              <w:t>Net income (loss)</w:t>
            </w: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73,673</w:t>
            </w: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368"/>
              <w:spacing w:after="0"/>
              <w:rPr>
                <w:sz w:val="20"/>
                <w:szCs w:val="20"/>
                <w:color w:val="auto"/>
              </w:rPr>
            </w:pPr>
            <w:r>
              <w:rPr>
                <w:rFonts w:ascii="Arial" w:cs="Arial" w:eastAsia="Arial" w:hAnsi="Arial"/>
                <w:sz w:val="18"/>
                <w:szCs w:val="18"/>
                <w:color w:val="auto"/>
              </w:rPr>
              <w:t>56,556</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54,250</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20,742</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(57,876)</w:t>
            </w:r>
          </w:p>
        </w:tc>
        <w:tc>
          <w:tcPr>
            <w:tcW w:w="0" w:type="dxa"/>
            <w:vAlign w:val="bottom"/>
          </w:tcPr>
          <w:p>
            <w:pPr>
              <w:spacing w:after="0"/>
              <w:rPr>
                <w:sz w:val="1"/>
                <w:szCs w:val="1"/>
                <w:color w:val="auto"/>
              </w:rPr>
            </w:pPr>
          </w:p>
        </w:tc>
      </w:tr>
      <w:tr>
        <w:trPr>
          <w:trHeight w:val="202"/>
        </w:trPr>
        <w:tc>
          <w:tcPr>
            <w:tcW w:w="4900" w:type="dxa"/>
            <w:vAlign w:val="bottom"/>
          </w:tcPr>
          <w:p>
            <w:pPr>
              <w:spacing w:after="0" w:line="201" w:lineRule="exact"/>
              <w:rPr>
                <w:sz w:val="20"/>
                <w:szCs w:val="20"/>
                <w:color w:val="auto"/>
              </w:rPr>
            </w:pPr>
            <w:r>
              <w:rPr>
                <w:rFonts w:ascii="Arial" w:cs="Arial" w:eastAsia="Arial" w:hAnsi="Arial"/>
                <w:sz w:val="18"/>
                <w:szCs w:val="18"/>
                <w:color w:val="auto"/>
              </w:rPr>
              <w:t>Less: Net (income) loss attributable to the nocontrolling</w:t>
            </w:r>
          </w:p>
        </w:tc>
        <w:tc>
          <w:tcPr>
            <w:tcW w:w="1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7"/>
        </w:trPr>
        <w:tc>
          <w:tcPr>
            <w:tcW w:w="4900" w:type="dxa"/>
            <w:vAlign w:val="bottom"/>
          </w:tcPr>
          <w:p>
            <w:pPr>
              <w:ind w:left="180"/>
              <w:spacing w:after="0"/>
              <w:rPr>
                <w:sz w:val="20"/>
                <w:szCs w:val="20"/>
                <w:color w:val="auto"/>
              </w:rPr>
            </w:pPr>
            <w:r>
              <w:rPr>
                <w:rFonts w:ascii="Arial" w:cs="Arial" w:eastAsia="Arial" w:hAnsi="Arial"/>
                <w:sz w:val="18"/>
                <w:szCs w:val="18"/>
                <w:color w:val="auto"/>
              </w:rPr>
              <w:t>interests</w:t>
            </w:r>
          </w:p>
        </w:tc>
        <w:tc>
          <w:tcPr>
            <w:tcW w:w="100" w:type="dxa"/>
            <w:vAlign w:val="bottom"/>
          </w:tcPr>
          <w:p>
            <w:pPr>
              <w:spacing w:after="0"/>
              <w:rPr>
                <w:sz w:val="20"/>
                <w:szCs w:val="20"/>
                <w:color w:val="auto"/>
              </w:rPr>
            </w:pPr>
          </w:p>
        </w:tc>
        <w:tc>
          <w:tcPr>
            <w:tcW w:w="1180" w:type="dxa"/>
            <w:vAlign w:val="bottom"/>
            <w:gridSpan w:val="2"/>
          </w:tcPr>
          <w:p>
            <w:pPr>
              <w:jc w:val="right"/>
              <w:ind w:right="380"/>
              <w:spacing w:after="0"/>
              <w:rPr>
                <w:sz w:val="20"/>
                <w:szCs w:val="20"/>
                <w:color w:val="auto"/>
              </w:rPr>
            </w:pPr>
            <w:r>
              <w:rPr>
                <w:rFonts w:ascii="Arial" w:cs="Arial" w:eastAsia="Arial" w:hAnsi="Arial"/>
                <w:sz w:val="18"/>
                <w:szCs w:val="18"/>
                <w:color w:val="auto"/>
              </w:rPr>
              <w:t>(851)</w:t>
            </w:r>
          </w:p>
        </w:tc>
        <w:tc>
          <w:tcPr>
            <w:tcW w:w="100" w:type="dxa"/>
            <w:vAlign w:val="bottom"/>
          </w:tcPr>
          <w:p>
            <w:pPr>
              <w:spacing w:after="0"/>
              <w:rPr>
                <w:sz w:val="20"/>
                <w:szCs w:val="20"/>
                <w:color w:val="auto"/>
              </w:rPr>
            </w:pPr>
          </w:p>
        </w:tc>
        <w:tc>
          <w:tcPr>
            <w:tcW w:w="1160" w:type="dxa"/>
            <w:vAlign w:val="bottom"/>
            <w:gridSpan w:val="2"/>
          </w:tcPr>
          <w:p>
            <w:pPr>
              <w:jc w:val="right"/>
              <w:ind w:right="368"/>
              <w:spacing w:after="0"/>
              <w:rPr>
                <w:sz w:val="20"/>
                <w:szCs w:val="20"/>
                <w:color w:val="auto"/>
              </w:rPr>
            </w:pPr>
            <w:r>
              <w:rPr>
                <w:rFonts w:ascii="Arial" w:cs="Arial" w:eastAsia="Arial" w:hAnsi="Arial"/>
                <w:sz w:val="18"/>
                <w:szCs w:val="18"/>
                <w:color w:val="auto"/>
              </w:rPr>
              <w:t>168</w:t>
            </w:r>
          </w:p>
        </w:tc>
        <w:tc>
          <w:tcPr>
            <w:tcW w:w="100" w:type="dxa"/>
            <w:vAlign w:val="bottom"/>
          </w:tcPr>
          <w:p>
            <w:pPr>
              <w:spacing w:after="0"/>
              <w:rPr>
                <w:sz w:val="20"/>
                <w:szCs w:val="20"/>
                <w:color w:val="auto"/>
              </w:rPr>
            </w:pPr>
          </w:p>
        </w:tc>
        <w:tc>
          <w:tcPr>
            <w:tcW w:w="1180" w:type="dxa"/>
            <w:vAlign w:val="bottom"/>
            <w:gridSpan w:val="2"/>
          </w:tcPr>
          <w:p>
            <w:pPr>
              <w:jc w:val="right"/>
              <w:ind w:right="380"/>
              <w:spacing w:after="0"/>
              <w:rPr>
                <w:sz w:val="20"/>
                <w:szCs w:val="20"/>
                <w:color w:val="auto"/>
              </w:rPr>
            </w:pPr>
            <w:r>
              <w:rPr>
                <w:rFonts w:ascii="Arial" w:cs="Arial" w:eastAsia="Arial" w:hAnsi="Arial"/>
                <w:sz w:val="18"/>
                <w:szCs w:val="18"/>
                <w:color w:val="auto"/>
              </w:rPr>
              <w:t>(3,872)</w:t>
            </w:r>
          </w:p>
        </w:tc>
        <w:tc>
          <w:tcPr>
            <w:tcW w:w="100" w:type="dxa"/>
            <w:vAlign w:val="bottom"/>
          </w:tcPr>
          <w:p>
            <w:pPr>
              <w:spacing w:after="0"/>
              <w:rPr>
                <w:sz w:val="20"/>
                <w:szCs w:val="20"/>
                <w:color w:val="auto"/>
              </w:rPr>
            </w:pPr>
          </w:p>
        </w:tc>
        <w:tc>
          <w:tcPr>
            <w:tcW w:w="1160" w:type="dxa"/>
            <w:vAlign w:val="bottom"/>
            <w:gridSpan w:val="2"/>
          </w:tcPr>
          <w:p>
            <w:pPr>
              <w:jc w:val="right"/>
              <w:ind w:right="380"/>
              <w:spacing w:after="0"/>
              <w:rPr>
                <w:sz w:val="20"/>
                <w:szCs w:val="20"/>
                <w:color w:val="auto"/>
              </w:rPr>
            </w:pPr>
            <w:r>
              <w:rPr>
                <w:rFonts w:ascii="Arial" w:cs="Arial" w:eastAsia="Arial" w:hAnsi="Arial"/>
                <w:sz w:val="18"/>
                <w:szCs w:val="18"/>
                <w:color w:val="auto"/>
              </w:rPr>
              <w:t>(1,377)</w:t>
            </w:r>
          </w:p>
        </w:tc>
        <w:tc>
          <w:tcPr>
            <w:tcW w:w="100" w:type="dxa"/>
            <w:vAlign w:val="bottom"/>
          </w:tcPr>
          <w:p>
            <w:pPr>
              <w:spacing w:after="0"/>
              <w:rPr>
                <w:sz w:val="20"/>
                <w:szCs w:val="20"/>
                <w:color w:val="auto"/>
              </w:rPr>
            </w:pPr>
          </w:p>
        </w:tc>
        <w:tc>
          <w:tcPr>
            <w:tcW w:w="940" w:type="dxa"/>
            <w:vAlign w:val="bottom"/>
            <w:gridSpan w:val="2"/>
          </w:tcPr>
          <w:p>
            <w:pPr>
              <w:jc w:val="right"/>
              <w:ind w:right="220"/>
              <w:spacing w:after="0"/>
              <w:rPr>
                <w:sz w:val="20"/>
                <w:szCs w:val="20"/>
                <w:color w:val="auto"/>
              </w:rPr>
            </w:pPr>
            <w:r>
              <w:rPr>
                <w:rFonts w:ascii="Arial" w:cs="Arial" w:eastAsia="Arial" w:hAnsi="Arial"/>
                <w:sz w:val="18"/>
                <w:szCs w:val="18"/>
                <w:color w:val="auto"/>
              </w:rPr>
              <w:t>5,393</w:t>
            </w:r>
          </w:p>
        </w:tc>
        <w:tc>
          <w:tcPr>
            <w:tcW w:w="0" w:type="dxa"/>
            <w:vAlign w:val="bottom"/>
          </w:tcPr>
          <w:p>
            <w:pPr>
              <w:spacing w:after="0"/>
              <w:rPr>
                <w:sz w:val="1"/>
                <w:szCs w:val="1"/>
                <w:color w:val="auto"/>
              </w:rPr>
            </w:pPr>
          </w:p>
        </w:tc>
      </w:tr>
      <w:tr>
        <w:trPr>
          <w:trHeight w:val="202"/>
        </w:trPr>
        <w:tc>
          <w:tcPr>
            <w:tcW w:w="4900" w:type="dxa"/>
            <w:vAlign w:val="bottom"/>
            <w:shd w:val="clear" w:color="auto" w:fill="CCEEFF"/>
          </w:tcPr>
          <w:p>
            <w:pPr>
              <w:ind w:left="360"/>
              <w:spacing w:after="0" w:line="201" w:lineRule="exact"/>
              <w:rPr>
                <w:sz w:val="20"/>
                <w:szCs w:val="20"/>
                <w:color w:val="auto"/>
              </w:rPr>
            </w:pPr>
            <w:r>
              <w:rPr>
                <w:rFonts w:ascii="Arial" w:cs="Arial" w:eastAsia="Arial" w:hAnsi="Arial"/>
                <w:sz w:val="18"/>
                <w:szCs w:val="18"/>
                <w:color w:val="auto"/>
                <w:w w:val="97"/>
              </w:rPr>
              <w:t>Net income (loss) attributable to Textainer Group Holdings</w:t>
            </w:r>
          </w:p>
        </w:tc>
        <w:tc>
          <w:tcPr>
            <w:tcW w:w="100" w:type="dxa"/>
            <w:vAlign w:val="bottom"/>
            <w:tcBorders>
              <w:top w:val="single" w:sz="8" w:color="auto"/>
            </w:tcBorders>
            <w:shd w:val="clear" w:color="auto" w:fill="CCEEFF"/>
          </w:tcPr>
          <w:p>
            <w:pPr>
              <w:spacing w:after="0"/>
              <w:rPr>
                <w:sz w:val="17"/>
                <w:szCs w:val="17"/>
                <w:color w:val="auto"/>
              </w:rPr>
            </w:pPr>
          </w:p>
        </w:tc>
        <w:tc>
          <w:tcPr>
            <w:tcW w:w="740" w:type="dxa"/>
            <w:vAlign w:val="bottom"/>
            <w:tcBorders>
              <w:top w:val="single" w:sz="8" w:color="auto"/>
            </w:tcBorders>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720" w:type="dxa"/>
            <w:vAlign w:val="bottom"/>
            <w:tcBorders>
              <w:top w:val="single" w:sz="8" w:color="auto"/>
            </w:tcBorders>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740" w:type="dxa"/>
            <w:vAlign w:val="bottom"/>
            <w:tcBorders>
              <w:top w:val="single" w:sz="8" w:color="auto"/>
            </w:tcBorders>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720" w:type="dxa"/>
            <w:vAlign w:val="bottom"/>
            <w:tcBorders>
              <w:top w:val="single" w:sz="8" w:color="auto"/>
            </w:tcBorders>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720" w:type="dxa"/>
            <w:vAlign w:val="bottom"/>
            <w:tcBorders>
              <w:top w:val="single" w:sz="8" w:color="auto"/>
            </w:tcBorders>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4900" w:type="dxa"/>
            <w:vAlign w:val="bottom"/>
            <w:shd w:val="clear" w:color="auto" w:fill="CCEEFF"/>
          </w:tcPr>
          <w:p>
            <w:pPr>
              <w:ind w:left="540"/>
              <w:spacing w:after="0"/>
              <w:rPr>
                <w:sz w:val="20"/>
                <w:szCs w:val="20"/>
                <w:color w:val="auto"/>
              </w:rPr>
            </w:pPr>
            <w:r>
              <w:rPr>
                <w:rFonts w:ascii="Arial" w:cs="Arial" w:eastAsia="Arial" w:hAnsi="Arial"/>
                <w:sz w:val="18"/>
                <w:szCs w:val="18"/>
                <w:color w:val="auto"/>
              </w:rPr>
              <w:t>Limited common shareholders</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72,822</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60" w:type="dxa"/>
            <w:vAlign w:val="bottom"/>
            <w:gridSpan w:val="2"/>
            <w:shd w:val="clear" w:color="auto" w:fill="CCEEFF"/>
          </w:tcPr>
          <w:p>
            <w:pPr>
              <w:jc w:val="right"/>
              <w:ind w:right="368"/>
              <w:spacing w:after="0"/>
              <w:rPr>
                <w:sz w:val="20"/>
                <w:szCs w:val="20"/>
                <w:color w:val="auto"/>
              </w:rPr>
            </w:pPr>
            <w:r>
              <w:rPr>
                <w:rFonts w:ascii="Arial" w:cs="Arial" w:eastAsia="Arial" w:hAnsi="Arial"/>
                <w:sz w:val="18"/>
                <w:szCs w:val="18"/>
                <w:color w:val="auto"/>
              </w:rPr>
              <w:t>56,724</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50,378</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19,365</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(52,483)</w:t>
            </w:r>
          </w:p>
        </w:tc>
        <w:tc>
          <w:tcPr>
            <w:tcW w:w="0" w:type="dxa"/>
            <w:vAlign w:val="bottom"/>
          </w:tcPr>
          <w:p>
            <w:pPr>
              <w:spacing w:after="0"/>
              <w:rPr>
                <w:sz w:val="1"/>
                <w:szCs w:val="1"/>
                <w:color w:val="auto"/>
              </w:rPr>
            </w:pPr>
          </w:p>
        </w:tc>
      </w:tr>
      <w:tr>
        <w:trPr>
          <w:trHeight w:val="20"/>
        </w:trPr>
        <w:tc>
          <w:tcPr>
            <w:tcW w:w="4900" w:type="dxa"/>
            <w:vAlign w:val="bottom"/>
            <w:vMerge w:val="restart"/>
          </w:tcPr>
          <w:p>
            <w:pPr>
              <w:spacing w:after="0"/>
              <w:rPr>
                <w:sz w:val="20"/>
                <w:szCs w:val="20"/>
                <w:color w:val="auto"/>
              </w:rPr>
            </w:pPr>
            <w:r>
              <w:rPr>
                <w:rFonts w:ascii="Arial" w:cs="Arial" w:eastAsia="Arial" w:hAnsi="Arial"/>
                <w:sz w:val="18"/>
                <w:szCs w:val="18"/>
                <w:color w:val="auto"/>
              </w:rPr>
              <w:t>Net income (loss) attributable to Textainer Group Holdings</w:t>
            </w:r>
          </w:p>
        </w:tc>
        <w:tc>
          <w:tcPr>
            <w:tcW w:w="10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900" w:type="dxa"/>
            <w:vAlign w:val="bottom"/>
            <w:vMerge w:val="continue"/>
          </w:tcPr>
          <w:p>
            <w:pPr>
              <w:spacing w:after="0"/>
              <w:rPr>
                <w:sz w:val="17"/>
                <w:szCs w:val="17"/>
                <w:color w:val="auto"/>
              </w:rPr>
            </w:pPr>
          </w:p>
        </w:tc>
        <w:tc>
          <w:tcPr>
            <w:tcW w:w="1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4900" w:type="dxa"/>
            <w:vAlign w:val="bottom"/>
          </w:tcPr>
          <w:p>
            <w:pPr>
              <w:ind w:left="180"/>
              <w:spacing w:after="0"/>
              <w:rPr>
                <w:sz w:val="20"/>
                <w:szCs w:val="20"/>
                <w:color w:val="auto"/>
              </w:rPr>
            </w:pPr>
            <w:r>
              <w:rPr>
                <w:rFonts w:ascii="Arial" w:cs="Arial" w:eastAsia="Arial" w:hAnsi="Arial"/>
                <w:sz w:val="18"/>
                <w:szCs w:val="18"/>
                <w:color w:val="auto"/>
              </w:rPr>
              <w:t>Limited common shareholders per share:</w:t>
            </w:r>
          </w:p>
        </w:tc>
        <w:tc>
          <w:tcPr>
            <w:tcW w:w="10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Basic</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1.37</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60" w:type="dxa"/>
            <w:vAlign w:val="bottom"/>
            <w:gridSpan w:val="2"/>
            <w:shd w:val="clear" w:color="auto" w:fill="CCEEFF"/>
          </w:tcPr>
          <w:p>
            <w:pPr>
              <w:jc w:val="right"/>
              <w:ind w:right="368"/>
              <w:spacing w:after="0"/>
              <w:rPr>
                <w:sz w:val="20"/>
                <w:szCs w:val="20"/>
                <w:color w:val="auto"/>
              </w:rPr>
            </w:pPr>
            <w:r>
              <w:rPr>
                <w:rFonts w:ascii="Arial" w:cs="Arial" w:eastAsia="Arial" w:hAnsi="Arial"/>
                <w:sz w:val="18"/>
                <w:szCs w:val="18"/>
                <w:color w:val="auto"/>
              </w:rPr>
              <w:t>0.99</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0.88</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0.34</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(0.93)</w:t>
            </w:r>
          </w:p>
        </w:tc>
        <w:tc>
          <w:tcPr>
            <w:tcW w:w="0" w:type="dxa"/>
            <w:vAlign w:val="bottom"/>
          </w:tcPr>
          <w:p>
            <w:pPr>
              <w:spacing w:after="0"/>
              <w:rPr>
                <w:sz w:val="1"/>
                <w:szCs w:val="1"/>
                <w:color w:val="auto"/>
              </w:rPr>
            </w:pPr>
          </w:p>
        </w:tc>
      </w:tr>
      <w:tr>
        <w:trPr>
          <w:trHeight w:val="216"/>
        </w:trPr>
        <w:tc>
          <w:tcPr>
            <w:tcW w:w="4900" w:type="dxa"/>
            <w:vAlign w:val="bottom"/>
          </w:tcPr>
          <w:p>
            <w:pPr>
              <w:ind w:left="360"/>
              <w:spacing w:after="0"/>
              <w:rPr>
                <w:sz w:val="20"/>
                <w:szCs w:val="20"/>
                <w:color w:val="auto"/>
              </w:rPr>
            </w:pPr>
            <w:r>
              <w:rPr>
                <w:rFonts w:ascii="Arial" w:cs="Arial" w:eastAsia="Arial" w:hAnsi="Arial"/>
                <w:sz w:val="18"/>
                <w:szCs w:val="18"/>
                <w:color w:val="auto"/>
              </w:rPr>
              <w:t>Diluted</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rPr>
              <w:t>1.36</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160" w:type="dxa"/>
            <w:vAlign w:val="bottom"/>
            <w:gridSpan w:val="2"/>
          </w:tcPr>
          <w:p>
            <w:pPr>
              <w:jc w:val="right"/>
              <w:ind w:right="368"/>
              <w:spacing w:after="0"/>
              <w:rPr>
                <w:sz w:val="20"/>
                <w:szCs w:val="20"/>
                <w:color w:val="auto"/>
              </w:rPr>
            </w:pPr>
            <w:r>
              <w:rPr>
                <w:rFonts w:ascii="Arial" w:cs="Arial" w:eastAsia="Arial" w:hAnsi="Arial"/>
                <w:sz w:val="18"/>
                <w:szCs w:val="18"/>
                <w:color w:val="auto"/>
              </w:rPr>
              <w:t>0.99</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rPr>
              <w:t>0.88</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160" w:type="dxa"/>
            <w:vAlign w:val="bottom"/>
            <w:gridSpan w:val="2"/>
          </w:tcPr>
          <w:p>
            <w:pPr>
              <w:jc w:val="right"/>
              <w:ind w:right="440"/>
              <w:spacing w:after="0"/>
              <w:rPr>
                <w:sz w:val="20"/>
                <w:szCs w:val="20"/>
                <w:color w:val="auto"/>
              </w:rPr>
            </w:pPr>
            <w:r>
              <w:rPr>
                <w:rFonts w:ascii="Arial" w:cs="Arial" w:eastAsia="Arial" w:hAnsi="Arial"/>
                <w:sz w:val="18"/>
                <w:szCs w:val="18"/>
                <w:color w:val="auto"/>
              </w:rPr>
              <w:t>0.34</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(0.93)</w:t>
            </w: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Weighted average shares outstanding (in thousands):</w:t>
            </w: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900" w:type="dxa"/>
            <w:vAlign w:val="bottom"/>
          </w:tcPr>
          <w:p>
            <w:pPr>
              <w:ind w:left="360"/>
              <w:spacing w:after="0"/>
              <w:rPr>
                <w:sz w:val="20"/>
                <w:szCs w:val="20"/>
                <w:color w:val="auto"/>
              </w:rPr>
            </w:pPr>
            <w:r>
              <w:rPr>
                <w:rFonts w:ascii="Arial" w:cs="Arial" w:eastAsia="Arial" w:hAnsi="Arial"/>
                <w:sz w:val="18"/>
                <w:szCs w:val="18"/>
                <w:color w:val="auto"/>
              </w:rPr>
              <w:t>Basic</w:t>
            </w:r>
          </w:p>
        </w:tc>
        <w:tc>
          <w:tcPr>
            <w:tcW w:w="100" w:type="dxa"/>
            <w:vAlign w:val="bottom"/>
          </w:tcPr>
          <w:p>
            <w:pPr>
              <w:spacing w:after="0"/>
              <w:rPr>
                <w:sz w:val="18"/>
                <w:szCs w:val="18"/>
                <w:color w:val="auto"/>
              </w:rPr>
            </w:pP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rPr>
              <w:t>53,271</w:t>
            </w:r>
          </w:p>
        </w:tc>
        <w:tc>
          <w:tcPr>
            <w:tcW w:w="100" w:type="dxa"/>
            <w:vAlign w:val="bottom"/>
          </w:tcPr>
          <w:p>
            <w:pPr>
              <w:spacing w:after="0"/>
              <w:rPr>
                <w:sz w:val="18"/>
                <w:szCs w:val="18"/>
                <w:color w:val="auto"/>
              </w:rPr>
            </w:pPr>
          </w:p>
        </w:tc>
        <w:tc>
          <w:tcPr>
            <w:tcW w:w="1160" w:type="dxa"/>
            <w:vAlign w:val="bottom"/>
            <w:gridSpan w:val="2"/>
          </w:tcPr>
          <w:p>
            <w:pPr>
              <w:jc w:val="right"/>
              <w:ind w:right="368"/>
              <w:spacing w:after="0"/>
              <w:rPr>
                <w:sz w:val="20"/>
                <w:szCs w:val="20"/>
                <w:color w:val="auto"/>
              </w:rPr>
            </w:pPr>
            <w:r>
              <w:rPr>
                <w:rFonts w:ascii="Arial" w:cs="Arial" w:eastAsia="Arial" w:hAnsi="Arial"/>
                <w:sz w:val="18"/>
                <w:szCs w:val="18"/>
                <w:color w:val="auto"/>
              </w:rPr>
              <w:t>57,349</w:t>
            </w:r>
          </w:p>
        </w:tc>
        <w:tc>
          <w:tcPr>
            <w:tcW w:w="100" w:type="dxa"/>
            <w:vAlign w:val="bottom"/>
          </w:tcPr>
          <w:p>
            <w:pPr>
              <w:spacing w:after="0"/>
              <w:rPr>
                <w:sz w:val="18"/>
                <w:szCs w:val="18"/>
                <w:color w:val="auto"/>
              </w:rPr>
            </w:pP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rPr>
              <w:t>57,200</w:t>
            </w:r>
          </w:p>
        </w:tc>
        <w:tc>
          <w:tcPr>
            <w:tcW w:w="100" w:type="dxa"/>
            <w:vAlign w:val="bottom"/>
          </w:tcPr>
          <w:p>
            <w:pPr>
              <w:spacing w:after="0"/>
              <w:rPr>
                <w:sz w:val="18"/>
                <w:szCs w:val="18"/>
                <w:color w:val="auto"/>
              </w:rPr>
            </w:pPr>
          </w:p>
        </w:tc>
        <w:tc>
          <w:tcPr>
            <w:tcW w:w="1160" w:type="dxa"/>
            <w:vAlign w:val="bottom"/>
            <w:gridSpan w:val="2"/>
          </w:tcPr>
          <w:p>
            <w:pPr>
              <w:jc w:val="right"/>
              <w:ind w:right="440"/>
              <w:spacing w:after="0"/>
              <w:rPr>
                <w:sz w:val="20"/>
                <w:szCs w:val="20"/>
                <w:color w:val="auto"/>
              </w:rPr>
            </w:pPr>
            <w:r>
              <w:rPr>
                <w:rFonts w:ascii="Arial" w:cs="Arial" w:eastAsia="Arial" w:hAnsi="Arial"/>
                <w:sz w:val="18"/>
                <w:szCs w:val="18"/>
                <w:color w:val="auto"/>
              </w:rPr>
              <w:t>56,845</w:t>
            </w:r>
          </w:p>
        </w:tc>
        <w:tc>
          <w:tcPr>
            <w:tcW w:w="100" w:type="dxa"/>
            <w:vAlign w:val="bottom"/>
          </w:tcPr>
          <w:p>
            <w:pPr>
              <w:spacing w:after="0"/>
              <w:rPr>
                <w:sz w:val="18"/>
                <w:szCs w:val="18"/>
                <w:color w:val="auto"/>
              </w:rPr>
            </w:pPr>
          </w:p>
        </w:tc>
        <w:tc>
          <w:tcPr>
            <w:tcW w:w="940" w:type="dxa"/>
            <w:vAlign w:val="bottom"/>
            <w:gridSpan w:val="2"/>
          </w:tcPr>
          <w:p>
            <w:pPr>
              <w:jc w:val="right"/>
              <w:ind w:right="220"/>
              <w:spacing w:after="0"/>
              <w:rPr>
                <w:sz w:val="20"/>
                <w:szCs w:val="20"/>
                <w:color w:val="auto"/>
              </w:rPr>
            </w:pPr>
            <w:r>
              <w:rPr>
                <w:rFonts w:ascii="Arial" w:cs="Arial" w:eastAsia="Arial" w:hAnsi="Arial"/>
                <w:sz w:val="18"/>
                <w:szCs w:val="18"/>
                <w:color w:val="auto"/>
              </w:rPr>
              <w:t>56,608</w:t>
            </w: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Diluted</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53,481</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368"/>
              <w:spacing w:after="0"/>
              <w:rPr>
                <w:sz w:val="20"/>
                <w:szCs w:val="20"/>
                <w:color w:val="auto"/>
              </w:rPr>
            </w:pPr>
            <w:r>
              <w:rPr>
                <w:rFonts w:ascii="Arial" w:cs="Arial" w:eastAsia="Arial" w:hAnsi="Arial"/>
                <w:sz w:val="18"/>
                <w:szCs w:val="18"/>
                <w:color w:val="auto"/>
              </w:rPr>
              <w:t>57,459</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57,487</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57,159</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56,608</w:t>
            </w:r>
          </w:p>
        </w:tc>
        <w:tc>
          <w:tcPr>
            <w:tcW w:w="0" w:type="dxa"/>
            <w:vAlign w:val="bottom"/>
          </w:tcPr>
          <w:p>
            <w:pPr>
              <w:spacing w:after="0"/>
              <w:rPr>
                <w:sz w:val="1"/>
                <w:szCs w:val="1"/>
                <w:color w:val="auto"/>
              </w:rPr>
            </w:pPr>
          </w:p>
        </w:tc>
      </w:tr>
      <w:tr>
        <w:trPr>
          <w:trHeight w:val="234"/>
        </w:trPr>
        <w:tc>
          <w:tcPr>
            <w:tcW w:w="4900" w:type="dxa"/>
            <w:vAlign w:val="bottom"/>
          </w:tcPr>
          <w:p>
            <w:pPr>
              <w:spacing w:after="0"/>
              <w:rPr>
                <w:sz w:val="20"/>
                <w:szCs w:val="20"/>
                <w:color w:val="auto"/>
              </w:rPr>
            </w:pPr>
            <w:r>
              <w:rPr>
                <w:rFonts w:ascii="Arial" w:cs="Arial" w:eastAsia="Arial" w:hAnsi="Arial"/>
                <w:sz w:val="18"/>
                <w:szCs w:val="18"/>
                <w:b w:val="1"/>
                <w:bCs w:val="1"/>
                <w:color w:val="auto"/>
              </w:rPr>
              <w:t>Other Financial and Operating Data (unaudited):</w:t>
            </w:r>
          </w:p>
        </w:tc>
        <w:tc>
          <w:tcPr>
            <w:tcW w:w="10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90"/>
        </w:trPr>
        <w:tc>
          <w:tcPr>
            <w:tcW w:w="4900" w:type="dxa"/>
            <w:vAlign w:val="bottom"/>
          </w:tcPr>
          <w:p>
            <w:pPr>
              <w:spacing w:after="0"/>
              <w:rPr>
                <w:sz w:val="7"/>
                <w:szCs w:val="7"/>
                <w:color w:val="auto"/>
              </w:rPr>
            </w:pPr>
          </w:p>
        </w:tc>
        <w:tc>
          <w:tcPr>
            <w:tcW w:w="100" w:type="dxa"/>
            <w:vAlign w:val="bottom"/>
          </w:tcPr>
          <w:p>
            <w:pPr>
              <w:spacing w:after="0"/>
              <w:rPr>
                <w:sz w:val="7"/>
                <w:szCs w:val="7"/>
                <w:color w:val="auto"/>
              </w:rPr>
            </w:pPr>
          </w:p>
        </w:tc>
        <w:tc>
          <w:tcPr>
            <w:tcW w:w="740" w:type="dxa"/>
            <w:vAlign w:val="bottom"/>
          </w:tcPr>
          <w:p>
            <w:pPr>
              <w:spacing w:after="0"/>
              <w:rPr>
                <w:sz w:val="7"/>
                <w:szCs w:val="7"/>
                <w:color w:val="auto"/>
              </w:rPr>
            </w:pPr>
          </w:p>
        </w:tc>
        <w:tc>
          <w:tcPr>
            <w:tcW w:w="440" w:type="dxa"/>
            <w:vAlign w:val="bottom"/>
          </w:tcPr>
          <w:p>
            <w:pPr>
              <w:spacing w:after="0"/>
              <w:rPr>
                <w:sz w:val="7"/>
                <w:szCs w:val="7"/>
                <w:color w:val="auto"/>
              </w:rPr>
            </w:pPr>
          </w:p>
        </w:tc>
        <w:tc>
          <w:tcPr>
            <w:tcW w:w="100" w:type="dxa"/>
            <w:vAlign w:val="bottom"/>
          </w:tcPr>
          <w:p>
            <w:pPr>
              <w:spacing w:after="0"/>
              <w:rPr>
                <w:sz w:val="7"/>
                <w:szCs w:val="7"/>
                <w:color w:val="auto"/>
              </w:rPr>
            </w:pPr>
          </w:p>
        </w:tc>
        <w:tc>
          <w:tcPr>
            <w:tcW w:w="720" w:type="dxa"/>
            <w:vAlign w:val="bottom"/>
          </w:tcPr>
          <w:p>
            <w:pPr>
              <w:spacing w:after="0"/>
              <w:rPr>
                <w:sz w:val="7"/>
                <w:szCs w:val="7"/>
                <w:color w:val="auto"/>
              </w:rPr>
            </w:pPr>
          </w:p>
        </w:tc>
        <w:tc>
          <w:tcPr>
            <w:tcW w:w="440" w:type="dxa"/>
            <w:vAlign w:val="bottom"/>
          </w:tcPr>
          <w:p>
            <w:pPr>
              <w:spacing w:after="0"/>
              <w:rPr>
                <w:sz w:val="7"/>
                <w:szCs w:val="7"/>
                <w:color w:val="auto"/>
              </w:rPr>
            </w:pPr>
          </w:p>
        </w:tc>
        <w:tc>
          <w:tcPr>
            <w:tcW w:w="100" w:type="dxa"/>
            <w:vAlign w:val="bottom"/>
          </w:tcPr>
          <w:p>
            <w:pPr>
              <w:spacing w:after="0"/>
              <w:rPr>
                <w:sz w:val="7"/>
                <w:szCs w:val="7"/>
                <w:color w:val="auto"/>
              </w:rPr>
            </w:pPr>
          </w:p>
        </w:tc>
        <w:tc>
          <w:tcPr>
            <w:tcW w:w="740" w:type="dxa"/>
            <w:vAlign w:val="bottom"/>
          </w:tcPr>
          <w:p>
            <w:pPr>
              <w:spacing w:after="0"/>
              <w:rPr>
                <w:sz w:val="7"/>
                <w:szCs w:val="7"/>
                <w:color w:val="auto"/>
              </w:rPr>
            </w:pPr>
          </w:p>
        </w:tc>
        <w:tc>
          <w:tcPr>
            <w:tcW w:w="440" w:type="dxa"/>
            <w:vAlign w:val="bottom"/>
          </w:tcPr>
          <w:p>
            <w:pPr>
              <w:spacing w:after="0"/>
              <w:rPr>
                <w:sz w:val="7"/>
                <w:szCs w:val="7"/>
                <w:color w:val="auto"/>
              </w:rPr>
            </w:pPr>
          </w:p>
        </w:tc>
        <w:tc>
          <w:tcPr>
            <w:tcW w:w="100" w:type="dxa"/>
            <w:vAlign w:val="bottom"/>
          </w:tcPr>
          <w:p>
            <w:pPr>
              <w:spacing w:after="0"/>
              <w:rPr>
                <w:sz w:val="7"/>
                <w:szCs w:val="7"/>
                <w:color w:val="auto"/>
              </w:rPr>
            </w:pPr>
          </w:p>
        </w:tc>
        <w:tc>
          <w:tcPr>
            <w:tcW w:w="720" w:type="dxa"/>
            <w:vAlign w:val="bottom"/>
          </w:tcPr>
          <w:p>
            <w:pPr>
              <w:spacing w:after="0"/>
              <w:rPr>
                <w:sz w:val="7"/>
                <w:szCs w:val="7"/>
                <w:color w:val="auto"/>
              </w:rPr>
            </w:pPr>
          </w:p>
        </w:tc>
        <w:tc>
          <w:tcPr>
            <w:tcW w:w="440" w:type="dxa"/>
            <w:vAlign w:val="bottom"/>
          </w:tcPr>
          <w:p>
            <w:pPr>
              <w:spacing w:after="0"/>
              <w:rPr>
                <w:sz w:val="7"/>
                <w:szCs w:val="7"/>
                <w:color w:val="auto"/>
              </w:rPr>
            </w:pPr>
          </w:p>
        </w:tc>
        <w:tc>
          <w:tcPr>
            <w:tcW w:w="100" w:type="dxa"/>
            <w:vAlign w:val="bottom"/>
          </w:tcPr>
          <w:p>
            <w:pPr>
              <w:spacing w:after="0"/>
              <w:rPr>
                <w:sz w:val="7"/>
                <w:szCs w:val="7"/>
                <w:color w:val="auto"/>
              </w:rPr>
            </w:pPr>
          </w:p>
        </w:tc>
        <w:tc>
          <w:tcPr>
            <w:tcW w:w="720" w:type="dxa"/>
            <w:vAlign w:val="bottom"/>
          </w:tcPr>
          <w:p>
            <w:pPr>
              <w:spacing w:after="0"/>
              <w:rPr>
                <w:sz w:val="7"/>
                <w:szCs w:val="7"/>
                <w:color w:val="auto"/>
              </w:rPr>
            </w:pPr>
          </w:p>
        </w:tc>
        <w:tc>
          <w:tcPr>
            <w:tcW w:w="2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Cash dividends declared per common share</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60" w:type="dxa"/>
            <w:vAlign w:val="bottom"/>
            <w:gridSpan w:val="2"/>
            <w:shd w:val="clear" w:color="auto" w:fill="CCEEFF"/>
          </w:tcPr>
          <w:p>
            <w:pPr>
              <w:jc w:val="right"/>
              <w:ind w:right="448"/>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6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0.51</w:t>
            </w:r>
          </w:p>
        </w:tc>
        <w:tc>
          <w:tcPr>
            <w:tcW w:w="0" w:type="dxa"/>
            <w:vAlign w:val="bottom"/>
          </w:tcPr>
          <w:p>
            <w:pPr>
              <w:spacing w:after="0"/>
              <w:rPr>
                <w:sz w:val="1"/>
                <w:szCs w:val="1"/>
                <w:color w:val="auto"/>
              </w:rPr>
            </w:pPr>
          </w:p>
        </w:tc>
      </w:tr>
      <w:tr>
        <w:trPr>
          <w:trHeight w:val="216"/>
        </w:trPr>
        <w:tc>
          <w:tcPr>
            <w:tcW w:w="4900" w:type="dxa"/>
            <w:vAlign w:val="bottom"/>
          </w:tcPr>
          <w:p>
            <w:pPr>
              <w:spacing w:after="0"/>
              <w:rPr>
                <w:sz w:val="20"/>
                <w:szCs w:val="20"/>
                <w:color w:val="auto"/>
              </w:rPr>
            </w:pPr>
            <w:r>
              <w:rPr>
                <w:rFonts w:ascii="Arial" w:cs="Arial" w:eastAsia="Arial" w:hAnsi="Arial"/>
                <w:sz w:val="18"/>
                <w:szCs w:val="18"/>
                <w:color w:val="auto"/>
              </w:rPr>
              <w:t>Purchase of containers and fixed assets</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rPr>
              <w:t>746,145</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160" w:type="dxa"/>
            <w:vAlign w:val="bottom"/>
            <w:gridSpan w:val="2"/>
          </w:tcPr>
          <w:p>
            <w:pPr>
              <w:jc w:val="right"/>
              <w:ind w:right="368"/>
              <w:spacing w:after="0"/>
              <w:rPr>
                <w:sz w:val="20"/>
                <w:szCs w:val="20"/>
                <w:color w:val="auto"/>
              </w:rPr>
            </w:pPr>
            <w:r>
              <w:rPr>
                <w:rFonts w:ascii="Arial" w:cs="Arial" w:eastAsia="Arial" w:hAnsi="Arial"/>
                <w:sz w:val="18"/>
                <w:szCs w:val="18"/>
                <w:color w:val="auto"/>
              </w:rPr>
              <w:t>466,993</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rPr>
              <w:t>854,383</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160" w:type="dxa"/>
            <w:vAlign w:val="bottom"/>
            <w:gridSpan w:val="2"/>
          </w:tcPr>
          <w:p>
            <w:pPr>
              <w:jc w:val="right"/>
              <w:ind w:right="440"/>
              <w:spacing w:after="0"/>
              <w:rPr>
                <w:sz w:val="20"/>
                <w:szCs w:val="20"/>
                <w:color w:val="auto"/>
              </w:rPr>
            </w:pPr>
            <w:r>
              <w:rPr>
                <w:rFonts w:ascii="Arial" w:cs="Arial" w:eastAsia="Arial" w:hAnsi="Arial"/>
                <w:sz w:val="18"/>
                <w:szCs w:val="18"/>
                <w:color w:val="auto"/>
              </w:rPr>
              <w:t>300,125</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220"/>
              <w:spacing w:after="0"/>
              <w:rPr>
                <w:sz w:val="20"/>
                <w:szCs w:val="20"/>
                <w:color w:val="auto"/>
              </w:rPr>
            </w:pPr>
            <w:r>
              <w:rPr>
                <w:rFonts w:ascii="Arial" w:cs="Arial" w:eastAsia="Arial" w:hAnsi="Arial"/>
                <w:sz w:val="18"/>
                <w:szCs w:val="18"/>
                <w:color w:val="auto"/>
              </w:rPr>
              <w:t>505,528</w:t>
            </w:r>
          </w:p>
        </w:tc>
        <w:tc>
          <w:tcPr>
            <w:tcW w:w="0" w:type="dxa"/>
            <w:vAlign w:val="bottom"/>
          </w:tcPr>
          <w:p>
            <w:pPr>
              <w:spacing w:after="0"/>
              <w:rPr>
                <w:sz w:val="1"/>
                <w:szCs w:val="1"/>
                <w:color w:val="auto"/>
              </w:rPr>
            </w:pPr>
          </w:p>
        </w:tc>
      </w:tr>
      <w:tr>
        <w:trPr>
          <w:trHeight w:val="202"/>
        </w:trPr>
        <w:tc>
          <w:tcPr>
            <w:tcW w:w="490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Payments on container leaseback financing</w:t>
            </w:r>
          </w:p>
        </w:tc>
        <w:tc>
          <w:tcPr>
            <w:tcW w:w="10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44"/>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receivable</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116,263</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60" w:type="dxa"/>
            <w:vAlign w:val="bottom"/>
            <w:gridSpan w:val="2"/>
            <w:shd w:val="clear" w:color="auto" w:fill="CCEEFF"/>
          </w:tcPr>
          <w:p>
            <w:pPr>
              <w:jc w:val="right"/>
              <w:ind w:right="368"/>
              <w:spacing w:after="0"/>
              <w:rPr>
                <w:sz w:val="20"/>
                <w:szCs w:val="20"/>
                <w:color w:val="auto"/>
              </w:rPr>
            </w:pPr>
            <w:r>
              <w:rPr>
                <w:rFonts w:ascii="Arial" w:cs="Arial" w:eastAsia="Arial" w:hAnsi="Arial"/>
                <w:sz w:val="18"/>
                <w:szCs w:val="18"/>
                <w:color w:val="auto"/>
              </w:rPr>
              <w:t>281,445</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6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900" w:type="dxa"/>
            <w:vAlign w:val="bottom"/>
          </w:tcPr>
          <w:p>
            <w:pPr>
              <w:spacing w:after="0"/>
              <w:rPr>
                <w:sz w:val="20"/>
                <w:szCs w:val="20"/>
                <w:color w:val="auto"/>
              </w:rPr>
            </w:pPr>
            <w:r>
              <w:rPr>
                <w:rFonts w:ascii="Arial" w:cs="Arial" w:eastAsia="Arial" w:hAnsi="Arial"/>
                <w:sz w:val="18"/>
                <w:szCs w:val="18"/>
                <w:color w:val="auto"/>
              </w:rPr>
              <w:t>Utilization rate (1)</w:t>
            </w:r>
          </w:p>
        </w:tc>
        <w:tc>
          <w:tcPr>
            <w:tcW w:w="100" w:type="dxa"/>
            <w:vAlign w:val="bottom"/>
          </w:tcPr>
          <w:p>
            <w:pPr>
              <w:spacing w:after="0"/>
              <w:rPr>
                <w:sz w:val="18"/>
                <w:szCs w:val="18"/>
                <w:color w:val="auto"/>
              </w:rPr>
            </w:pPr>
          </w:p>
        </w:tc>
        <w:tc>
          <w:tcPr>
            <w:tcW w:w="1180" w:type="dxa"/>
            <w:vAlign w:val="bottom"/>
            <w:gridSpan w:val="2"/>
          </w:tcPr>
          <w:p>
            <w:pPr>
              <w:jc w:val="right"/>
              <w:ind w:right="300"/>
              <w:spacing w:after="0"/>
              <w:rPr>
                <w:sz w:val="20"/>
                <w:szCs w:val="20"/>
                <w:color w:val="auto"/>
              </w:rPr>
            </w:pPr>
            <w:r>
              <w:rPr>
                <w:rFonts w:ascii="Arial" w:cs="Arial" w:eastAsia="Arial" w:hAnsi="Arial"/>
                <w:sz w:val="18"/>
                <w:szCs w:val="18"/>
                <w:color w:val="auto"/>
              </w:rPr>
              <w:t>96.60%</w:t>
            </w:r>
          </w:p>
        </w:tc>
        <w:tc>
          <w:tcPr>
            <w:tcW w:w="100" w:type="dxa"/>
            <w:vAlign w:val="bottom"/>
          </w:tcPr>
          <w:p>
            <w:pPr>
              <w:spacing w:after="0"/>
              <w:rPr>
                <w:sz w:val="18"/>
                <w:szCs w:val="18"/>
                <w:color w:val="auto"/>
              </w:rPr>
            </w:pPr>
          </w:p>
        </w:tc>
        <w:tc>
          <w:tcPr>
            <w:tcW w:w="1160" w:type="dxa"/>
            <w:vAlign w:val="bottom"/>
            <w:gridSpan w:val="2"/>
          </w:tcPr>
          <w:p>
            <w:pPr>
              <w:jc w:val="right"/>
              <w:ind w:right="208"/>
              <w:spacing w:after="0"/>
              <w:rPr>
                <w:sz w:val="20"/>
                <w:szCs w:val="20"/>
                <w:color w:val="auto"/>
              </w:rPr>
            </w:pPr>
            <w:r>
              <w:rPr>
                <w:rFonts w:ascii="Arial" w:cs="Arial" w:eastAsia="Arial" w:hAnsi="Arial"/>
                <w:sz w:val="18"/>
                <w:szCs w:val="18"/>
                <w:color w:val="auto"/>
              </w:rPr>
              <w:t>97.40%</w:t>
            </w:r>
          </w:p>
        </w:tc>
        <w:tc>
          <w:tcPr>
            <w:tcW w:w="100" w:type="dxa"/>
            <w:vAlign w:val="bottom"/>
          </w:tcPr>
          <w:p>
            <w:pPr>
              <w:spacing w:after="0"/>
              <w:rPr>
                <w:sz w:val="18"/>
                <w:szCs w:val="18"/>
                <w:color w:val="auto"/>
              </w:rPr>
            </w:pPr>
          </w:p>
        </w:tc>
        <w:tc>
          <w:tcPr>
            <w:tcW w:w="1180" w:type="dxa"/>
            <w:vAlign w:val="bottom"/>
            <w:gridSpan w:val="2"/>
          </w:tcPr>
          <w:p>
            <w:pPr>
              <w:jc w:val="right"/>
              <w:ind w:right="300"/>
              <w:spacing w:after="0"/>
              <w:rPr>
                <w:sz w:val="20"/>
                <w:szCs w:val="20"/>
                <w:color w:val="auto"/>
              </w:rPr>
            </w:pPr>
            <w:r>
              <w:rPr>
                <w:rFonts w:ascii="Arial" w:cs="Arial" w:eastAsia="Arial" w:hAnsi="Arial"/>
                <w:sz w:val="18"/>
                <w:szCs w:val="18"/>
                <w:color w:val="auto"/>
              </w:rPr>
              <w:t>98.10%</w:t>
            </w:r>
          </w:p>
        </w:tc>
        <w:tc>
          <w:tcPr>
            <w:tcW w:w="100" w:type="dxa"/>
            <w:vAlign w:val="bottom"/>
          </w:tcPr>
          <w:p>
            <w:pPr>
              <w:spacing w:after="0"/>
              <w:rPr>
                <w:sz w:val="18"/>
                <w:szCs w:val="18"/>
                <w:color w:val="auto"/>
              </w:rPr>
            </w:pPr>
          </w:p>
        </w:tc>
        <w:tc>
          <w:tcPr>
            <w:tcW w:w="1160" w:type="dxa"/>
            <w:vAlign w:val="bottom"/>
            <w:gridSpan w:val="2"/>
          </w:tcPr>
          <w:p>
            <w:pPr>
              <w:jc w:val="right"/>
              <w:ind w:right="280"/>
              <w:spacing w:after="0"/>
              <w:rPr>
                <w:sz w:val="20"/>
                <w:szCs w:val="20"/>
                <w:color w:val="auto"/>
              </w:rPr>
            </w:pPr>
            <w:r>
              <w:rPr>
                <w:rFonts w:ascii="Arial" w:cs="Arial" w:eastAsia="Arial" w:hAnsi="Arial"/>
                <w:sz w:val="18"/>
                <w:szCs w:val="18"/>
                <w:color w:val="auto"/>
              </w:rPr>
              <w:t>96.40%</w:t>
            </w:r>
          </w:p>
        </w:tc>
        <w:tc>
          <w:tcPr>
            <w:tcW w:w="100" w:type="dxa"/>
            <w:vAlign w:val="bottom"/>
          </w:tcPr>
          <w:p>
            <w:pPr>
              <w:spacing w:after="0"/>
              <w:rPr>
                <w:sz w:val="18"/>
                <w:szCs w:val="18"/>
                <w:color w:val="auto"/>
              </w:rPr>
            </w:pPr>
          </w:p>
        </w:tc>
        <w:tc>
          <w:tcPr>
            <w:tcW w:w="940" w:type="dxa"/>
            <w:vAlign w:val="bottom"/>
            <w:gridSpan w:val="2"/>
          </w:tcPr>
          <w:p>
            <w:pPr>
              <w:jc w:val="right"/>
              <w:ind w:right="60"/>
              <w:spacing w:after="0"/>
              <w:rPr>
                <w:sz w:val="20"/>
                <w:szCs w:val="20"/>
                <w:color w:val="auto"/>
              </w:rPr>
            </w:pPr>
            <w:r>
              <w:rPr>
                <w:rFonts w:ascii="Arial" w:cs="Arial" w:eastAsia="Arial" w:hAnsi="Arial"/>
                <w:sz w:val="18"/>
                <w:szCs w:val="18"/>
                <w:color w:val="auto"/>
              </w:rPr>
              <w:t>94.70%</w:t>
            </w: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Total fleet in TEU (as of the end of the period)</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w w:val="89"/>
              </w:rPr>
              <w:t>3,774,053</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368"/>
              <w:spacing w:after="0"/>
              <w:rPr>
                <w:sz w:val="20"/>
                <w:szCs w:val="20"/>
                <w:color w:val="auto"/>
              </w:rPr>
            </w:pPr>
            <w:r>
              <w:rPr>
                <w:rFonts w:ascii="Arial" w:cs="Arial" w:eastAsia="Arial" w:hAnsi="Arial"/>
                <w:sz w:val="18"/>
                <w:szCs w:val="18"/>
                <w:color w:val="auto"/>
                <w:w w:val="87"/>
              </w:rPr>
              <w:t>3,500,812</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w w:val="89"/>
              </w:rPr>
              <w:t>3,354,724</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w w:val="87"/>
              </w:rPr>
              <w:t>3,279,892</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w w:val="87"/>
              </w:rPr>
              <w:t>3,142,556</w:t>
            </w:r>
          </w:p>
        </w:tc>
        <w:tc>
          <w:tcPr>
            <w:tcW w:w="0" w:type="dxa"/>
            <w:vAlign w:val="bottom"/>
          </w:tcPr>
          <w:p>
            <w:pPr>
              <w:spacing w:after="0"/>
              <w:rPr>
                <w:sz w:val="1"/>
                <w:szCs w:val="1"/>
                <w:color w:val="auto"/>
              </w:rPr>
            </w:pPr>
          </w:p>
        </w:tc>
      </w:tr>
      <w:tr>
        <w:trPr>
          <w:trHeight w:val="216"/>
        </w:trPr>
        <w:tc>
          <w:tcPr>
            <w:tcW w:w="4900" w:type="dxa"/>
            <w:vAlign w:val="bottom"/>
          </w:tcPr>
          <w:p>
            <w:pPr>
              <w:spacing w:after="0"/>
              <w:rPr>
                <w:sz w:val="20"/>
                <w:szCs w:val="20"/>
                <w:color w:val="auto"/>
              </w:rPr>
            </w:pPr>
            <w:r>
              <w:rPr>
                <w:rFonts w:ascii="Arial" w:cs="Arial" w:eastAsia="Arial" w:hAnsi="Arial"/>
                <w:sz w:val="18"/>
                <w:szCs w:val="18"/>
                <w:b w:val="1"/>
                <w:bCs w:val="1"/>
                <w:color w:val="auto"/>
              </w:rPr>
              <w:t>Balance Sheet Data (as of the end of the period):</w:t>
            </w:r>
          </w:p>
        </w:tc>
        <w:tc>
          <w:tcPr>
            <w:tcW w:w="1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Cash and cash equivalents (including restricted cash)</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205,165</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60" w:type="dxa"/>
            <w:vAlign w:val="bottom"/>
            <w:gridSpan w:val="2"/>
            <w:shd w:val="clear" w:color="auto" w:fill="CCEEFF"/>
          </w:tcPr>
          <w:p>
            <w:pPr>
              <w:jc w:val="right"/>
              <w:ind w:right="368"/>
              <w:spacing w:after="0"/>
              <w:rPr>
                <w:sz w:val="20"/>
                <w:szCs w:val="20"/>
                <w:color w:val="auto"/>
              </w:rPr>
            </w:pPr>
            <w:r>
              <w:rPr>
                <w:rFonts w:ascii="Arial" w:cs="Arial" w:eastAsia="Arial" w:hAnsi="Arial"/>
                <w:sz w:val="18"/>
                <w:szCs w:val="18"/>
                <w:color w:val="auto"/>
              </w:rPr>
              <w:t>277,905</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224,928</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237,569</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142,123</w:t>
            </w:r>
          </w:p>
        </w:tc>
        <w:tc>
          <w:tcPr>
            <w:tcW w:w="0" w:type="dxa"/>
            <w:vAlign w:val="bottom"/>
          </w:tcPr>
          <w:p>
            <w:pPr>
              <w:spacing w:after="0"/>
              <w:rPr>
                <w:sz w:val="1"/>
                <w:szCs w:val="1"/>
                <w:color w:val="auto"/>
              </w:rPr>
            </w:pPr>
          </w:p>
        </w:tc>
      </w:tr>
      <w:tr>
        <w:trPr>
          <w:trHeight w:val="216"/>
        </w:trPr>
        <w:tc>
          <w:tcPr>
            <w:tcW w:w="4900" w:type="dxa"/>
            <w:vAlign w:val="bottom"/>
          </w:tcPr>
          <w:p>
            <w:pPr>
              <w:spacing w:after="0"/>
              <w:rPr>
                <w:sz w:val="20"/>
                <w:szCs w:val="20"/>
                <w:color w:val="auto"/>
              </w:rPr>
            </w:pPr>
            <w:r>
              <w:rPr>
                <w:rFonts w:ascii="Arial" w:cs="Arial" w:eastAsia="Arial" w:hAnsi="Arial"/>
                <w:sz w:val="18"/>
                <w:szCs w:val="18"/>
                <w:color w:val="auto"/>
              </w:rPr>
              <w:t>Containers, net</w:t>
            </w:r>
          </w:p>
        </w:tc>
        <w:tc>
          <w:tcPr>
            <w:tcW w:w="100" w:type="dxa"/>
            <w:vAlign w:val="bottom"/>
          </w:tcPr>
          <w:p>
            <w:pPr>
              <w:spacing w:after="0"/>
              <w:rPr>
                <w:sz w:val="18"/>
                <w:szCs w:val="18"/>
                <w:color w:val="auto"/>
              </w:rPr>
            </w:pP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w w:val="89"/>
              </w:rPr>
              <w:t>4,125,052</w:t>
            </w:r>
          </w:p>
        </w:tc>
        <w:tc>
          <w:tcPr>
            <w:tcW w:w="100" w:type="dxa"/>
            <w:vAlign w:val="bottom"/>
          </w:tcPr>
          <w:p>
            <w:pPr>
              <w:spacing w:after="0"/>
              <w:rPr>
                <w:sz w:val="18"/>
                <w:szCs w:val="18"/>
                <w:color w:val="auto"/>
              </w:rPr>
            </w:pPr>
          </w:p>
        </w:tc>
        <w:tc>
          <w:tcPr>
            <w:tcW w:w="1160" w:type="dxa"/>
            <w:vAlign w:val="bottom"/>
            <w:gridSpan w:val="2"/>
          </w:tcPr>
          <w:p>
            <w:pPr>
              <w:jc w:val="right"/>
              <w:ind w:right="368"/>
              <w:spacing w:after="0"/>
              <w:rPr>
                <w:sz w:val="20"/>
                <w:szCs w:val="20"/>
                <w:color w:val="auto"/>
              </w:rPr>
            </w:pPr>
            <w:r>
              <w:rPr>
                <w:rFonts w:ascii="Arial" w:cs="Arial" w:eastAsia="Arial" w:hAnsi="Arial"/>
                <w:sz w:val="18"/>
                <w:szCs w:val="18"/>
                <w:color w:val="auto"/>
                <w:w w:val="87"/>
              </w:rPr>
              <w:t>4,156,151</w:t>
            </w:r>
          </w:p>
        </w:tc>
        <w:tc>
          <w:tcPr>
            <w:tcW w:w="100" w:type="dxa"/>
            <w:vAlign w:val="bottom"/>
          </w:tcPr>
          <w:p>
            <w:pPr>
              <w:spacing w:after="0"/>
              <w:rPr>
                <w:sz w:val="18"/>
                <w:szCs w:val="18"/>
                <w:color w:val="auto"/>
              </w:rPr>
            </w:pP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w w:val="89"/>
              </w:rPr>
              <w:t>4,134,016</w:t>
            </w:r>
          </w:p>
        </w:tc>
        <w:tc>
          <w:tcPr>
            <w:tcW w:w="100" w:type="dxa"/>
            <w:vAlign w:val="bottom"/>
          </w:tcPr>
          <w:p>
            <w:pPr>
              <w:spacing w:after="0"/>
              <w:rPr>
                <w:sz w:val="18"/>
                <w:szCs w:val="18"/>
                <w:color w:val="auto"/>
              </w:rPr>
            </w:pPr>
          </w:p>
        </w:tc>
        <w:tc>
          <w:tcPr>
            <w:tcW w:w="1160" w:type="dxa"/>
            <w:vAlign w:val="bottom"/>
            <w:gridSpan w:val="2"/>
          </w:tcPr>
          <w:p>
            <w:pPr>
              <w:jc w:val="right"/>
              <w:ind w:right="440"/>
              <w:spacing w:after="0"/>
              <w:rPr>
                <w:sz w:val="20"/>
                <w:szCs w:val="20"/>
                <w:color w:val="auto"/>
              </w:rPr>
            </w:pPr>
            <w:r>
              <w:rPr>
                <w:rFonts w:ascii="Arial" w:cs="Arial" w:eastAsia="Arial" w:hAnsi="Arial"/>
                <w:sz w:val="18"/>
                <w:szCs w:val="18"/>
                <w:color w:val="auto"/>
                <w:w w:val="87"/>
              </w:rPr>
              <w:t>3,791,610</w:t>
            </w:r>
          </w:p>
        </w:tc>
        <w:tc>
          <w:tcPr>
            <w:tcW w:w="100" w:type="dxa"/>
            <w:vAlign w:val="bottom"/>
          </w:tcPr>
          <w:p>
            <w:pPr>
              <w:spacing w:after="0"/>
              <w:rPr>
                <w:sz w:val="18"/>
                <w:szCs w:val="18"/>
                <w:color w:val="auto"/>
              </w:rPr>
            </w:pPr>
          </w:p>
        </w:tc>
        <w:tc>
          <w:tcPr>
            <w:tcW w:w="940" w:type="dxa"/>
            <w:vAlign w:val="bottom"/>
            <w:gridSpan w:val="2"/>
          </w:tcPr>
          <w:p>
            <w:pPr>
              <w:jc w:val="right"/>
              <w:ind w:right="220"/>
              <w:spacing w:after="0"/>
              <w:rPr>
                <w:sz w:val="20"/>
                <w:szCs w:val="20"/>
                <w:color w:val="auto"/>
              </w:rPr>
            </w:pPr>
            <w:r>
              <w:rPr>
                <w:rFonts w:ascii="Arial" w:cs="Arial" w:eastAsia="Arial" w:hAnsi="Arial"/>
                <w:sz w:val="18"/>
                <w:szCs w:val="18"/>
                <w:color w:val="auto"/>
                <w:w w:val="87"/>
              </w:rPr>
              <w:t>3,717,542</w:t>
            </w: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Net investment in finance leases (current and long-term)</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879,960</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368"/>
              <w:spacing w:after="0"/>
              <w:rPr>
                <w:sz w:val="20"/>
                <w:szCs w:val="20"/>
                <w:color w:val="auto"/>
              </w:rPr>
            </w:pPr>
            <w:r>
              <w:rPr>
                <w:rFonts w:ascii="Arial" w:cs="Arial" w:eastAsia="Arial" w:hAnsi="Arial"/>
                <w:sz w:val="18"/>
                <w:szCs w:val="18"/>
                <w:color w:val="auto"/>
              </w:rPr>
              <w:t>295,303</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167,060</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182,624</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237,234</w:t>
            </w:r>
          </w:p>
        </w:tc>
        <w:tc>
          <w:tcPr>
            <w:tcW w:w="0" w:type="dxa"/>
            <w:vAlign w:val="bottom"/>
          </w:tcPr>
          <w:p>
            <w:pPr>
              <w:spacing w:after="0"/>
              <w:rPr>
                <w:sz w:val="1"/>
                <w:szCs w:val="1"/>
                <w:color w:val="auto"/>
              </w:rPr>
            </w:pPr>
          </w:p>
        </w:tc>
      </w:tr>
      <w:tr>
        <w:trPr>
          <w:trHeight w:val="202"/>
        </w:trPr>
        <w:tc>
          <w:tcPr>
            <w:tcW w:w="4900" w:type="dxa"/>
            <w:vAlign w:val="bottom"/>
          </w:tcPr>
          <w:p>
            <w:pPr>
              <w:spacing w:after="0" w:line="201" w:lineRule="exact"/>
              <w:rPr>
                <w:sz w:val="20"/>
                <w:szCs w:val="20"/>
                <w:color w:val="auto"/>
              </w:rPr>
            </w:pPr>
            <w:r>
              <w:rPr>
                <w:rFonts w:ascii="Arial" w:cs="Arial" w:eastAsia="Arial" w:hAnsi="Arial"/>
                <w:sz w:val="18"/>
                <w:szCs w:val="18"/>
                <w:color w:val="auto"/>
              </w:rPr>
              <w:t>Container leaseback financing receivable (current and long-</w:t>
            </w:r>
          </w:p>
        </w:tc>
        <w:tc>
          <w:tcPr>
            <w:tcW w:w="1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4900" w:type="dxa"/>
            <w:vAlign w:val="bottom"/>
          </w:tcPr>
          <w:p>
            <w:pPr>
              <w:ind w:left="180"/>
              <w:spacing w:after="0"/>
              <w:rPr>
                <w:sz w:val="20"/>
                <w:szCs w:val="20"/>
                <w:color w:val="auto"/>
              </w:rPr>
            </w:pPr>
            <w:r>
              <w:rPr>
                <w:rFonts w:ascii="Arial" w:cs="Arial" w:eastAsia="Arial" w:hAnsi="Arial"/>
                <w:sz w:val="18"/>
                <w:szCs w:val="18"/>
                <w:color w:val="auto"/>
              </w:rPr>
              <w:t>term)</w:t>
            </w:r>
          </w:p>
        </w:tc>
        <w:tc>
          <w:tcPr>
            <w:tcW w:w="100" w:type="dxa"/>
            <w:vAlign w:val="bottom"/>
          </w:tcPr>
          <w:p>
            <w:pPr>
              <w:spacing w:after="0"/>
              <w:rPr>
                <w:sz w:val="20"/>
                <w:szCs w:val="20"/>
                <w:color w:val="auto"/>
              </w:rPr>
            </w:pP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rPr>
              <w:t>363,868</w:t>
            </w:r>
          </w:p>
        </w:tc>
        <w:tc>
          <w:tcPr>
            <w:tcW w:w="100" w:type="dxa"/>
            <w:vAlign w:val="bottom"/>
          </w:tcPr>
          <w:p>
            <w:pPr>
              <w:spacing w:after="0"/>
              <w:rPr>
                <w:sz w:val="20"/>
                <w:szCs w:val="20"/>
                <w:color w:val="auto"/>
              </w:rPr>
            </w:pPr>
          </w:p>
        </w:tc>
        <w:tc>
          <w:tcPr>
            <w:tcW w:w="1160" w:type="dxa"/>
            <w:vAlign w:val="bottom"/>
            <w:gridSpan w:val="2"/>
          </w:tcPr>
          <w:p>
            <w:pPr>
              <w:jc w:val="right"/>
              <w:ind w:right="368"/>
              <w:spacing w:after="0"/>
              <w:rPr>
                <w:sz w:val="20"/>
                <w:szCs w:val="20"/>
                <w:color w:val="auto"/>
              </w:rPr>
            </w:pPr>
            <w:r>
              <w:rPr>
                <w:rFonts w:ascii="Arial" w:cs="Arial" w:eastAsia="Arial" w:hAnsi="Arial"/>
                <w:sz w:val="18"/>
                <w:szCs w:val="18"/>
                <w:color w:val="auto"/>
              </w:rPr>
              <w:t>271,658</w:t>
            </w:r>
          </w:p>
        </w:tc>
        <w:tc>
          <w:tcPr>
            <w:tcW w:w="100" w:type="dxa"/>
            <w:vAlign w:val="bottom"/>
          </w:tcPr>
          <w:p>
            <w:pPr>
              <w:spacing w:after="0"/>
              <w:rPr>
                <w:sz w:val="20"/>
                <w:szCs w:val="20"/>
                <w:color w:val="auto"/>
              </w:rPr>
            </w:pPr>
          </w:p>
        </w:tc>
        <w:tc>
          <w:tcPr>
            <w:tcW w:w="1180" w:type="dxa"/>
            <w:vAlign w:val="bottom"/>
            <w:gridSpan w:val="2"/>
          </w:tcPr>
          <w:p>
            <w:pPr>
              <w:jc w:val="right"/>
              <w:ind w:right="54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20"/>
                <w:szCs w:val="20"/>
                <w:color w:val="auto"/>
              </w:rPr>
            </w:pPr>
          </w:p>
        </w:tc>
        <w:tc>
          <w:tcPr>
            <w:tcW w:w="116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20"/>
                <w:szCs w:val="20"/>
                <w:color w:val="auto"/>
              </w:rPr>
            </w:pPr>
          </w:p>
        </w:tc>
        <w:tc>
          <w:tcPr>
            <w:tcW w:w="940" w:type="dxa"/>
            <w:vAlign w:val="bottom"/>
            <w:gridSpan w:val="2"/>
          </w:tcPr>
          <w:p>
            <w:pPr>
              <w:jc w:val="right"/>
              <w:ind w:right="3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Total assets</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w w:val="89"/>
              </w:rPr>
              <w:t>5,741,376</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368"/>
              <w:spacing w:after="0"/>
              <w:rPr>
                <w:sz w:val="20"/>
                <w:szCs w:val="20"/>
                <w:color w:val="auto"/>
              </w:rPr>
            </w:pPr>
            <w:r>
              <w:rPr>
                <w:rFonts w:ascii="Arial" w:cs="Arial" w:eastAsia="Arial" w:hAnsi="Arial"/>
                <w:sz w:val="18"/>
                <w:szCs w:val="18"/>
                <w:color w:val="auto"/>
                <w:w w:val="87"/>
              </w:rPr>
              <w:t>5,202,617</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w w:val="89"/>
              </w:rPr>
              <w:t>4,768,769</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w w:val="87"/>
              </w:rPr>
              <w:t>4,401,252</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w w:val="87"/>
              </w:rPr>
              <w:t>4,310,729</w:t>
            </w:r>
          </w:p>
        </w:tc>
        <w:tc>
          <w:tcPr>
            <w:tcW w:w="0" w:type="dxa"/>
            <w:vAlign w:val="bottom"/>
          </w:tcPr>
          <w:p>
            <w:pPr>
              <w:spacing w:after="0"/>
              <w:rPr>
                <w:sz w:val="1"/>
                <w:szCs w:val="1"/>
                <w:color w:val="auto"/>
              </w:rPr>
            </w:pPr>
          </w:p>
        </w:tc>
      </w:tr>
      <w:tr>
        <w:trPr>
          <w:trHeight w:val="216"/>
        </w:trPr>
        <w:tc>
          <w:tcPr>
            <w:tcW w:w="4900" w:type="dxa"/>
            <w:vAlign w:val="bottom"/>
          </w:tcPr>
          <w:p>
            <w:pPr>
              <w:spacing w:after="0"/>
              <w:rPr>
                <w:sz w:val="20"/>
                <w:szCs w:val="20"/>
                <w:color w:val="auto"/>
              </w:rPr>
            </w:pPr>
            <w:r>
              <w:rPr>
                <w:rFonts w:ascii="Arial" w:cs="Arial" w:eastAsia="Arial" w:hAnsi="Arial"/>
                <w:sz w:val="18"/>
                <w:szCs w:val="18"/>
                <w:color w:val="auto"/>
              </w:rPr>
              <w:t>Long-term debt (including current portion)</w:t>
            </w:r>
          </w:p>
        </w:tc>
        <w:tc>
          <w:tcPr>
            <w:tcW w:w="100" w:type="dxa"/>
            <w:vAlign w:val="bottom"/>
          </w:tcPr>
          <w:p>
            <w:pPr>
              <w:spacing w:after="0"/>
              <w:rPr>
                <w:sz w:val="18"/>
                <w:szCs w:val="18"/>
                <w:color w:val="auto"/>
              </w:rPr>
            </w:pP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w w:val="89"/>
              </w:rPr>
              <w:t>4,115,344</w:t>
            </w:r>
          </w:p>
        </w:tc>
        <w:tc>
          <w:tcPr>
            <w:tcW w:w="100" w:type="dxa"/>
            <w:vAlign w:val="bottom"/>
          </w:tcPr>
          <w:p>
            <w:pPr>
              <w:spacing w:after="0"/>
              <w:rPr>
                <w:sz w:val="18"/>
                <w:szCs w:val="18"/>
                <w:color w:val="auto"/>
              </w:rPr>
            </w:pPr>
          </w:p>
        </w:tc>
        <w:tc>
          <w:tcPr>
            <w:tcW w:w="1160" w:type="dxa"/>
            <w:vAlign w:val="bottom"/>
            <w:gridSpan w:val="2"/>
          </w:tcPr>
          <w:p>
            <w:pPr>
              <w:jc w:val="right"/>
              <w:ind w:right="368"/>
              <w:spacing w:after="0"/>
              <w:rPr>
                <w:sz w:val="20"/>
                <w:szCs w:val="20"/>
                <w:color w:val="auto"/>
              </w:rPr>
            </w:pPr>
            <w:r>
              <w:rPr>
                <w:rFonts w:ascii="Arial" w:cs="Arial" w:eastAsia="Arial" w:hAnsi="Arial"/>
                <w:sz w:val="18"/>
                <w:szCs w:val="18"/>
                <w:color w:val="auto"/>
                <w:w w:val="87"/>
              </w:rPr>
              <w:t>3,797,729</w:t>
            </w:r>
          </w:p>
        </w:tc>
        <w:tc>
          <w:tcPr>
            <w:tcW w:w="100" w:type="dxa"/>
            <w:vAlign w:val="bottom"/>
          </w:tcPr>
          <w:p>
            <w:pPr>
              <w:spacing w:after="0"/>
              <w:rPr>
                <w:sz w:val="18"/>
                <w:szCs w:val="18"/>
                <w:color w:val="auto"/>
              </w:rPr>
            </w:pP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w w:val="89"/>
              </w:rPr>
              <w:t>3,409,827</w:t>
            </w:r>
          </w:p>
        </w:tc>
        <w:tc>
          <w:tcPr>
            <w:tcW w:w="100" w:type="dxa"/>
            <w:vAlign w:val="bottom"/>
          </w:tcPr>
          <w:p>
            <w:pPr>
              <w:spacing w:after="0"/>
              <w:rPr>
                <w:sz w:val="18"/>
                <w:szCs w:val="18"/>
                <w:color w:val="auto"/>
              </w:rPr>
            </w:pPr>
          </w:p>
        </w:tc>
        <w:tc>
          <w:tcPr>
            <w:tcW w:w="1160" w:type="dxa"/>
            <w:vAlign w:val="bottom"/>
            <w:gridSpan w:val="2"/>
          </w:tcPr>
          <w:p>
            <w:pPr>
              <w:jc w:val="right"/>
              <w:ind w:right="440"/>
              <w:spacing w:after="0"/>
              <w:rPr>
                <w:sz w:val="20"/>
                <w:szCs w:val="20"/>
                <w:color w:val="auto"/>
              </w:rPr>
            </w:pPr>
            <w:r>
              <w:rPr>
                <w:rFonts w:ascii="Arial" w:cs="Arial" w:eastAsia="Arial" w:hAnsi="Arial"/>
                <w:sz w:val="18"/>
                <w:szCs w:val="18"/>
                <w:color w:val="auto"/>
                <w:w w:val="87"/>
              </w:rPr>
              <w:t>2,990,308</w:t>
            </w:r>
          </w:p>
        </w:tc>
        <w:tc>
          <w:tcPr>
            <w:tcW w:w="100" w:type="dxa"/>
            <w:vAlign w:val="bottom"/>
          </w:tcPr>
          <w:p>
            <w:pPr>
              <w:spacing w:after="0"/>
              <w:rPr>
                <w:sz w:val="18"/>
                <w:szCs w:val="18"/>
                <w:color w:val="auto"/>
              </w:rPr>
            </w:pPr>
          </w:p>
        </w:tc>
        <w:tc>
          <w:tcPr>
            <w:tcW w:w="940" w:type="dxa"/>
            <w:vAlign w:val="bottom"/>
            <w:gridSpan w:val="2"/>
          </w:tcPr>
          <w:p>
            <w:pPr>
              <w:jc w:val="right"/>
              <w:ind w:right="220"/>
              <w:spacing w:after="0"/>
              <w:rPr>
                <w:sz w:val="20"/>
                <w:szCs w:val="20"/>
                <w:color w:val="auto"/>
              </w:rPr>
            </w:pPr>
            <w:r>
              <w:rPr>
                <w:rFonts w:ascii="Arial" w:cs="Arial" w:eastAsia="Arial" w:hAnsi="Arial"/>
                <w:sz w:val="18"/>
                <w:szCs w:val="18"/>
                <w:color w:val="auto"/>
                <w:w w:val="87"/>
              </w:rPr>
              <w:t>3,038,297</w:t>
            </w: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Total liabilities</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w w:val="89"/>
              </w:rPr>
              <w:t>4,454,658</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368"/>
              <w:spacing w:after="0"/>
              <w:rPr>
                <w:sz w:val="20"/>
                <w:szCs w:val="20"/>
                <w:color w:val="auto"/>
              </w:rPr>
            </w:pPr>
            <w:r>
              <w:rPr>
                <w:rFonts w:ascii="Arial" w:cs="Arial" w:eastAsia="Arial" w:hAnsi="Arial"/>
                <w:sz w:val="18"/>
                <w:szCs w:val="18"/>
                <w:color w:val="auto"/>
                <w:w w:val="87"/>
              </w:rPr>
              <w:t>3,916,972</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w w:val="89"/>
              </w:rPr>
              <w:t>3,532,778</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w w:val="87"/>
              </w:rPr>
              <w:t>3,195,215</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w w:val="87"/>
              </w:rPr>
              <w:t>3,130,189</w:t>
            </w:r>
          </w:p>
        </w:tc>
        <w:tc>
          <w:tcPr>
            <w:tcW w:w="0" w:type="dxa"/>
            <w:vAlign w:val="bottom"/>
          </w:tcPr>
          <w:p>
            <w:pPr>
              <w:spacing w:after="0"/>
              <w:rPr>
                <w:sz w:val="1"/>
                <w:szCs w:val="1"/>
                <w:color w:val="auto"/>
              </w:rPr>
            </w:pPr>
          </w:p>
        </w:tc>
      </w:tr>
      <w:tr>
        <w:trPr>
          <w:trHeight w:val="216"/>
        </w:trPr>
        <w:tc>
          <w:tcPr>
            <w:tcW w:w="4900" w:type="dxa"/>
            <w:vAlign w:val="bottom"/>
          </w:tcPr>
          <w:p>
            <w:pPr>
              <w:spacing w:after="0"/>
              <w:rPr>
                <w:sz w:val="20"/>
                <w:szCs w:val="20"/>
                <w:color w:val="auto"/>
              </w:rPr>
            </w:pPr>
            <w:r>
              <w:rPr>
                <w:rFonts w:ascii="Arial" w:cs="Arial" w:eastAsia="Arial" w:hAnsi="Arial"/>
                <w:sz w:val="18"/>
                <w:szCs w:val="18"/>
                <w:color w:val="auto"/>
              </w:rPr>
              <w:t>Total Textainer Group Holdings Limited shareholders’ equity</w:t>
            </w:r>
          </w:p>
        </w:tc>
        <w:tc>
          <w:tcPr>
            <w:tcW w:w="100" w:type="dxa"/>
            <w:vAlign w:val="bottom"/>
          </w:tcPr>
          <w:p>
            <w:pPr>
              <w:spacing w:after="0"/>
              <w:rPr>
                <w:sz w:val="18"/>
                <w:szCs w:val="18"/>
                <w:color w:val="auto"/>
              </w:rPr>
            </w:pP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w w:val="89"/>
              </w:rPr>
              <w:t>1,259,608</w:t>
            </w:r>
          </w:p>
        </w:tc>
        <w:tc>
          <w:tcPr>
            <w:tcW w:w="100" w:type="dxa"/>
            <w:vAlign w:val="bottom"/>
          </w:tcPr>
          <w:p>
            <w:pPr>
              <w:spacing w:after="0"/>
              <w:rPr>
                <w:sz w:val="18"/>
                <w:szCs w:val="18"/>
                <w:color w:val="auto"/>
              </w:rPr>
            </w:pPr>
          </w:p>
        </w:tc>
        <w:tc>
          <w:tcPr>
            <w:tcW w:w="1160" w:type="dxa"/>
            <w:vAlign w:val="bottom"/>
            <w:gridSpan w:val="2"/>
          </w:tcPr>
          <w:p>
            <w:pPr>
              <w:jc w:val="right"/>
              <w:ind w:right="368"/>
              <w:spacing w:after="0"/>
              <w:rPr>
                <w:sz w:val="20"/>
                <w:szCs w:val="20"/>
                <w:color w:val="auto"/>
              </w:rPr>
            </w:pPr>
            <w:r>
              <w:rPr>
                <w:rFonts w:ascii="Arial" w:cs="Arial" w:eastAsia="Arial" w:hAnsi="Arial"/>
                <w:sz w:val="18"/>
                <w:szCs w:val="18"/>
                <w:color w:val="auto"/>
                <w:w w:val="87"/>
              </w:rPr>
              <w:t>1,259,379</w:t>
            </w:r>
          </w:p>
        </w:tc>
        <w:tc>
          <w:tcPr>
            <w:tcW w:w="100" w:type="dxa"/>
            <w:vAlign w:val="bottom"/>
          </w:tcPr>
          <w:p>
            <w:pPr>
              <w:spacing w:after="0"/>
              <w:rPr>
                <w:sz w:val="18"/>
                <w:szCs w:val="18"/>
                <w:color w:val="auto"/>
              </w:rPr>
            </w:pP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w w:val="89"/>
              </w:rPr>
              <w:t>1,206,813</w:t>
            </w:r>
          </w:p>
        </w:tc>
        <w:tc>
          <w:tcPr>
            <w:tcW w:w="100" w:type="dxa"/>
            <w:vAlign w:val="bottom"/>
          </w:tcPr>
          <w:p>
            <w:pPr>
              <w:spacing w:after="0"/>
              <w:rPr>
                <w:sz w:val="18"/>
                <w:szCs w:val="18"/>
                <w:color w:val="auto"/>
              </w:rPr>
            </w:pPr>
          </w:p>
        </w:tc>
        <w:tc>
          <w:tcPr>
            <w:tcW w:w="1160" w:type="dxa"/>
            <w:vAlign w:val="bottom"/>
            <w:gridSpan w:val="2"/>
          </w:tcPr>
          <w:p>
            <w:pPr>
              <w:jc w:val="right"/>
              <w:ind w:right="440"/>
              <w:spacing w:after="0"/>
              <w:rPr>
                <w:sz w:val="20"/>
                <w:szCs w:val="20"/>
                <w:color w:val="auto"/>
              </w:rPr>
            </w:pPr>
            <w:r>
              <w:rPr>
                <w:rFonts w:ascii="Arial" w:cs="Arial" w:eastAsia="Arial" w:hAnsi="Arial"/>
                <w:sz w:val="18"/>
                <w:szCs w:val="18"/>
                <w:color w:val="auto"/>
                <w:w w:val="87"/>
              </w:rPr>
              <w:t>1,148,297</w:t>
            </w:r>
          </w:p>
        </w:tc>
        <w:tc>
          <w:tcPr>
            <w:tcW w:w="100" w:type="dxa"/>
            <w:vAlign w:val="bottom"/>
          </w:tcPr>
          <w:p>
            <w:pPr>
              <w:spacing w:after="0"/>
              <w:rPr>
                <w:sz w:val="18"/>
                <w:szCs w:val="18"/>
                <w:color w:val="auto"/>
              </w:rPr>
            </w:pPr>
          </w:p>
        </w:tc>
        <w:tc>
          <w:tcPr>
            <w:tcW w:w="940" w:type="dxa"/>
            <w:vAlign w:val="bottom"/>
            <w:gridSpan w:val="2"/>
          </w:tcPr>
          <w:p>
            <w:pPr>
              <w:jc w:val="right"/>
              <w:ind w:right="220"/>
              <w:spacing w:after="0"/>
              <w:rPr>
                <w:sz w:val="20"/>
                <w:szCs w:val="20"/>
                <w:color w:val="auto"/>
              </w:rPr>
            </w:pPr>
            <w:r>
              <w:rPr>
                <w:rFonts w:ascii="Arial" w:cs="Arial" w:eastAsia="Arial" w:hAnsi="Arial"/>
                <w:sz w:val="18"/>
                <w:szCs w:val="18"/>
                <w:color w:val="auto"/>
                <w:w w:val="87"/>
              </w:rPr>
              <w:t>1,121,681</w:t>
            </w: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Noncontrolling interests</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27,110</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368"/>
              <w:spacing w:after="0"/>
              <w:rPr>
                <w:sz w:val="20"/>
                <w:szCs w:val="20"/>
                <w:color w:val="auto"/>
              </w:rPr>
            </w:pPr>
            <w:r>
              <w:rPr>
                <w:rFonts w:ascii="Arial" w:cs="Arial" w:eastAsia="Arial" w:hAnsi="Arial"/>
                <w:sz w:val="18"/>
                <w:szCs w:val="18"/>
                <w:color w:val="auto"/>
              </w:rPr>
              <w:t>26,266</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29,178</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57,740</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58,859</w:t>
            </w:r>
          </w:p>
        </w:tc>
        <w:tc>
          <w:tcPr>
            <w:tcW w:w="0" w:type="dxa"/>
            <w:vAlign w:val="bottom"/>
          </w:tcPr>
          <w:p>
            <w:pPr>
              <w:spacing w:after="0"/>
              <w:rPr>
                <w:sz w:val="1"/>
                <w:szCs w:val="1"/>
                <w:color w:val="auto"/>
              </w:rPr>
            </w:pPr>
          </w:p>
        </w:tc>
      </w:tr>
    </w:tbl>
    <w:p>
      <w:pPr>
        <w:spacing w:after="0" w:line="229" w:lineRule="exact"/>
        <w:rPr>
          <w:sz w:val="20"/>
          <w:szCs w:val="20"/>
          <w:color w:val="auto"/>
        </w:rPr>
      </w:pPr>
    </w:p>
    <w:p>
      <w:pPr>
        <w:ind w:left="424" w:right="40" w:hanging="424"/>
        <w:spacing w:after="0" w:line="263" w:lineRule="auto"/>
        <w:tabs>
          <w:tab w:leader="none" w:pos="424" w:val="left"/>
        </w:tabs>
        <w:numPr>
          <w:ilvl w:val="0"/>
          <w:numId w:val="8"/>
        </w:numPr>
        <w:rPr>
          <w:rFonts w:ascii="Arial" w:cs="Arial" w:eastAsia="Arial" w:hAnsi="Arial"/>
          <w:sz w:val="18"/>
          <w:szCs w:val="18"/>
          <w:color w:val="auto"/>
        </w:rPr>
      </w:pPr>
      <w:r>
        <w:rPr>
          <w:rFonts w:ascii="Arial" w:cs="Arial" w:eastAsia="Arial" w:hAnsi="Arial"/>
          <w:sz w:val="18"/>
          <w:szCs w:val="18"/>
          <w:color w:val="auto"/>
        </w:rPr>
        <w:t>We measure the utilization rate on the basis of CEU on lease, using the actual number of days on-hire, expressed as a percentage of CEU available for lease, using the actual days available for lease. CEU available for lease excludes CEU that have been manufactured for us but have not yet been delivered to a lessee and CEU designated as held for sale units.</w:t>
      </w:r>
    </w:p>
    <w:p>
      <w:pPr>
        <w:spacing w:after="0" w:line="116"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024"/>
          </w:cols>
          <w:pgMar w:left="436" w:top="253" w:right="439" w:bottom="1440" w:gutter="0" w:footer="0" w:header="0"/>
        </w:sectPr>
      </w:pPr>
    </w:p>
    <w:bookmarkStart w:id="18" w:name="page19"/>
    <w:bookmarkEnd w:id="18"/>
    <w:p>
      <w:pPr>
        <w:ind w:left="444" w:right="8100" w:hanging="444"/>
        <w:spacing w:after="0" w:line="407" w:lineRule="auto"/>
        <w:tabs>
          <w:tab w:leader="none" w:pos="436" w:val="left"/>
        </w:tabs>
        <w:numPr>
          <w:ilvl w:val="0"/>
          <w:numId w:val="9"/>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Capitalization and Indebtedness </w:t>
      </w:r>
      <w:r>
        <w:rPr>
          <w:rFonts w:ascii="Arial" w:cs="Arial" w:eastAsia="Arial" w:hAnsi="Arial"/>
          <w:sz w:val="18"/>
          <w:szCs w:val="18"/>
          <w:color w:val="auto"/>
        </w:rPr>
        <w:t>Not applicable.</w:t>
      </w:r>
    </w:p>
    <w:p>
      <w:pPr>
        <w:spacing w:after="0" w:line="202" w:lineRule="exact"/>
        <w:rPr>
          <w:rFonts w:ascii="Arial" w:cs="Arial" w:eastAsia="Arial" w:hAnsi="Arial"/>
          <w:sz w:val="18"/>
          <w:szCs w:val="18"/>
          <w:b w:val="1"/>
          <w:bCs w:val="1"/>
          <w:color w:val="auto"/>
        </w:rPr>
      </w:pPr>
    </w:p>
    <w:p>
      <w:pPr>
        <w:ind w:left="444" w:right="7340" w:hanging="444"/>
        <w:spacing w:after="0" w:line="407" w:lineRule="auto"/>
        <w:tabs>
          <w:tab w:leader="none" w:pos="436" w:val="left"/>
        </w:tabs>
        <w:numPr>
          <w:ilvl w:val="0"/>
          <w:numId w:val="9"/>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Reasons for the Offer and Use of Proceeds </w:t>
      </w:r>
      <w:r>
        <w:rPr>
          <w:rFonts w:ascii="Arial" w:cs="Arial" w:eastAsia="Arial" w:hAnsi="Arial"/>
          <w:sz w:val="18"/>
          <w:szCs w:val="18"/>
          <w:color w:val="auto"/>
        </w:rPr>
        <w:t>Not applicable.</w:t>
      </w:r>
    </w:p>
    <w:p>
      <w:pPr>
        <w:spacing w:after="0" w:line="202" w:lineRule="exact"/>
        <w:rPr>
          <w:rFonts w:ascii="Arial" w:cs="Arial" w:eastAsia="Arial" w:hAnsi="Arial"/>
          <w:sz w:val="18"/>
          <w:szCs w:val="18"/>
          <w:b w:val="1"/>
          <w:bCs w:val="1"/>
          <w:color w:val="auto"/>
        </w:rPr>
      </w:pPr>
    </w:p>
    <w:p>
      <w:pPr>
        <w:ind w:left="424" w:hanging="424"/>
        <w:spacing w:after="0"/>
        <w:tabs>
          <w:tab w:leader="none" w:pos="424" w:val="left"/>
        </w:tabs>
        <w:numPr>
          <w:ilvl w:val="0"/>
          <w:numId w:val="9"/>
        </w:numPr>
        <w:rPr>
          <w:rFonts w:ascii="Arial" w:cs="Arial" w:eastAsia="Arial" w:hAnsi="Arial"/>
          <w:sz w:val="18"/>
          <w:szCs w:val="18"/>
          <w:b w:val="1"/>
          <w:bCs w:val="1"/>
          <w:color w:val="auto"/>
        </w:rPr>
      </w:pPr>
      <w:r>
        <w:rPr>
          <w:rFonts w:ascii="Arial" w:cs="Arial" w:eastAsia="Arial" w:hAnsi="Arial"/>
          <w:sz w:val="18"/>
          <w:szCs w:val="18"/>
          <w:b w:val="1"/>
          <w:bCs w:val="1"/>
          <w:color w:val="auto"/>
        </w:rPr>
        <w:t>Risk Factors</w:t>
      </w:r>
    </w:p>
    <w:p>
      <w:pPr>
        <w:spacing w:after="0" w:line="121" w:lineRule="exact"/>
        <w:rPr>
          <w:sz w:val="20"/>
          <w:szCs w:val="20"/>
          <w:color w:val="auto"/>
        </w:rPr>
      </w:pPr>
    </w:p>
    <w:p>
      <w:pPr>
        <w:ind w:left="4" w:right="80" w:firstLine="440"/>
        <w:spacing w:after="0" w:line="257" w:lineRule="auto"/>
        <w:rPr>
          <w:sz w:val="20"/>
          <w:szCs w:val="20"/>
          <w:color w:val="auto"/>
        </w:rPr>
      </w:pPr>
      <w:r>
        <w:rPr>
          <w:rFonts w:ascii="Arial" w:cs="Arial" w:eastAsia="Arial" w:hAnsi="Arial"/>
          <w:sz w:val="18"/>
          <w:szCs w:val="18"/>
          <w:i w:val="1"/>
          <w:iCs w:val="1"/>
          <w:color w:val="auto"/>
        </w:rPr>
        <w:t>An investment in our common shares involves a high degree of risk. You should carefully consider the following risk factors, together with the other information contained elsewhere in this Annual Report on Form 20-F, including our financial statements and the related notes thereto, before you decide to buy, hold or sell our common shares. Any of the risk factors we describe below could adversely affect our business, cash flows, results of operations and financial condition. The market price of our common shares could decline and you may lose some or all of your investment if one or more of these risks and uncertainties develop into actual events.</w:t>
      </w:r>
    </w:p>
    <w:p>
      <w:pPr>
        <w:spacing w:after="0" w:line="200" w:lineRule="exact"/>
        <w:rPr>
          <w:sz w:val="20"/>
          <w:szCs w:val="20"/>
          <w:color w:val="auto"/>
        </w:rPr>
      </w:pPr>
    </w:p>
    <w:p>
      <w:pPr>
        <w:spacing w:after="0" w:line="204"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i w:val="1"/>
          <w:iCs w:val="1"/>
          <w:color w:val="auto"/>
        </w:rPr>
        <w:t>Summary of Risks Related to the Company and Investment in our Shares</w:t>
      </w:r>
    </w:p>
    <w:p>
      <w:pPr>
        <w:spacing w:after="0" w:line="225" w:lineRule="exact"/>
        <w:rPr>
          <w:sz w:val="20"/>
          <w:szCs w:val="20"/>
          <w:color w:val="auto"/>
        </w:rPr>
      </w:pPr>
    </w:p>
    <w:p>
      <w:pPr>
        <w:jc w:val="both"/>
        <w:ind w:left="4" w:right="120"/>
        <w:spacing w:after="0" w:line="342" w:lineRule="auto"/>
        <w:rPr>
          <w:sz w:val="20"/>
          <w:szCs w:val="20"/>
          <w:color w:val="auto"/>
        </w:rPr>
      </w:pPr>
      <w:r>
        <w:rPr>
          <w:rFonts w:ascii="Arial" w:cs="Arial" w:eastAsia="Arial" w:hAnsi="Arial"/>
          <w:sz w:val="16"/>
          <w:szCs w:val="16"/>
          <w:color w:val="auto"/>
        </w:rPr>
        <w:t>The following is a summary of the risks related to our Company and your investment in our shares. You are encouraged to review all of the risk factors that follow for more detailed information and discussion of how these risks and other risks related to our company and common shares may impact us:</w:t>
      </w:r>
    </w:p>
    <w:p>
      <w:pPr>
        <w:spacing w:after="0" w:line="29" w:lineRule="exact"/>
        <w:rPr>
          <w:sz w:val="20"/>
          <w:szCs w:val="20"/>
          <w:color w:val="auto"/>
        </w:rPr>
      </w:pPr>
    </w:p>
    <w:p>
      <w:pPr>
        <w:ind w:left="964" w:right="440" w:hanging="532"/>
        <w:spacing w:after="0" w:line="263" w:lineRule="auto"/>
        <w:tabs>
          <w:tab w:leader="none" w:pos="964" w:val="left"/>
        </w:tabs>
        <w:numPr>
          <w:ilvl w:val="0"/>
          <w:numId w:val="10"/>
        </w:numPr>
        <w:rPr>
          <w:rFonts w:ascii="Arial" w:cs="Arial" w:eastAsia="Arial" w:hAnsi="Arial"/>
          <w:sz w:val="18"/>
          <w:szCs w:val="18"/>
          <w:color w:val="auto"/>
        </w:rPr>
      </w:pPr>
      <w:r>
        <w:rPr>
          <w:rFonts w:ascii="Arial" w:cs="Arial" w:eastAsia="Arial" w:hAnsi="Arial"/>
          <w:sz w:val="18"/>
          <w:szCs w:val="18"/>
          <w:color w:val="auto"/>
        </w:rPr>
        <w:t>The demand, pricing and utilization of our leased containers depends on many factors beyond our control, including global economic conditions, economic stability, new container prices, prevailing lease rates, freight demand, international trade and trade barriers, environmental regulations, industry consolidation and other factors.</w:t>
      </w:r>
    </w:p>
    <w:p>
      <w:pPr>
        <w:spacing w:after="0" w:line="89" w:lineRule="exact"/>
        <w:rPr>
          <w:rFonts w:ascii="Arial" w:cs="Arial" w:eastAsia="Arial" w:hAnsi="Arial"/>
          <w:sz w:val="18"/>
          <w:szCs w:val="18"/>
          <w:color w:val="auto"/>
        </w:rPr>
      </w:pPr>
    </w:p>
    <w:p>
      <w:pPr>
        <w:ind w:left="964" w:right="160" w:hanging="532"/>
        <w:spacing w:after="0" w:line="263" w:lineRule="auto"/>
        <w:tabs>
          <w:tab w:leader="none" w:pos="964" w:val="left"/>
        </w:tabs>
        <w:numPr>
          <w:ilvl w:val="0"/>
          <w:numId w:val="10"/>
        </w:numPr>
        <w:rPr>
          <w:rFonts w:ascii="Arial" w:cs="Arial" w:eastAsia="Arial" w:hAnsi="Arial"/>
          <w:sz w:val="18"/>
          <w:szCs w:val="18"/>
          <w:color w:val="auto"/>
        </w:rPr>
      </w:pPr>
      <w:r>
        <w:rPr>
          <w:rFonts w:ascii="Arial" w:cs="Arial" w:eastAsia="Arial" w:hAnsi="Arial"/>
          <w:sz w:val="18"/>
          <w:szCs w:val="18"/>
          <w:color w:val="auto"/>
        </w:rPr>
        <w:t>Other results may fluctuate based on risks associated with re-leasing containers after their initial long-term lease and gains and losses associated with the disposition or trading of used equipment. Credit events such as lease defaults, which are enhanced due to our reliance on a limited number of lessees can also impact our results.</w:t>
      </w:r>
    </w:p>
    <w:p>
      <w:pPr>
        <w:spacing w:after="0" w:line="89" w:lineRule="exact"/>
        <w:rPr>
          <w:rFonts w:ascii="Arial" w:cs="Arial" w:eastAsia="Arial" w:hAnsi="Arial"/>
          <w:sz w:val="18"/>
          <w:szCs w:val="18"/>
          <w:color w:val="auto"/>
        </w:rPr>
      </w:pPr>
    </w:p>
    <w:p>
      <w:pPr>
        <w:jc w:val="both"/>
        <w:ind w:left="964" w:right="360" w:hanging="532"/>
        <w:spacing w:after="0" w:line="279" w:lineRule="auto"/>
        <w:tabs>
          <w:tab w:leader="none" w:pos="964" w:val="left"/>
        </w:tabs>
        <w:numPr>
          <w:ilvl w:val="0"/>
          <w:numId w:val="10"/>
        </w:numPr>
        <w:rPr>
          <w:rFonts w:ascii="Arial" w:cs="Arial" w:eastAsia="Arial" w:hAnsi="Arial"/>
          <w:sz w:val="17"/>
          <w:szCs w:val="17"/>
          <w:color w:val="auto"/>
        </w:rPr>
      </w:pPr>
      <w:r>
        <w:rPr>
          <w:rFonts w:ascii="Arial" w:cs="Arial" w:eastAsia="Arial" w:hAnsi="Arial"/>
          <w:sz w:val="17"/>
          <w:szCs w:val="17"/>
          <w:color w:val="auto"/>
        </w:rPr>
        <w:t>Our business and capital structure rely on a significant amount of debt and our indebtedness reduces our financial flexibility and could impede our ability to operate. We own the substantial majority of our containers and they are largely financed with debt. Our ability to service our debt and fund future capital expenditures, depends on many factors beyond our control. Our debt facilities have significant covenants and we rely on hedging with the use of derivatives which has risks.</w:t>
      </w:r>
    </w:p>
    <w:p>
      <w:pPr>
        <w:spacing w:after="0" w:line="76" w:lineRule="exact"/>
        <w:rPr>
          <w:rFonts w:ascii="Arial" w:cs="Arial" w:eastAsia="Arial" w:hAnsi="Arial"/>
          <w:sz w:val="17"/>
          <w:szCs w:val="17"/>
          <w:color w:val="auto"/>
        </w:rPr>
      </w:pPr>
    </w:p>
    <w:p>
      <w:pPr>
        <w:ind w:left="964" w:hanging="532"/>
        <w:spacing w:after="0" w:line="279" w:lineRule="auto"/>
        <w:tabs>
          <w:tab w:leader="none" w:pos="964" w:val="left"/>
        </w:tabs>
        <w:numPr>
          <w:ilvl w:val="0"/>
          <w:numId w:val="10"/>
        </w:numPr>
        <w:rPr>
          <w:rFonts w:ascii="Arial" w:cs="Arial" w:eastAsia="Arial" w:hAnsi="Arial"/>
          <w:sz w:val="17"/>
          <w:szCs w:val="17"/>
          <w:color w:val="auto"/>
        </w:rPr>
      </w:pPr>
      <w:r>
        <w:rPr>
          <w:rFonts w:ascii="Arial" w:cs="Arial" w:eastAsia="Arial" w:hAnsi="Arial"/>
          <w:sz w:val="17"/>
          <w:szCs w:val="17"/>
          <w:color w:val="auto"/>
        </w:rPr>
        <w:t>We face various operational and competitive risks which including, repositioning our containers which may cost us significant amounts, a surplus of containers and a lack of storage space could negatively impact us, if containers are not leased shortly after we purchase them, we face risks, consolidation or disruptions with container manufacturers could harm our business, we face extensive competition in the container leasing industry and our lessees may decide to buy, rather than lease their containers.</w:t>
      </w:r>
    </w:p>
    <w:p>
      <w:pPr>
        <w:spacing w:after="0" w:line="76" w:lineRule="exact"/>
        <w:rPr>
          <w:rFonts w:ascii="Arial" w:cs="Arial" w:eastAsia="Arial" w:hAnsi="Arial"/>
          <w:sz w:val="17"/>
          <w:szCs w:val="17"/>
          <w:color w:val="auto"/>
        </w:rPr>
      </w:pPr>
    </w:p>
    <w:p>
      <w:pPr>
        <w:ind w:left="964" w:right="140" w:hanging="532"/>
        <w:spacing w:after="0" w:line="259" w:lineRule="auto"/>
        <w:tabs>
          <w:tab w:leader="none" w:pos="964" w:val="left"/>
        </w:tabs>
        <w:numPr>
          <w:ilvl w:val="0"/>
          <w:numId w:val="10"/>
        </w:numPr>
        <w:rPr>
          <w:rFonts w:ascii="Arial" w:cs="Arial" w:eastAsia="Arial" w:hAnsi="Arial"/>
          <w:sz w:val="18"/>
          <w:szCs w:val="18"/>
          <w:color w:val="auto"/>
        </w:rPr>
      </w:pPr>
      <w:r>
        <w:rPr>
          <w:rFonts w:ascii="Arial" w:cs="Arial" w:eastAsia="Arial" w:hAnsi="Arial"/>
          <w:sz w:val="18"/>
          <w:szCs w:val="18"/>
          <w:color w:val="auto"/>
        </w:rPr>
        <w:t>The international nature of the container shipping industry exposes us to numerous risks, additionally terrorist attacks, the threat of such attacks or the outbreak of war and hostilities could negatively impact us and may expose us to liability, risks from the political and economic policies of China, its legal system and China’s economic activity, exchange rate fluctuations, cargo security regulations and the lack of an international title registry for containers could have an adverse impact on us.</w:t>
      </w:r>
    </w:p>
    <w:p>
      <w:pPr>
        <w:spacing w:after="0" w:line="119"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004"/>
          </w:cols>
          <w:pgMar w:left="436" w:top="270" w:right="459" w:bottom="1440" w:gutter="0" w:footer="0" w:header="0"/>
        </w:sectPr>
      </w:pPr>
    </w:p>
    <w:bookmarkStart w:id="19" w:name="page20"/>
    <w:bookmarkEnd w:id="19"/>
    <w:p>
      <w:pPr>
        <w:ind w:left="960" w:right="180" w:hanging="532"/>
        <w:spacing w:after="0" w:line="259" w:lineRule="auto"/>
        <w:tabs>
          <w:tab w:leader="none" w:pos="960" w:val="left"/>
        </w:tabs>
        <w:numPr>
          <w:ilvl w:val="0"/>
          <w:numId w:val="11"/>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174865" cy="38735"/>
                    </a:xfrm>
                    <a:prstGeom prst="rect">
                      <a:avLst/>
                    </a:prstGeom>
                    <a:noFill/>
                  </pic:spPr>
                </pic:pic>
              </a:graphicData>
            </a:graphic>
          </wp:anchor>
        </w:drawing>
        <w:t>We face a number of other business risks including IT system risks, cyber-attack and security breaches, insurance risks, US government contracting risks, risks from acquisitions and joint ventures, risks from attracting and retaining senior executives, environmental regulations, risks from our joint venture with Trifleet Leasing, potential litigation arising from container management activities, and risks from U.S. laws that impact our international operations.</w:t>
      </w:r>
    </w:p>
    <w:p>
      <w:pPr>
        <w:spacing w:after="0" w:line="92" w:lineRule="exact"/>
        <w:rPr>
          <w:rFonts w:ascii="Arial" w:cs="Arial" w:eastAsia="Arial" w:hAnsi="Arial"/>
          <w:sz w:val="18"/>
          <w:szCs w:val="18"/>
          <w:color w:val="auto"/>
        </w:rPr>
      </w:pPr>
    </w:p>
    <w:p>
      <w:pPr>
        <w:ind w:left="960" w:hanging="532"/>
        <w:spacing w:after="0" w:line="296" w:lineRule="auto"/>
        <w:tabs>
          <w:tab w:leader="none" w:pos="960" w:val="left"/>
        </w:tabs>
        <w:numPr>
          <w:ilvl w:val="0"/>
          <w:numId w:val="11"/>
        </w:numPr>
        <w:rPr>
          <w:rFonts w:ascii="Arial" w:cs="Arial" w:eastAsia="Arial" w:hAnsi="Arial"/>
          <w:sz w:val="16"/>
          <w:szCs w:val="16"/>
          <w:color w:val="auto"/>
        </w:rPr>
      </w:pPr>
      <w:r>
        <w:rPr>
          <w:rFonts w:ascii="Arial" w:cs="Arial" w:eastAsia="Arial" w:hAnsi="Arial"/>
          <w:sz w:val="16"/>
          <w:szCs w:val="16"/>
          <w:color w:val="auto"/>
        </w:rPr>
        <w:t>There are a number of tax risks related to our business and common shares, these include (i) U.S. investors in our company could suffer adverse tax consequences if we are characterized as a passive foreign investment company (ii) we may become subject to unanticipated tax liabilities, (iii) our U.S. subsidiaries may be treated as personal holding companies for U.S. federal tax purposes, (iv) changes in tax laws or their application could adversely affect us, (v) our ability to use our net operating losses to offset future taxable income may be subject to certain limitations, (vi) and the calculation of our income tax expense requires judgment and the use of estimates.</w:t>
      </w:r>
    </w:p>
    <w:p>
      <w:pPr>
        <w:spacing w:after="0" w:line="66" w:lineRule="exact"/>
        <w:rPr>
          <w:rFonts w:ascii="Arial" w:cs="Arial" w:eastAsia="Arial" w:hAnsi="Arial"/>
          <w:sz w:val="16"/>
          <w:szCs w:val="16"/>
          <w:color w:val="auto"/>
        </w:rPr>
      </w:pPr>
    </w:p>
    <w:p>
      <w:pPr>
        <w:ind w:left="960" w:right="80" w:hanging="532"/>
        <w:spacing w:after="0" w:line="287" w:lineRule="auto"/>
        <w:tabs>
          <w:tab w:leader="none" w:pos="960" w:val="left"/>
        </w:tabs>
        <w:numPr>
          <w:ilvl w:val="0"/>
          <w:numId w:val="11"/>
        </w:numPr>
        <w:rPr>
          <w:rFonts w:ascii="Arial" w:cs="Arial" w:eastAsia="Arial" w:hAnsi="Arial"/>
          <w:sz w:val="16"/>
          <w:szCs w:val="16"/>
          <w:color w:val="auto"/>
        </w:rPr>
      </w:pPr>
      <w:r>
        <w:rPr>
          <w:rFonts w:ascii="Arial" w:cs="Arial" w:eastAsia="Arial" w:hAnsi="Arial"/>
          <w:sz w:val="16"/>
          <w:szCs w:val="16"/>
          <w:color w:val="auto"/>
        </w:rPr>
        <w:t>There are a number of risks related to our shares and public listings, including (i) we may not be able to resume paying a dividend and any dividends paid in the future could be reduced or eliminated, (ii) we face risks from our share repurchase program, (iii) changes in accounting rules could significantly impact how we, our managed fleet container investors and our customers account for our leases,</w:t>
      </w:r>
    </w:p>
    <w:p>
      <w:pPr>
        <w:spacing w:after="0" w:line="2" w:lineRule="exact"/>
        <w:rPr>
          <w:rFonts w:ascii="Arial" w:cs="Arial" w:eastAsia="Arial" w:hAnsi="Arial"/>
          <w:sz w:val="16"/>
          <w:szCs w:val="16"/>
          <w:color w:val="auto"/>
        </w:rPr>
      </w:pPr>
    </w:p>
    <w:p>
      <w:pPr>
        <w:ind w:left="960" w:right="360" w:firstLine="8"/>
        <w:spacing w:after="0" w:line="281" w:lineRule="auto"/>
        <w:tabs>
          <w:tab w:leader="none" w:pos="1265" w:val="left"/>
        </w:tabs>
        <w:numPr>
          <w:ilvl w:val="1"/>
          <w:numId w:val="11"/>
        </w:numPr>
        <w:rPr>
          <w:rFonts w:ascii="Arial" w:cs="Arial" w:eastAsia="Arial" w:hAnsi="Arial"/>
          <w:sz w:val="16"/>
          <w:szCs w:val="16"/>
          <w:color w:val="auto"/>
        </w:rPr>
      </w:pPr>
      <w:r>
        <w:rPr>
          <w:rFonts w:ascii="Arial" w:cs="Arial" w:eastAsia="Arial" w:hAnsi="Arial"/>
          <w:sz w:val="16"/>
          <w:szCs w:val="16"/>
          <w:color w:val="auto"/>
        </w:rPr>
        <w:t>the market price and trading volume of our common shares, which may be affected by market conditions beyond our control, have been volatile and could continue to remain volatile, (v) we face risks related to our dual listing on the Johannesburg Stock Exchange,</w:t>
      </w:r>
    </w:p>
    <w:p>
      <w:pPr>
        <w:spacing w:after="0" w:line="1" w:lineRule="exact"/>
        <w:rPr>
          <w:rFonts w:ascii="Arial" w:cs="Arial" w:eastAsia="Arial" w:hAnsi="Arial"/>
          <w:sz w:val="16"/>
          <w:szCs w:val="16"/>
          <w:color w:val="auto"/>
        </w:rPr>
      </w:pPr>
    </w:p>
    <w:p>
      <w:pPr>
        <w:ind w:left="960" w:right="20" w:firstLine="8"/>
        <w:spacing w:after="0" w:line="252" w:lineRule="auto"/>
        <w:tabs>
          <w:tab w:leader="none" w:pos="1265" w:val="left"/>
        </w:tabs>
        <w:numPr>
          <w:ilvl w:val="1"/>
          <w:numId w:val="12"/>
        </w:numPr>
        <w:rPr>
          <w:rFonts w:ascii="Arial" w:cs="Arial" w:eastAsia="Arial" w:hAnsi="Arial"/>
          <w:sz w:val="18"/>
          <w:szCs w:val="18"/>
          <w:color w:val="auto"/>
        </w:rPr>
      </w:pPr>
      <w:r>
        <w:rPr>
          <w:rFonts w:ascii="Arial" w:cs="Arial" w:eastAsia="Arial" w:hAnsi="Arial"/>
          <w:sz w:val="18"/>
          <w:szCs w:val="18"/>
          <w:color w:val="auto"/>
        </w:rPr>
        <w:t>U.S. investors may not be able to enforce judgments against us, (vii) we face risks in relation to our continued compliance with corporate governance and financial reporting obligations, (viii) future sales of a large number of our securities into the public market, or the expectation of such sales, could cause the market price of our common shares to decline significantly, (ix) we have provisions in our bye-laws that may discourage a change of control, (x) you may have greater difficulties in protecting your interests than as a shareholder of a U.S. or South African corporation, and (xi) our bye-laws restrict shareholders from bringing legal action against our officers and directors.</w:t>
      </w:r>
    </w:p>
    <w:p>
      <w:pPr>
        <w:spacing w:after="0" w:line="200" w:lineRule="exact"/>
        <w:rPr>
          <w:sz w:val="20"/>
          <w:szCs w:val="20"/>
          <w:color w:val="auto"/>
        </w:rPr>
      </w:pPr>
    </w:p>
    <w:p>
      <w:pPr>
        <w:spacing w:after="0" w:line="210" w:lineRule="exact"/>
        <w:rPr>
          <w:sz w:val="20"/>
          <w:szCs w:val="20"/>
          <w:color w:val="auto"/>
        </w:rPr>
      </w:pPr>
    </w:p>
    <w:p>
      <w:pPr>
        <w:ind w:left="2540"/>
        <w:spacing w:after="0"/>
        <w:rPr>
          <w:sz w:val="20"/>
          <w:szCs w:val="20"/>
          <w:color w:val="auto"/>
        </w:rPr>
      </w:pPr>
      <w:r>
        <w:rPr>
          <w:rFonts w:ascii="Arial" w:cs="Arial" w:eastAsia="Arial" w:hAnsi="Arial"/>
          <w:sz w:val="18"/>
          <w:szCs w:val="18"/>
          <w:b w:val="1"/>
          <w:bCs w:val="1"/>
          <w:i w:val="1"/>
          <w:iCs w:val="1"/>
          <w:color w:val="auto"/>
        </w:rPr>
        <w:t>Risks Related to Our Business and Industry Which May be Beyond Our Control</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The demand and pricing for leased containers depends on many factors beyond our control.</w:t>
      </w:r>
    </w:p>
    <w:p>
      <w:pPr>
        <w:spacing w:after="0" w:line="229" w:lineRule="exact"/>
        <w:rPr>
          <w:sz w:val="20"/>
          <w:szCs w:val="20"/>
          <w:color w:val="auto"/>
        </w:rPr>
      </w:pPr>
    </w:p>
    <w:p>
      <w:pPr>
        <w:ind w:right="200" w:firstLine="440"/>
        <w:spacing w:after="0" w:line="311" w:lineRule="auto"/>
        <w:rPr>
          <w:sz w:val="20"/>
          <w:szCs w:val="20"/>
          <w:color w:val="auto"/>
        </w:rPr>
      </w:pPr>
      <w:r>
        <w:rPr>
          <w:rFonts w:ascii="Arial" w:cs="Arial" w:eastAsia="Arial" w:hAnsi="Arial"/>
          <w:sz w:val="16"/>
          <w:szCs w:val="16"/>
          <w:color w:val="auto"/>
        </w:rPr>
        <w:t>Substantially all of our revenue derives from activities related to the leasing, managing and selling of containers. Our ability to continue successfully leasing containers to container shipping lines, earning management fees on leased containers, selling used containers and sourcing capital required to purchase new and used containers depends, in part, upon the continued demand to lease containers and purchase used containers.</w:t>
      </w:r>
    </w:p>
    <w:p>
      <w:pPr>
        <w:spacing w:after="0" w:line="149" w:lineRule="exact"/>
        <w:rPr>
          <w:sz w:val="20"/>
          <w:szCs w:val="20"/>
          <w:color w:val="auto"/>
        </w:rPr>
      </w:pPr>
    </w:p>
    <w:p>
      <w:pPr>
        <w:ind w:right="20" w:firstLine="440"/>
        <w:spacing w:after="0" w:line="254" w:lineRule="auto"/>
        <w:rPr>
          <w:sz w:val="20"/>
          <w:szCs w:val="20"/>
          <w:color w:val="auto"/>
        </w:rPr>
      </w:pPr>
      <w:r>
        <w:rPr>
          <w:rFonts w:ascii="Arial" w:cs="Arial" w:eastAsia="Arial" w:hAnsi="Arial"/>
          <w:sz w:val="18"/>
          <w:szCs w:val="18"/>
          <w:color w:val="auto"/>
        </w:rPr>
        <w:t>Demand for leased containers depends largely on the rate of growth of world trade and economic growth, with worldwide consumer demand being the most critical factor affecting this growth. Demand for leased containers is also driven by our customers’ “lease vs. buy” decisions. In the past, economic downturns in the U.S., Europe, Asia and countries with consumer-oriented economies have resulted in a reduction in the rate of growth of world trade and demand by container shipping lines for leased containers and it is likely that any future downturns would have similar results. Thus, a decrease in world trade can and has adversely affected our utilization and per diem rates and led to reduced revenue and increased operating expenses (such as storage and repositioning costs) and can have an adverse effect on our financial performance. We cannot predict whether, or when, such downturns will occur or the severity or duration of any downturn. Other material factors affecting demand for leased containers, utilization and per diem rates include the following:</w:t>
      </w:r>
    </w:p>
    <w:p>
      <w:pPr>
        <w:spacing w:after="0" w:line="97" w:lineRule="exact"/>
        <w:rPr>
          <w:sz w:val="20"/>
          <w:szCs w:val="20"/>
          <w:color w:val="auto"/>
        </w:rPr>
      </w:pPr>
    </w:p>
    <w:p>
      <w:pPr>
        <w:ind w:left="960" w:hanging="532"/>
        <w:spacing w:after="0"/>
        <w:tabs>
          <w:tab w:leader="none" w:pos="9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prices of new and used containers;</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13"/>
        </w:numPr>
        <w:rPr>
          <w:rFonts w:ascii="Arial" w:cs="Arial" w:eastAsia="Arial" w:hAnsi="Arial"/>
          <w:sz w:val="17"/>
          <w:szCs w:val="17"/>
          <w:color w:val="auto"/>
        </w:rPr>
      </w:pPr>
      <w:r>
        <w:rPr>
          <w:rFonts w:ascii="Arial" w:cs="Arial" w:eastAsia="Arial" w:hAnsi="Arial"/>
          <w:sz w:val="17"/>
          <w:szCs w:val="17"/>
          <w:color w:val="auto"/>
        </w:rPr>
        <w:t>economic conditions, profitability, competitive pressures and consolidation in the container shipping and container leasing industry;</w:t>
      </w:r>
    </w:p>
    <w:p>
      <w:pPr>
        <w:spacing w:after="0" w:line="142" w:lineRule="exact"/>
        <w:rPr>
          <w:rFonts w:ascii="Arial" w:cs="Arial" w:eastAsia="Arial" w:hAnsi="Arial"/>
          <w:sz w:val="17"/>
          <w:szCs w:val="17"/>
          <w:color w:val="auto"/>
        </w:rPr>
      </w:pPr>
    </w:p>
    <w:p>
      <w:pPr>
        <w:ind w:left="960" w:hanging="532"/>
        <w:spacing w:after="0"/>
        <w:tabs>
          <w:tab w:leader="none" w:pos="9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shifting trends and patterns of cargo traffic;</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fluctuations in demand for containerized goods outside their area of production;</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the availability and terms of container financing for us and for our competitors and customers;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020"/>
          </w:cols>
          <w:pgMar w:left="440" w:top="274" w:right="439" w:bottom="1440" w:gutter="0" w:footer="0" w:header="0"/>
        </w:sectPr>
      </w:pPr>
    </w:p>
    <w:bookmarkStart w:id="20" w:name="page21"/>
    <w:bookmarkEnd w:id="20"/>
    <w:p>
      <w:pPr>
        <w:ind w:left="960" w:hanging="532"/>
        <w:spacing w:after="0"/>
        <w:tabs>
          <w:tab w:leader="none" w:pos="960" w:val="left"/>
        </w:tabs>
        <w:numPr>
          <w:ilvl w:val="0"/>
          <w:numId w:val="14"/>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7174865" cy="38735"/>
                    </a:xfrm>
                    <a:prstGeom prst="rect">
                      <a:avLst/>
                    </a:prstGeom>
                    <a:noFill/>
                  </pic:spPr>
                </pic:pic>
              </a:graphicData>
            </a:graphic>
          </wp:anchor>
        </w:drawing>
        <w:t>fluctuations in interest rates and currency exchange rates;</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overcapacity, undercapacity and consolidation of container manufacturers;</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the lead times required to purchase containers;</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the number of containers purchased in the current year and prior years by competitors and container lessees;</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container ship fleet overcapacity or undercapacity;</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14"/>
        </w:numPr>
        <w:rPr>
          <w:rFonts w:ascii="Arial" w:cs="Arial" w:eastAsia="Arial" w:hAnsi="Arial"/>
          <w:sz w:val="17"/>
          <w:szCs w:val="17"/>
          <w:color w:val="auto"/>
        </w:rPr>
      </w:pPr>
      <w:r>
        <w:rPr>
          <w:rFonts w:ascii="Arial" w:cs="Arial" w:eastAsia="Arial" w:hAnsi="Arial"/>
          <w:sz w:val="17"/>
          <w:szCs w:val="17"/>
          <w:color w:val="auto"/>
        </w:rPr>
        <w:t>repositioning by container shipping lines of their own empty containers to higher demand locations in lieu of leasing containers;</w:t>
      </w:r>
    </w:p>
    <w:p>
      <w:pPr>
        <w:spacing w:after="0" w:line="142" w:lineRule="exact"/>
        <w:rPr>
          <w:rFonts w:ascii="Arial" w:cs="Arial" w:eastAsia="Arial" w:hAnsi="Arial"/>
          <w:sz w:val="17"/>
          <w:szCs w:val="17"/>
          <w:color w:val="auto"/>
        </w:rPr>
      </w:pPr>
    </w:p>
    <w:p>
      <w:pPr>
        <w:ind w:left="960" w:hanging="532"/>
        <w:spacing w:after="0" w:line="277" w:lineRule="auto"/>
        <w:tabs>
          <w:tab w:leader="none" w:pos="9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port congestion and the efficient movement of containers as affected by labor disputes, work stoppages, increased vessel size, shipping line alliances or other factors that reduce or increase the speed at which containers are handled;</w:t>
      </w:r>
    </w:p>
    <w:p>
      <w:pPr>
        <w:spacing w:after="0" w:line="75" w:lineRule="exact"/>
        <w:rPr>
          <w:rFonts w:ascii="Arial" w:cs="Arial" w:eastAsia="Arial" w:hAnsi="Arial"/>
          <w:sz w:val="18"/>
          <w:szCs w:val="18"/>
          <w:color w:val="auto"/>
        </w:rPr>
      </w:pPr>
    </w:p>
    <w:p>
      <w:pPr>
        <w:ind w:left="960" w:hanging="532"/>
        <w:spacing w:after="0"/>
        <w:tabs>
          <w:tab w:leader="none" w:pos="9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consolidation, withdrawal or insolvency of individual container shipping lines;</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actual or threatened import/export tariffs, duties, restrictions or trade disputes;</w:t>
      </w:r>
    </w:p>
    <w:p>
      <w:pPr>
        <w:spacing w:after="0" w:line="130" w:lineRule="exact"/>
        <w:rPr>
          <w:rFonts w:ascii="Arial" w:cs="Arial" w:eastAsia="Arial" w:hAnsi="Arial"/>
          <w:sz w:val="18"/>
          <w:szCs w:val="18"/>
          <w:color w:val="auto"/>
        </w:rPr>
      </w:pPr>
    </w:p>
    <w:p>
      <w:pPr>
        <w:ind w:left="960" w:right="40" w:hanging="532"/>
        <w:spacing w:after="0" w:line="277" w:lineRule="auto"/>
        <w:tabs>
          <w:tab w:leader="none" w:pos="9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customs procedures, foreign exchange controls and other governmental regulations, including environmental or maritime rules that impact container shipping, such as the low sulphur oxide emission rules that took effect in January 2020;</w:t>
      </w:r>
    </w:p>
    <w:p>
      <w:pPr>
        <w:spacing w:after="0" w:line="75" w:lineRule="exact"/>
        <w:rPr>
          <w:rFonts w:ascii="Arial" w:cs="Arial" w:eastAsia="Arial" w:hAnsi="Arial"/>
          <w:sz w:val="18"/>
          <w:szCs w:val="18"/>
          <w:color w:val="auto"/>
        </w:rPr>
      </w:pPr>
    </w:p>
    <w:p>
      <w:pPr>
        <w:ind w:left="960" w:right="860" w:hanging="532"/>
        <w:spacing w:after="0" w:line="277" w:lineRule="auto"/>
        <w:tabs>
          <w:tab w:leader="none" w:pos="9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natural disasters or events that are severe enough to affect local and global economies or interfere with trade, such as the Novel Coronavirus (or “COVID-19”) pandemic; and</w:t>
      </w:r>
    </w:p>
    <w:p>
      <w:pPr>
        <w:spacing w:after="0" w:line="75" w:lineRule="exact"/>
        <w:rPr>
          <w:rFonts w:ascii="Arial" w:cs="Arial" w:eastAsia="Arial" w:hAnsi="Arial"/>
          <w:sz w:val="18"/>
          <w:szCs w:val="18"/>
          <w:color w:val="auto"/>
        </w:rPr>
      </w:pPr>
    </w:p>
    <w:p>
      <w:pPr>
        <w:ind w:left="960" w:hanging="532"/>
        <w:spacing w:after="0"/>
        <w:tabs>
          <w:tab w:leader="none" w:pos="9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other political and economic factors.</w:t>
      </w:r>
    </w:p>
    <w:p>
      <w:pPr>
        <w:spacing w:after="0" w:line="225" w:lineRule="exact"/>
        <w:rPr>
          <w:sz w:val="20"/>
          <w:szCs w:val="20"/>
          <w:color w:val="auto"/>
        </w:rPr>
      </w:pPr>
    </w:p>
    <w:p>
      <w:pPr>
        <w:ind w:right="80" w:firstLine="440"/>
        <w:spacing w:after="0" w:line="255" w:lineRule="auto"/>
        <w:rPr>
          <w:sz w:val="20"/>
          <w:szCs w:val="20"/>
          <w:color w:val="auto"/>
        </w:rPr>
      </w:pPr>
      <w:r>
        <w:rPr>
          <w:rFonts w:ascii="Arial" w:cs="Arial" w:eastAsia="Arial" w:hAnsi="Arial"/>
          <w:sz w:val="18"/>
          <w:szCs w:val="18"/>
          <w:color w:val="auto"/>
        </w:rPr>
        <w:t>Many of these and other factors affecting the container industry are inherently unpredictable and beyond our control. These factors will vary over time, often quickly and unpredictably, and any change in one or more of these factors may have a material adverse effect on our business and results of operations. In addition, many of these factors also influence the decision by container shipping lines to lease or buy containers. Should one or more of these factors influence container shipping lines to buy a larger percentage of the containers they operate, our utilization rate and/or per diems could decrease, resulting in decreased revenue and increased storage and repositioning costs, which would harm our business, results of operations and financial condition.</w:t>
      </w:r>
    </w:p>
    <w:p>
      <w:pPr>
        <w:spacing w:after="0" w:line="188" w:lineRule="exact"/>
        <w:rPr>
          <w:sz w:val="20"/>
          <w:szCs w:val="20"/>
          <w:color w:val="auto"/>
        </w:rPr>
      </w:pPr>
    </w:p>
    <w:p>
      <w:pPr>
        <w:ind w:right="420"/>
        <w:spacing w:after="0" w:line="282" w:lineRule="auto"/>
        <w:rPr>
          <w:sz w:val="20"/>
          <w:szCs w:val="20"/>
          <w:color w:val="auto"/>
        </w:rPr>
      </w:pPr>
      <w:r>
        <w:rPr>
          <w:rFonts w:ascii="Arial" w:cs="Arial" w:eastAsia="Arial" w:hAnsi="Arial"/>
          <w:sz w:val="18"/>
          <w:szCs w:val="18"/>
          <w:b w:val="1"/>
          <w:bCs w:val="1"/>
          <w:color w:val="auto"/>
        </w:rPr>
        <w:t>Global economic weakness has in the past and may in the future materially and negatively impact our business, results of operations, cash flows, financial condition and future prospects.</w:t>
      </w:r>
    </w:p>
    <w:p>
      <w:pPr>
        <w:spacing w:after="0" w:line="166" w:lineRule="exact"/>
        <w:rPr>
          <w:sz w:val="20"/>
          <w:szCs w:val="20"/>
          <w:color w:val="auto"/>
        </w:rPr>
      </w:pPr>
    </w:p>
    <w:p>
      <w:pPr>
        <w:ind w:right="100" w:firstLine="440"/>
        <w:spacing w:after="0" w:line="257" w:lineRule="auto"/>
        <w:rPr>
          <w:sz w:val="20"/>
          <w:szCs w:val="20"/>
          <w:color w:val="auto"/>
        </w:rPr>
      </w:pPr>
      <w:r>
        <w:rPr>
          <w:rFonts w:ascii="Arial" w:cs="Arial" w:eastAsia="Arial" w:hAnsi="Arial"/>
          <w:sz w:val="18"/>
          <w:szCs w:val="18"/>
          <w:color w:val="auto"/>
        </w:rPr>
        <w:t>While domestic and global economic growth resumed following the global financial crisis in 2008 and 2009, the continued sustainability of the international economic growth is uncertain particularly due to the ongoing Novel Coronavirus pandemic which created severe economic contractions and rebounds in 2020. The Novel Coronavirus pandemic has added to uncertainty about container trade demand, freight rates and our lessees’ financial performance and solvency. As a result, we continue to face heightened risk that our financial performance and cash flow could be severely affected by defaults or payment delays by our customers.</w:t>
      </w:r>
    </w:p>
    <w:p>
      <w:pPr>
        <w:spacing w:after="0" w:line="188" w:lineRule="exact"/>
        <w:rPr>
          <w:sz w:val="20"/>
          <w:szCs w:val="20"/>
          <w:color w:val="auto"/>
        </w:rPr>
      </w:pPr>
    </w:p>
    <w:p>
      <w:pPr>
        <w:ind w:right="40" w:firstLine="440"/>
        <w:spacing w:after="0" w:line="290" w:lineRule="auto"/>
        <w:rPr>
          <w:sz w:val="20"/>
          <w:szCs w:val="20"/>
          <w:color w:val="auto"/>
        </w:rPr>
      </w:pPr>
      <w:r>
        <w:rPr>
          <w:rFonts w:ascii="Arial" w:cs="Arial" w:eastAsia="Arial" w:hAnsi="Arial"/>
          <w:sz w:val="16"/>
          <w:szCs w:val="16"/>
          <w:color w:val="auto"/>
        </w:rPr>
        <w:t>Uncertainties relating to Novel Coronavirus include the duration of the outbreak, the countries impacted by the outbreak, recurrence or changes in the scope of the outbreak, and actions that may be taken to contain or treat its impact, by governments and others, including declarations of states of emergency, business closures, manufacturing restrictions and a prolonged period of travel and/or other similar restrictions and limitations. The magnitude of the Novel Coronavirus pandemic, including the extent of any impact on our business, financial position, results of operations or liquidity, which could be material, cannot be reasonably determined at this time due to the continuing development and fluidity of the situation. Continued disruptions from the Novel Coronavirus may lead to increased credit concerns regarding our customers, reduced container demand, lower utilization of our fleet, lower lease rates, lower sale prices for our used containers, disruptions in the capital markets, increased risk of non-compliance with our debt covenants and operational and business process disruptions for us and our customers.</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0980"/>
          </w:cols>
          <w:pgMar w:left="440" w:top="274" w:right="479" w:bottom="1440" w:gutter="0" w:footer="0" w:header="0"/>
        </w:sectPr>
      </w:pPr>
    </w:p>
    <w:bookmarkStart w:id="21" w:name="page22"/>
    <w:bookmarkEnd w:id="21"/>
    <w:p>
      <w:pPr>
        <w:ind w:right="280" w:firstLine="440"/>
        <w:spacing w:after="0" w:line="30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Any slowdown or reversal of the U.S. and global trade growth due to the Novel Coronavirus or otherwise could heighten a number of material risks to our business, results of operations, cash flows and financial condition, as well as our future prospects, including the following:</w:t>
      </w:r>
    </w:p>
    <w:p>
      <w:pPr>
        <w:spacing w:after="0" w:line="52" w:lineRule="exact"/>
        <w:rPr>
          <w:sz w:val="20"/>
          <w:szCs w:val="20"/>
          <w:color w:val="auto"/>
        </w:rPr>
      </w:pPr>
    </w:p>
    <w:p>
      <w:pPr>
        <w:ind w:left="960" w:right="540" w:hanging="532"/>
        <w:spacing w:after="0" w:line="263" w:lineRule="auto"/>
        <w:tabs>
          <w:tab w:leader="none" w:pos="960" w:val="left"/>
        </w:tabs>
        <w:numPr>
          <w:ilvl w:val="0"/>
          <w:numId w:val="15"/>
        </w:numPr>
        <w:rPr>
          <w:rFonts w:ascii="Arial" w:cs="Arial" w:eastAsia="Arial" w:hAnsi="Arial"/>
          <w:sz w:val="18"/>
          <w:szCs w:val="18"/>
          <w:color w:val="auto"/>
        </w:rPr>
      </w:pPr>
      <w:r>
        <w:rPr>
          <w:rFonts w:ascii="Arial" w:cs="Arial" w:eastAsia="Arial" w:hAnsi="Arial"/>
          <w:sz w:val="18"/>
          <w:szCs w:val="18"/>
          <w:color w:val="auto"/>
        </w:rPr>
        <w:t>Containerized cargo volume growth — A contraction or slowdown in containerized cargo volume growth would likely create lower utilization, higher direct costs, weaker shipping lines going out of business, pressure for us to offer lease concessions and lead to a reduction in the size of our customers’ container fleets.</w:t>
      </w:r>
    </w:p>
    <w:p>
      <w:pPr>
        <w:spacing w:after="0" w:line="89" w:lineRule="exact"/>
        <w:rPr>
          <w:rFonts w:ascii="Arial" w:cs="Arial" w:eastAsia="Arial" w:hAnsi="Arial"/>
          <w:sz w:val="18"/>
          <w:szCs w:val="18"/>
          <w:color w:val="auto"/>
        </w:rPr>
      </w:pPr>
    </w:p>
    <w:p>
      <w:pPr>
        <w:ind w:left="960" w:hanging="532"/>
        <w:spacing w:after="0" w:line="270" w:lineRule="auto"/>
        <w:tabs>
          <w:tab w:leader="none" w:pos="960" w:val="left"/>
        </w:tabs>
        <w:numPr>
          <w:ilvl w:val="0"/>
          <w:numId w:val="15"/>
        </w:numPr>
        <w:rPr>
          <w:rFonts w:ascii="Arial" w:cs="Arial" w:eastAsia="Arial" w:hAnsi="Arial"/>
          <w:sz w:val="17"/>
          <w:szCs w:val="17"/>
          <w:color w:val="auto"/>
        </w:rPr>
      </w:pPr>
      <w:r>
        <w:rPr>
          <w:rFonts w:ascii="Arial" w:cs="Arial" w:eastAsia="Arial" w:hAnsi="Arial"/>
          <w:sz w:val="17"/>
          <w:szCs w:val="17"/>
          <w:color w:val="auto"/>
        </w:rPr>
        <w:t>Credit availability and access to equity markets — Issues involving liquidity and capital adequacy affecting lenders could affect our ability to fully access our credit facilities or obtain additional debt and could affect the ability of our lenders to meet their funding requirements when we need to borrow. Further, a high level of volatility in the equity markets could make it difficult for us to access the equity markets for additional capital at attractive prices, if at all. If we are unable to obtain credit or access the capital markets, our business could be negatively impacted. In several of the years prior to 2017, the returns provided from lease transactions were lower due to increased competition in part caused by increased debt financing access for the container leasing industry. At the end of 2016, lower container returns coupled with the impact of Hanjin’s bankruptcy and lower residual values impacted our ability to meet the then prevailing financial covenant conditions in our lending facilities, required covenant amendments and limited our ability to access funds for investment in additional new containers for the first few months of 2017.</w:t>
      </w:r>
    </w:p>
    <w:p>
      <w:pPr>
        <w:spacing w:after="0" w:line="177"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Lease and/or utilization rates may decrease, which could adversely affect our business, results of operations and financial condition.</w:t>
      </w:r>
    </w:p>
    <w:p>
      <w:pPr>
        <w:spacing w:after="0" w:line="241" w:lineRule="exact"/>
        <w:rPr>
          <w:sz w:val="20"/>
          <w:szCs w:val="20"/>
          <w:color w:val="auto"/>
        </w:rPr>
      </w:pPr>
    </w:p>
    <w:p>
      <w:pPr>
        <w:ind w:right="40" w:firstLine="440"/>
        <w:spacing w:after="0" w:line="277" w:lineRule="auto"/>
        <w:rPr>
          <w:sz w:val="20"/>
          <w:szCs w:val="20"/>
          <w:color w:val="auto"/>
        </w:rPr>
      </w:pPr>
      <w:r>
        <w:rPr>
          <w:rFonts w:ascii="Arial" w:cs="Arial" w:eastAsia="Arial" w:hAnsi="Arial"/>
          <w:sz w:val="18"/>
          <w:szCs w:val="18"/>
          <w:color w:val="auto"/>
        </w:rPr>
        <w:t>We compete mostly on the pricing and the availability of containers. Lease rates for our containers depend on a large number of factors, including the following:</w:t>
      </w:r>
    </w:p>
    <w:p>
      <w:pPr>
        <w:spacing w:after="0" w:line="76" w:lineRule="exact"/>
        <w:rPr>
          <w:sz w:val="20"/>
          <w:szCs w:val="20"/>
          <w:color w:val="auto"/>
        </w:rPr>
      </w:pPr>
    </w:p>
    <w:p>
      <w:pPr>
        <w:ind w:left="960" w:hanging="532"/>
        <w:spacing w:after="0"/>
        <w:tabs>
          <w:tab w:leader="none" w:pos="9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supply of, and demand for, containers available;</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price of new containers (which is positively but not exclusively correlated with the price of steel);</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type and length of the lease;</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interest rates and the availability of financing for leasing companies and shipping lines;</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assumptions regarding residual value and future lease pricing;</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type and age of the container;</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location of the container being leased;</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quantity of containers available for lease by our competitors; and</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lease rates offered by our competitors.</w:t>
      </w:r>
    </w:p>
    <w:p>
      <w:pPr>
        <w:spacing w:after="0" w:line="225" w:lineRule="exact"/>
        <w:rPr>
          <w:sz w:val="20"/>
          <w:szCs w:val="20"/>
          <w:color w:val="auto"/>
        </w:rPr>
      </w:pPr>
    </w:p>
    <w:p>
      <w:pPr>
        <w:ind w:firstLine="440"/>
        <w:spacing w:after="0" w:line="287" w:lineRule="auto"/>
        <w:rPr>
          <w:sz w:val="20"/>
          <w:szCs w:val="20"/>
          <w:color w:val="auto"/>
        </w:rPr>
      </w:pPr>
      <w:r>
        <w:rPr>
          <w:rFonts w:ascii="Arial" w:cs="Arial" w:eastAsia="Arial" w:hAnsi="Arial"/>
          <w:sz w:val="16"/>
          <w:szCs w:val="16"/>
          <w:color w:val="auto"/>
        </w:rPr>
        <w:t>Most of these factors are beyond our control. In particular the price of steel declined materially in 2015 and continued to decline in the beginning of 2016 and this was a significant factor in the decline in new container prices and lease rates at that time. New container prices and lease rates reached historically low levels in the beginning of 2016, but starting in the second half of 2016 and until late 2018 steel prices, container prices and lease rates all increased materially. From late 2018 until the middle of 2020 steel prices, container prices and lease rates generally declined and demand for new containers also declined given trade disputes and the emergence of the Novel Coronavirus pandemic. Since the middle of 2020, steel prices, container prices and lease rates have all materially improved as cargo demand increased and container factory production has been limited. The demand increase associated with the Novel Coronavirus is also due to trade and cargo handling disruptions. The resolution of these disruptions and possible decline in demand for goods upon the resolution of the Novel Coronavirus pandemic could cause container prices and lease rates to decline. In addition, lease rates can be negatively impacted by, among other things, the entrance of new leasing companies or container factories, overproduction of new containers by factories and the over-buying by shipping lines, leasing companies and tax-driven container investors. The impact on us of the market downturn that ended in the second half of 2016 was more severe than in the past due to the substantial growth in our owned fleet in the prior few years and the relatively high prices paid for new containers in the period from 2010</w:t>
      </w:r>
    </w:p>
    <w:p>
      <w:pPr>
        <w:spacing w:after="0" w:line="10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0980"/>
          </w:cols>
          <w:pgMar w:left="440" w:top="274" w:right="479" w:bottom="1440" w:gutter="0" w:footer="0" w:header="0"/>
        </w:sectPr>
      </w:pPr>
    </w:p>
    <w:bookmarkStart w:id="22" w:name="page23"/>
    <w:bookmarkEnd w:id="22"/>
    <w:p>
      <w:pPr>
        <w:ind w:right="20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to 2012 that were initially leased at historically high rates on leases that matured during this period of low lease rates. If future market lease rates decrease or return to historically low levels, revenues generated by our fleet will be adversely affected, which will harm our business, results of operations, cash flows and financial condition. Container utilization rates for us and our competitors increased in 2020 and are currently at high levels by historical standards. If future container utilization rates decrease, revenues generated by our fleet will be adversely affected, which will harm our business, results of operations, cash flows and financial condition.</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Reductions in the prices of new containers would harm our business, results of operations and financial condition.</w:t>
      </w:r>
    </w:p>
    <w:p>
      <w:pPr>
        <w:spacing w:after="0" w:line="229" w:lineRule="exact"/>
        <w:rPr>
          <w:sz w:val="20"/>
          <w:szCs w:val="20"/>
          <w:color w:val="auto"/>
        </w:rPr>
      </w:pPr>
    </w:p>
    <w:p>
      <w:pPr>
        <w:ind w:firstLine="440"/>
        <w:spacing w:after="0" w:line="286" w:lineRule="auto"/>
        <w:rPr>
          <w:sz w:val="20"/>
          <w:szCs w:val="20"/>
          <w:color w:val="auto"/>
        </w:rPr>
      </w:pPr>
      <w:r>
        <w:rPr>
          <w:rFonts w:ascii="Arial" w:cs="Arial" w:eastAsia="Arial" w:hAnsi="Arial"/>
          <w:sz w:val="16"/>
          <w:szCs w:val="16"/>
          <w:color w:val="auto"/>
        </w:rPr>
        <w:t>Lease rates for new containers are positively but not exclusively correlated to the price of new containers, which is positively correlated with the price of steel, a major component used in the manufacture of new containers. In the past five years, prices for new standard 20’ dry freight containers have moved in a wide range, with prices ranging between $1,185 and $2,363 during this time. Our average new container cost per CEU increased in 2020 compared to 2019 as container prices increased due to higher steel costs, limited factory production and higher container demand. Container prices increased from 2016 to late 2018 and then declined until early 2020 when increases resumed. If new container prices decline, the lease rates achievable when older, off-lease containers are leased out will also decrease and the prices obtained for containers sold at the end of their useful lives may also decrease. From the beginning of 2013 until the second half of 2016, we saw new container pricing and the sale prices of our containers sold at the end of their useful lives decline. From late 2018 until early 2020, we generally saw new container pricing and lease rates decline, and these trends reversed for the rest of 2020. A decline in new container prices causes low market lease rates and low resale values for containers, which have and may in the future adversely affect our business, results of operations and financial condition, even if low new container prices allow us to purchase new containers at a lower cost. Our future financial performance and profitability depends in part on the lease rates increasing for current leases that expire during the several years as many of these leases were concluded with low initial lease rates. Low prevailing new container prices and lease rates would increase the difficulty of raising lease rates on long-term container leases that expire in the future.</w:t>
      </w:r>
    </w:p>
    <w:p>
      <w:pPr>
        <w:spacing w:after="0" w:line="170" w:lineRule="exact"/>
        <w:rPr>
          <w:sz w:val="20"/>
          <w:szCs w:val="20"/>
          <w:color w:val="auto"/>
        </w:rPr>
      </w:pPr>
    </w:p>
    <w:p>
      <w:pPr>
        <w:ind w:right="20"/>
        <w:spacing w:after="0" w:line="282" w:lineRule="auto"/>
        <w:rPr>
          <w:sz w:val="20"/>
          <w:szCs w:val="20"/>
          <w:color w:val="auto"/>
        </w:rPr>
      </w:pPr>
      <w:r>
        <w:rPr>
          <w:rFonts w:ascii="Arial" w:cs="Arial" w:eastAsia="Arial" w:hAnsi="Arial"/>
          <w:sz w:val="18"/>
          <w:szCs w:val="18"/>
          <w:b w:val="1"/>
          <w:bCs w:val="1"/>
          <w:color w:val="auto"/>
        </w:rPr>
        <w:t>We derive a substantial portion of our lease billings from a limited number of container lessees, and the loss of, or reduction in business, by any of these container lessees could harm our business, results of operations and financial condition.</w:t>
      </w:r>
    </w:p>
    <w:p>
      <w:pPr>
        <w:spacing w:after="0" w:line="166" w:lineRule="exact"/>
        <w:rPr>
          <w:sz w:val="20"/>
          <w:szCs w:val="20"/>
          <w:color w:val="auto"/>
        </w:rPr>
      </w:pPr>
    </w:p>
    <w:p>
      <w:pPr>
        <w:ind w:right="40" w:firstLine="440"/>
        <w:spacing w:after="0" w:line="271" w:lineRule="auto"/>
        <w:rPr>
          <w:sz w:val="20"/>
          <w:szCs w:val="20"/>
          <w:color w:val="auto"/>
        </w:rPr>
      </w:pPr>
      <w:r>
        <w:rPr>
          <w:rFonts w:ascii="Arial" w:cs="Arial" w:eastAsia="Arial" w:hAnsi="Arial"/>
          <w:sz w:val="17"/>
          <w:szCs w:val="17"/>
          <w:color w:val="auto"/>
        </w:rPr>
        <w:t>We have derived, and believe that we will continue to derive, a significant portion of lease billings and cash flow from a limited number of container lessees. Lease billings from our 20 largest container lessees represented $580.8 million or 87.3% of the total fleet billings during 2020. Our two largest customers in 2020 were Mediterranean Shipping Company S.A., which accounted for $136.6 million or 20.5% and CMA-CGM S.A., which accounted for $84.5 million or 12.7% of our total fleet’s billings. Due to the ongoing consolidation in the shipping line industry, our 20 largest container lessees are becoming an increasing percentage of our total revenue, with correspondingly increased concentration of credit risk. Given the high concentration of our customer base, a default by any of our largest customers would result in a major reduction in leasing revenue, large repossession expenses, potentially large lost equipment charges and a material adverse impact on our performance and financial condition. Our experience with the Hanjin bankruptcy is an example of the occurrence of one of these materially adverse events.</w:t>
      </w:r>
    </w:p>
    <w:p>
      <w:pPr>
        <w:spacing w:after="0" w:line="178" w:lineRule="exact"/>
        <w:rPr>
          <w:sz w:val="20"/>
          <w:szCs w:val="20"/>
          <w:color w:val="auto"/>
        </w:rPr>
      </w:pPr>
    </w:p>
    <w:p>
      <w:pPr>
        <w:ind w:right="200" w:firstLine="440"/>
        <w:spacing w:after="0" w:line="275" w:lineRule="auto"/>
        <w:rPr>
          <w:sz w:val="20"/>
          <w:szCs w:val="20"/>
          <w:color w:val="auto"/>
        </w:rPr>
      </w:pPr>
      <w:r>
        <w:rPr>
          <w:rFonts w:ascii="Arial" w:cs="Arial" w:eastAsia="Arial" w:hAnsi="Arial"/>
          <w:sz w:val="17"/>
          <w:szCs w:val="17"/>
          <w:color w:val="auto"/>
        </w:rPr>
        <w:t>The introduction and use of very large container ships (18,000 TEU+) on the major trade lanes may lead to further industry consolidation and shipping line alliance participation, and even greater reliance by us on our largest customers, and negatively impact the performance of smaller and mid-size shipping lines. Several of the largest shipping lines have invested heavily in these very large ships and reportedly have achieved meaningful unit cost advantages and increased market share on the major trade lanes. In response, some smaller shipping lines have started to exit the major trade lanes, while others are seeking to form closer operating partnerships.</w:t>
      </w:r>
    </w:p>
    <w:p>
      <w:pPr>
        <w:spacing w:after="0" w:line="172"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Consolidation, shipping line alliances, and concentration in the container shipping industry could decrease the demand for leased containers.</w:t>
      </w:r>
    </w:p>
    <w:p>
      <w:pPr>
        <w:spacing w:after="0" w:line="252" w:lineRule="exact"/>
        <w:rPr>
          <w:sz w:val="20"/>
          <w:szCs w:val="20"/>
          <w:color w:val="auto"/>
        </w:rPr>
      </w:pPr>
    </w:p>
    <w:p>
      <w:pPr>
        <w:ind w:right="340" w:firstLine="440"/>
        <w:spacing w:after="0" w:line="263" w:lineRule="auto"/>
        <w:rPr>
          <w:sz w:val="20"/>
          <w:szCs w:val="20"/>
          <w:color w:val="auto"/>
        </w:rPr>
      </w:pPr>
      <w:r>
        <w:rPr>
          <w:rFonts w:ascii="Arial" w:cs="Arial" w:eastAsia="Arial" w:hAnsi="Arial"/>
          <w:sz w:val="18"/>
          <w:szCs w:val="18"/>
          <w:color w:val="auto"/>
        </w:rPr>
        <w:t>We primarily lease containers to container shipping lines. The container shipping lines have historically relied on a large number of leased containers to satisfy their needs. The shipping industry has been consolidating for a number of years, and further consolidation is possible. In recent years, two major German shipping lines have each</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0980"/>
          </w:cols>
          <w:pgMar w:left="440" w:top="274" w:right="479" w:bottom="1440" w:gutter="0" w:footer="0" w:header="0"/>
        </w:sectPr>
      </w:pPr>
    </w:p>
    <w:bookmarkStart w:id="23" w:name="page24"/>
    <w:bookmarkEnd w:id="23"/>
    <w:p>
      <w:pPr>
        <w:spacing w:after="0" w:line="26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acquired South American shipping lines, a French shipping line acquired a Singaporean shipping line, two large Chinese shipping lines merged, a German shipping line merged with a Middle Eastern shipping line and a Danish shipping line acquired a German shipping line. Three major Japanese shipping lines also merged together. Additionally, Hanjin declared bankruptcy in August 2016, further reducing the number of large shipping lines. Historically, shipping lines have also formed a number of alliances to share vessel space and the creation of new alliances and changes in the membership of each alliance is ongoing. Consolidation of major container shipping lines and growth of alliances could create efficiencies and decrease the demand that container shipping lines have for leased containers because they may be able to fulfill a larger portion of their needs through their owned container fleets. Consolidation could also create concentration of credit risk if the number of our container lessees decreases. If shipping line alliances are effective at making shipping lines more efficient, this could reduce the demand for containers. The growth of alliances may add pressure to those shipping lines that do not join an alliance as they may find it more difficult to cost effectively serve shippers needs and/or shippers may choose to only ship cargo with alliances due to solvency concerns or otherwise. Additionally, large container shipping lines with significant resources could choose to manufacture or purchase their own containers, which would decrease their demand for leased containers and could harm our business, results of operations and financial condition.</w:t>
      </w:r>
    </w:p>
    <w:p>
      <w:pPr>
        <w:spacing w:after="0" w:line="175" w:lineRule="exact"/>
        <w:rPr>
          <w:sz w:val="20"/>
          <w:szCs w:val="20"/>
          <w:color w:val="auto"/>
        </w:rPr>
      </w:pPr>
    </w:p>
    <w:p>
      <w:pPr>
        <w:ind w:right="140"/>
        <w:spacing w:after="0" w:line="266" w:lineRule="auto"/>
        <w:rPr>
          <w:sz w:val="20"/>
          <w:szCs w:val="20"/>
          <w:color w:val="auto"/>
        </w:rPr>
      </w:pPr>
      <w:r>
        <w:rPr>
          <w:rFonts w:ascii="Arial" w:cs="Arial" w:eastAsia="Arial" w:hAnsi="Arial"/>
          <w:sz w:val="18"/>
          <w:szCs w:val="18"/>
          <w:b w:val="1"/>
          <w:bCs w:val="1"/>
          <w:color w:val="auto"/>
        </w:rPr>
        <w:t>The demand for leased containers is partially tied to international trade. If this demand were to decrease due to increased barriers to trade, or for any other reason, it could reduce demand for intermodal container leasing, which would harm our business, results of operations and financial condition.</w:t>
      </w:r>
    </w:p>
    <w:p>
      <w:pPr>
        <w:spacing w:after="0" w:line="180" w:lineRule="exact"/>
        <w:rPr>
          <w:sz w:val="20"/>
          <w:szCs w:val="20"/>
          <w:color w:val="auto"/>
        </w:rPr>
      </w:pPr>
    </w:p>
    <w:p>
      <w:pPr>
        <w:ind w:right="20" w:firstLine="440"/>
        <w:spacing w:after="0" w:line="268" w:lineRule="auto"/>
        <w:rPr>
          <w:sz w:val="20"/>
          <w:szCs w:val="20"/>
          <w:color w:val="auto"/>
        </w:rPr>
      </w:pPr>
      <w:r>
        <w:rPr>
          <w:rFonts w:ascii="Arial" w:cs="Arial" w:eastAsia="Arial" w:hAnsi="Arial"/>
          <w:sz w:val="17"/>
          <w:szCs w:val="17"/>
          <w:color w:val="auto"/>
        </w:rPr>
        <w:t>A substantial portion of our containers are used in trade involving goods being shipped from the People’s Republic of China (the “PRC” or “China”) and other Asian countries to the United States, Europe, Latin America or other regions and within Asia. The willingness and ability of international consumers to purchase foreign goods is dependent on political support, in the United States, Europe, Latin America and other countries, for an absence of government-imposed barriers to international trade in goods and services. For example, international consumer demand for foreign goods is related to price; if the price differential between foreign goods and domestically-produced goods were to decrease due to increased tariffs on foreign goods, strengthening in the applicable foreign currencies relative to domestic currencies, rising wages, increasing input or energy costs or other factors, demand for foreign goods could decrease, which could result in reduced demand for intermodal container leasing. A similar reduction in demand for intermodal container leasing could result from an increased use of quotas or other technical barriers to restrict trade. In 2018, a number of major trading economies implemented, and increased tariffs and other trade restrictions and significant renegotiations of existing trade agreements commenced. This continued in 2019 with partial resolutions to certain disputes seen at the end of that year. If these trade restrictions and tariffs continue or increase it may materially impact container demand and change trade patterns. The Novel Coronavirus pandemic initially decreased trade demand but cargo growth resumed in mid-2020 particularly for consumer goods and medical supplies. The long term impact of the Novel Coronavirus on trade and cargo demand is uncertain.</w:t>
      </w:r>
    </w:p>
    <w:p>
      <w:pPr>
        <w:spacing w:after="0" w:line="182"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Asian economic instability could reduce demand for leasing, which would harm our business, results of operations and financial condition.</w:t>
      </w:r>
    </w:p>
    <w:p>
      <w:pPr>
        <w:spacing w:after="0" w:line="252" w:lineRule="exact"/>
        <w:rPr>
          <w:sz w:val="20"/>
          <w:szCs w:val="20"/>
          <w:color w:val="auto"/>
        </w:rPr>
      </w:pPr>
    </w:p>
    <w:p>
      <w:pPr>
        <w:ind w:right="20" w:firstLine="440"/>
        <w:spacing w:after="0" w:line="296" w:lineRule="auto"/>
        <w:rPr>
          <w:sz w:val="20"/>
          <w:szCs w:val="20"/>
          <w:color w:val="auto"/>
        </w:rPr>
      </w:pPr>
      <w:r>
        <w:rPr>
          <w:rFonts w:ascii="Arial" w:cs="Arial" w:eastAsia="Arial" w:hAnsi="Arial"/>
          <w:sz w:val="16"/>
          <w:szCs w:val="16"/>
          <w:color w:val="auto"/>
        </w:rPr>
        <w:t>Many of our customers are substantially dependent upon shipments of goods exported from Asia. From time to time, there have been health scares, such as the Novel Coronavirus outbreak in China in early 2020, Severe Acute Respiratory Syndrome and avian flu, financial turmoil, natural disasters, and political instability in Asia. In the past, these events have adversely affected our container lessees and the general demand for shipping and have led to reduced demand for leased containers or otherwise caused adverse affects on us. Ongoing or future events such as these may have similar or worse impacts on our business. Any reduction in demand for leased containers would harm our business, results of operations and financial condition.</w:t>
      </w:r>
    </w:p>
    <w:p>
      <w:pPr>
        <w:spacing w:after="0" w:line="15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The impact of new low sulphur emission rules is uncertain and may adversely affect us and the container shipping industry.</w:t>
      </w:r>
    </w:p>
    <w:p>
      <w:pPr>
        <w:spacing w:after="0" w:line="229" w:lineRule="exact"/>
        <w:rPr>
          <w:sz w:val="20"/>
          <w:szCs w:val="20"/>
          <w:color w:val="auto"/>
        </w:rPr>
      </w:pPr>
    </w:p>
    <w:p>
      <w:pPr>
        <w:ind w:right="20" w:firstLine="440"/>
        <w:spacing w:after="0" w:line="259" w:lineRule="auto"/>
        <w:rPr>
          <w:sz w:val="20"/>
          <w:szCs w:val="20"/>
          <w:color w:val="auto"/>
        </w:rPr>
      </w:pPr>
      <w:r>
        <w:rPr>
          <w:rFonts w:ascii="Arial" w:cs="Arial" w:eastAsia="Arial" w:hAnsi="Arial"/>
          <w:sz w:val="18"/>
          <w:szCs w:val="18"/>
          <w:color w:val="auto"/>
        </w:rPr>
        <w:t>Effective January 1, 2020, under the rules of the International Maritime Organization (“IMO”) the permitted level of sulphur oxide emissions from ships, including container ships, was reduced from 3.5% of emission mass to 0.5% of emissions mass. In order to comply with these regulations our shipping line customers either switched to low sulphur diesel fuels, installed emissions scrubbers on vessels to remove sulphur oxide from emissions gases or</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020"/>
          </w:cols>
          <w:pgMar w:left="440" w:top="274" w:right="439" w:bottom="1440" w:gutter="0" w:footer="0" w:header="0"/>
        </w:sectPr>
      </w:pPr>
    </w:p>
    <w:bookmarkStart w:id="24" w:name="page25"/>
    <w:bookmarkEnd w:id="24"/>
    <w:p>
      <w:pPr>
        <w:ind w:right="60"/>
        <w:spacing w:after="0" w:line="271"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switched to alternative fuels like natural gas for their ships. Shipping lines compliance strategies may include a mix of the compliance approaches and may evolve depending on the cost of complying with each approach. Installing gas scrubbers is an expensive capital addition to a ship and requires extensive retrofitting which removes vessels from service for a period of time. As the rules only became effective in 2020, it is difficult to predict what the long-term impact will be on our customers and us from these regulations. If the higher fuel and environmental compliance costs from these rules are not successfully passed on via higher freight rates to shippers, or if freight demand declines due to higher shipping costs, our shipping line customers’ financial performance may weaken and the risk of default by our customers could increase. If higher freight rates cause lower cargo demand, the demand for our containers may decline and/or container lease rates and used container prices may decline, which would harm our business, results of operations and financial condition.</w:t>
      </w:r>
    </w:p>
    <w:p>
      <w:pPr>
        <w:spacing w:after="0" w:line="394" w:lineRule="exact"/>
        <w:rPr>
          <w:sz w:val="20"/>
          <w:szCs w:val="20"/>
          <w:color w:val="auto"/>
        </w:rPr>
      </w:pPr>
    </w:p>
    <w:p>
      <w:pPr>
        <w:ind w:left="3840"/>
        <w:spacing w:after="0"/>
        <w:rPr>
          <w:sz w:val="20"/>
          <w:szCs w:val="20"/>
          <w:color w:val="auto"/>
        </w:rPr>
      </w:pPr>
      <w:r>
        <w:rPr>
          <w:rFonts w:ascii="Arial" w:cs="Arial" w:eastAsia="Arial" w:hAnsi="Arial"/>
          <w:sz w:val="18"/>
          <w:szCs w:val="18"/>
          <w:b w:val="1"/>
          <w:bCs w:val="1"/>
          <w:i w:val="1"/>
          <w:iCs w:val="1"/>
          <w:color w:val="auto"/>
        </w:rPr>
        <w:t>Risks Inherent to Our Business and Industry</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We face risks associated with re-leasing containers after their initial long-term lease.</w:t>
      </w:r>
    </w:p>
    <w:p>
      <w:pPr>
        <w:spacing w:after="0" w:line="229" w:lineRule="exact"/>
        <w:rPr>
          <w:sz w:val="20"/>
          <w:szCs w:val="20"/>
          <w:color w:val="auto"/>
        </w:rPr>
      </w:pPr>
    </w:p>
    <w:p>
      <w:pPr>
        <w:ind w:firstLine="440"/>
        <w:spacing w:after="0" w:line="287" w:lineRule="auto"/>
        <w:rPr>
          <w:sz w:val="20"/>
          <w:szCs w:val="20"/>
          <w:color w:val="auto"/>
        </w:rPr>
      </w:pPr>
      <w:r>
        <w:rPr>
          <w:rFonts w:ascii="Arial" w:cs="Arial" w:eastAsia="Arial" w:hAnsi="Arial"/>
          <w:sz w:val="16"/>
          <w:szCs w:val="16"/>
          <w:color w:val="auto"/>
        </w:rPr>
        <w:t>We estimate the useful lives of our standard dry freight containers to be 13 to 14 years, open-top and flat-rack containers to be 14 to 16 years, refrigerated containers to be 12 years and tank containers to be 20 years. When we purchase newly produced containers, we typically lease them out under long-term leases with terms of 5 or more years at a lease rate that is correlated to the price paid for the container and prevailing interest rates. As containers leased under term leases are not leased out for their full economic life, we face risks associated with re-leasing containers after their initial long-term lease. If prevailing container lease rates decline significantly between the time a container is initially leased out and when its initial long-term lease expires, or if overall demand for containers declines, we may be unable to earn a similar lease rate from the re-leasing of containers when their initial term leases expire which could materially adversely impact our results and financial performance. Additionally, for containers purchased new in 2015 and 2016, many of these containers are on long-term leases with low per diems that are below current lease rates. Our ability to improve our financial performance depends in part on the ability to renew or re-lease these containers at the time of the expiration of their initial leases at higher rates than the per diems these containers were originally leased out. If container lease rates decline below levels that prevailed in 2015 and 2016 and we are unable to renew these leases at higher rates our financial results may not improve or may weaken.</w:t>
      </w:r>
    </w:p>
    <w:p>
      <w:pPr>
        <w:spacing w:after="0" w:line="168" w:lineRule="exact"/>
        <w:rPr>
          <w:sz w:val="20"/>
          <w:szCs w:val="20"/>
          <w:color w:val="auto"/>
        </w:rPr>
      </w:pPr>
    </w:p>
    <w:p>
      <w:pPr>
        <w:ind w:right="620"/>
        <w:spacing w:after="0" w:line="282" w:lineRule="auto"/>
        <w:rPr>
          <w:sz w:val="20"/>
          <w:szCs w:val="20"/>
          <w:color w:val="auto"/>
        </w:rPr>
      </w:pPr>
      <w:r>
        <w:rPr>
          <w:rFonts w:ascii="Arial" w:cs="Arial" w:eastAsia="Arial" w:hAnsi="Arial"/>
          <w:sz w:val="18"/>
          <w:szCs w:val="18"/>
          <w:b w:val="1"/>
          <w:bCs w:val="1"/>
          <w:color w:val="auto"/>
        </w:rPr>
        <w:t>Gains and losses associated with the disposition or trading of used equipment may fluctuate and adversely affect our business, results of operations and financial condition.</w:t>
      </w:r>
    </w:p>
    <w:p>
      <w:pPr>
        <w:spacing w:after="0" w:line="166" w:lineRule="exact"/>
        <w:rPr>
          <w:sz w:val="20"/>
          <w:szCs w:val="20"/>
          <w:color w:val="auto"/>
        </w:rPr>
      </w:pPr>
    </w:p>
    <w:p>
      <w:pPr>
        <w:ind w:right="40" w:firstLine="440"/>
        <w:spacing w:after="0" w:line="272" w:lineRule="auto"/>
        <w:rPr>
          <w:sz w:val="20"/>
          <w:szCs w:val="20"/>
          <w:color w:val="auto"/>
        </w:rPr>
      </w:pPr>
      <w:r>
        <w:rPr>
          <w:rFonts w:ascii="Arial" w:cs="Arial" w:eastAsia="Arial" w:hAnsi="Arial"/>
          <w:sz w:val="17"/>
          <w:szCs w:val="17"/>
          <w:color w:val="auto"/>
        </w:rPr>
        <w:t>We regularly sell used containers at the end of their useful lives in marine service or when we believe it maximizes the projected financial return, considering the location, sale price, cost of repair, possible repositioning expenses, earnings prospects and remaining useful life. The realized residual value of these containers affects our profitability. The volatility of the residual values of used containers may be significant. These values depend upon, among other factors, demand for used containers for secondary purposes, comparable new container costs, used container availability, condition and location of the containers, and market conditions. Most of these factors are outside of our control. Additionally, if shipping lines or our leasing company competitors determine to sell their used containers at a younger age than we believe to be the useful life of our equipment, our containers may be more difficult to sell or may sell for less than containers that were more recently manufactured.</w:t>
      </w:r>
    </w:p>
    <w:p>
      <w:pPr>
        <w:spacing w:after="0" w:line="177" w:lineRule="exact"/>
        <w:rPr>
          <w:sz w:val="20"/>
          <w:szCs w:val="20"/>
          <w:color w:val="auto"/>
        </w:rPr>
      </w:pPr>
    </w:p>
    <w:p>
      <w:pPr>
        <w:ind w:left="440"/>
        <w:spacing w:after="0"/>
        <w:rPr>
          <w:sz w:val="20"/>
          <w:szCs w:val="20"/>
          <w:color w:val="auto"/>
        </w:rPr>
      </w:pPr>
      <w:r>
        <w:rPr>
          <w:rFonts w:ascii="Arial" w:cs="Arial" w:eastAsia="Arial" w:hAnsi="Arial"/>
          <w:sz w:val="16"/>
          <w:szCs w:val="16"/>
          <w:color w:val="auto"/>
        </w:rPr>
        <w:t>Gains or losses on the disposition of used container equipment and the sales fees earned on the disposition of managed containers fluctuate and</w:t>
      </w:r>
    </w:p>
    <w:p>
      <w:pPr>
        <w:spacing w:after="0" w:line="46" w:lineRule="exact"/>
        <w:rPr>
          <w:sz w:val="20"/>
          <w:szCs w:val="20"/>
          <w:color w:val="auto"/>
        </w:rPr>
      </w:pPr>
    </w:p>
    <w:p>
      <w:pPr>
        <w:spacing w:after="0"/>
        <w:rPr>
          <w:sz w:val="20"/>
          <w:szCs w:val="20"/>
          <w:color w:val="auto"/>
        </w:rPr>
      </w:pPr>
      <w:r>
        <w:rPr>
          <w:rFonts w:ascii="Arial" w:cs="Arial" w:eastAsia="Arial" w:hAnsi="Arial"/>
          <w:sz w:val="17"/>
          <w:szCs w:val="17"/>
          <w:color w:val="auto"/>
        </w:rPr>
        <w:t>may be significant if we sell large quantities of used containers. In 2020, 2019 and 2018, we incurred approximately $11 million, $14 million, and</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$14 million, respectively, of container impairments due to the fact that when we determined to dispose of containers their book value exceeded the fair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market value. Low disposal prices and the high volume of containers being disposed of can cause an elevated level of container impairments to occur.</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Continued low disposal prices and/or high disposal volumes could harm our business, results of operations and financial condition. See Item 5,</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 xml:space="preserve">“Operating and Financial Review and Prospects” </w:t>
      </w:r>
      <w:r>
        <w:rPr>
          <w:rFonts w:ascii="Arial" w:cs="Arial" w:eastAsia="Arial" w:hAnsi="Arial"/>
          <w:sz w:val="18"/>
          <w:szCs w:val="18"/>
          <w:color w:val="auto"/>
        </w:rPr>
        <w:t>for a discussion of our gains or losses on the disposition of used container equipment.</w:t>
      </w:r>
    </w:p>
    <w:p>
      <w:pPr>
        <w:spacing w:after="0" w:line="211" w:lineRule="exact"/>
        <w:rPr>
          <w:sz w:val="20"/>
          <w:szCs w:val="20"/>
          <w:color w:val="auto"/>
        </w:rPr>
      </w:pPr>
    </w:p>
    <w:p>
      <w:pPr>
        <w:jc w:val="both"/>
        <w:ind w:right="100" w:firstLine="440"/>
        <w:spacing w:after="0" w:line="263" w:lineRule="auto"/>
        <w:rPr>
          <w:sz w:val="20"/>
          <w:szCs w:val="20"/>
          <w:color w:val="auto"/>
        </w:rPr>
      </w:pPr>
      <w:r>
        <w:rPr>
          <w:rFonts w:ascii="Arial" w:cs="Arial" w:eastAsia="Arial" w:hAnsi="Arial"/>
          <w:sz w:val="18"/>
          <w:szCs w:val="18"/>
          <w:color w:val="auto"/>
        </w:rPr>
        <w:t>In addition to disposing of our fleet’s used containers at the end of their useful life, we opportunistically purchase used containers for resale from our shipping line customers and other sellers. Shipping lines either enter into trading arrangements with us at the time they are ready to dispose of older containers or enter into purchase leaseback</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000"/>
          </w:cols>
          <w:pgMar w:left="440" w:top="274" w:right="459" w:bottom="1440" w:gutter="0" w:footer="0" w:header="0"/>
        </w:sectPr>
      </w:pPr>
    </w:p>
    <w:bookmarkStart w:id="25" w:name="page26"/>
    <w:bookmarkEnd w:id="25"/>
    <w:p>
      <w:pPr>
        <w:ind w:right="14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transactions with us where they sell us older containers and then lease them back until the shipping line is ready to dispose of the containers. We face resale price risk with both transactions since by the time the container is provided to us from the shipping line the prevailing prices for older containers may have declined from the value we assumed at the time of purchase.</w:t>
      </w:r>
    </w:p>
    <w:p>
      <w:pPr>
        <w:spacing w:after="0" w:line="184" w:lineRule="exact"/>
        <w:rPr>
          <w:sz w:val="20"/>
          <w:szCs w:val="20"/>
          <w:color w:val="auto"/>
        </w:rPr>
      </w:pPr>
    </w:p>
    <w:p>
      <w:pPr>
        <w:ind w:right="140" w:firstLine="440"/>
        <w:spacing w:after="0" w:line="257" w:lineRule="auto"/>
        <w:rPr>
          <w:sz w:val="20"/>
          <w:szCs w:val="20"/>
          <w:color w:val="auto"/>
        </w:rPr>
      </w:pPr>
      <w:r>
        <w:rPr>
          <w:rFonts w:ascii="Arial" w:cs="Arial" w:eastAsia="Arial" w:hAnsi="Arial"/>
          <w:sz w:val="18"/>
          <w:szCs w:val="18"/>
          <w:color w:val="auto"/>
        </w:rPr>
        <w:t>If the supply of trading equipment becomes limited because these sellers develop other means for disposing of their equipment or develop their own sales network, our equipment trading revenues and our profitability could be negatively impacted. If selling prices rapidly deteriorate and we are holding a large inventory that was purchased when prices for trading equipment were higher or if prices decline over the life of our purchase leaseback transactions, then our gross margins from trading and the sale of containers acquired through purchase leaseback transactions will decline or become negative.</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The bankruptcy of Hanjin Shipping Co. in August 2016 substantially impacted us.</w:t>
      </w:r>
    </w:p>
    <w:p>
      <w:pPr>
        <w:spacing w:after="0" w:line="229" w:lineRule="exact"/>
        <w:rPr>
          <w:sz w:val="20"/>
          <w:szCs w:val="20"/>
          <w:color w:val="auto"/>
        </w:rPr>
      </w:pPr>
    </w:p>
    <w:p>
      <w:pPr>
        <w:ind w:right="20" w:firstLine="440"/>
        <w:spacing w:after="0" w:line="283" w:lineRule="auto"/>
        <w:rPr>
          <w:sz w:val="20"/>
          <w:szCs w:val="20"/>
          <w:color w:val="auto"/>
        </w:rPr>
      </w:pPr>
      <w:r>
        <w:rPr>
          <w:rFonts w:ascii="Arial" w:cs="Arial" w:eastAsia="Arial" w:hAnsi="Arial"/>
          <w:sz w:val="16"/>
          <w:szCs w:val="16"/>
          <w:color w:val="auto"/>
        </w:rPr>
        <w:t>On August 31, 2016, Hanjin filed for bankruptcy protection in South Korea. In the following months, its services ceased operation. The insolvency of Hanjin severely disrupted container trade and the container shipping industry. At the time of the insolvency, containers leased to Hanjin with ownership interests attributable to Textainer represented approximately 4.8% of the total owned and managed fleet in TEU. We incurred substantial costs from the Hanjin insolvency, arising from container recovery expenses, unpaid current and future rental income from Hanjin, container repair expenses, container repositioning expenses, re-leasing expenses and the loss of unreturned containers. Additionally, many containers formerly leased to Hanjin were re-leased at substantially lower lease rates than the rates in the leases with Hanjin and other containers were disposed, often at prices below the book value for the containers. We recovered 94% of the containers formerly leased to Hanjin, with the balance of the containers uneconomic or impossible to recover. We maintained insurance that covered certain costs and losses from customer defaults. At the time of the Hanjin default, our policy provided for $80 million of coverage after a $5 million deductible was met. We collected substantially all of our insurance claim related to the Hanjin insolvency, however this was insufficient to cover all of our losses and disruptions related to Hanjin. At the time of its insolvency Hanjin was the</w:t>
      </w:r>
    </w:p>
    <w:p>
      <w:pPr>
        <w:spacing w:after="0" w:line="4" w:lineRule="exact"/>
        <w:rPr>
          <w:sz w:val="20"/>
          <w:szCs w:val="20"/>
          <w:color w:val="auto"/>
        </w:rPr>
      </w:pPr>
    </w:p>
    <w:p>
      <w:pPr>
        <w:spacing w:after="0"/>
        <w:rPr>
          <w:sz w:val="20"/>
          <w:szCs w:val="20"/>
          <w:color w:val="auto"/>
        </w:rPr>
      </w:pPr>
      <w:r>
        <w:rPr>
          <w:rFonts w:ascii="Arial" w:cs="Arial" w:eastAsia="Arial" w:hAnsi="Arial"/>
          <w:sz w:val="18"/>
          <w:szCs w:val="18"/>
          <w:color w:val="auto"/>
        </w:rPr>
        <w:t>7</w:t>
      </w:r>
      <w:r>
        <w:rPr>
          <w:rFonts w:ascii="Arial" w:cs="Arial" w:eastAsia="Arial" w:hAnsi="Arial"/>
          <w:sz w:val="15"/>
          <w:szCs w:val="15"/>
          <w:color w:val="auto"/>
        </w:rPr>
        <w:t>th</w:t>
      </w:r>
      <w:r>
        <w:rPr>
          <w:rFonts w:ascii="Arial" w:cs="Arial" w:eastAsia="Arial" w:hAnsi="Arial"/>
          <w:sz w:val="18"/>
          <w:szCs w:val="18"/>
          <w:color w:val="auto"/>
        </w:rPr>
        <w:t xml:space="preserve"> largest container shipping line in the world and the bankruptcy of Hanjin substantially impacted us, including as follows:</w:t>
      </w:r>
    </w:p>
    <w:p>
      <w:pPr>
        <w:spacing w:after="0" w:line="117" w:lineRule="exact"/>
        <w:rPr>
          <w:sz w:val="20"/>
          <w:szCs w:val="20"/>
          <w:color w:val="auto"/>
        </w:rPr>
      </w:pPr>
    </w:p>
    <w:p>
      <w:pPr>
        <w:ind w:left="960" w:right="20" w:hanging="532"/>
        <w:spacing w:after="0" w:line="277" w:lineRule="auto"/>
        <w:tabs>
          <w:tab w:leader="none" w:pos="960" w:val="left"/>
        </w:tabs>
        <w:numPr>
          <w:ilvl w:val="0"/>
          <w:numId w:val="17"/>
        </w:numPr>
        <w:rPr>
          <w:rFonts w:ascii="Arial" w:cs="Arial" w:eastAsia="Arial" w:hAnsi="Arial"/>
          <w:sz w:val="18"/>
          <w:szCs w:val="18"/>
          <w:color w:val="auto"/>
        </w:rPr>
      </w:pPr>
      <w:r>
        <w:rPr>
          <w:rFonts w:ascii="Arial" w:cs="Arial" w:eastAsia="Arial" w:hAnsi="Arial"/>
          <w:sz w:val="18"/>
          <w:szCs w:val="18"/>
          <w:color w:val="auto"/>
        </w:rPr>
        <w:t>A material portion of the losses we reported for 2016 were attributable to Hanjin’s default and the expenses caused by the default and these expenses related to the default continuing in 2017 and were not fully covered by insurance;</w:t>
      </w:r>
    </w:p>
    <w:p>
      <w:pPr>
        <w:spacing w:after="0" w:line="75" w:lineRule="exact"/>
        <w:rPr>
          <w:rFonts w:ascii="Arial" w:cs="Arial" w:eastAsia="Arial" w:hAnsi="Arial"/>
          <w:sz w:val="18"/>
          <w:szCs w:val="18"/>
          <w:color w:val="auto"/>
        </w:rPr>
      </w:pPr>
    </w:p>
    <w:p>
      <w:pPr>
        <w:ind w:left="960" w:right="40" w:hanging="532"/>
        <w:spacing w:after="0" w:line="259" w:lineRule="auto"/>
        <w:tabs>
          <w:tab w:leader="none" w:pos="960" w:val="left"/>
        </w:tabs>
        <w:numPr>
          <w:ilvl w:val="0"/>
          <w:numId w:val="17"/>
        </w:numPr>
        <w:rPr>
          <w:rFonts w:ascii="Arial" w:cs="Arial" w:eastAsia="Arial" w:hAnsi="Arial"/>
          <w:sz w:val="18"/>
          <w:szCs w:val="18"/>
          <w:color w:val="auto"/>
        </w:rPr>
      </w:pPr>
      <w:r>
        <w:rPr>
          <w:rFonts w:ascii="Arial" w:cs="Arial" w:eastAsia="Arial" w:hAnsi="Arial"/>
          <w:sz w:val="18"/>
          <w:szCs w:val="18"/>
          <w:color w:val="auto"/>
        </w:rPr>
        <w:t>As a result of the Hanjin default, lower container lease rates and lower used container sales prices, our cash flow was substantially reduced in the second half of 2016 and the first half of 2017 and this impacted our ability to comply with financial covenants in certain debt facilities and to invest in new containers in 2016 and the first half of 2017; we obtained waivers and amendments from lenders to address these issues and subsequently refinanced the majority of our debt;</w:t>
      </w:r>
    </w:p>
    <w:p>
      <w:pPr>
        <w:spacing w:after="0" w:line="92" w:lineRule="exact"/>
        <w:rPr>
          <w:rFonts w:ascii="Arial" w:cs="Arial" w:eastAsia="Arial" w:hAnsi="Arial"/>
          <w:sz w:val="18"/>
          <w:szCs w:val="18"/>
          <w:color w:val="auto"/>
        </w:rPr>
      </w:pPr>
    </w:p>
    <w:p>
      <w:pPr>
        <w:ind w:left="960" w:right="20" w:hanging="532"/>
        <w:spacing w:after="0" w:line="279" w:lineRule="auto"/>
        <w:tabs>
          <w:tab w:leader="none" w:pos="960" w:val="left"/>
        </w:tabs>
        <w:numPr>
          <w:ilvl w:val="0"/>
          <w:numId w:val="17"/>
        </w:numPr>
        <w:rPr>
          <w:rFonts w:ascii="Arial" w:cs="Arial" w:eastAsia="Arial" w:hAnsi="Arial"/>
          <w:sz w:val="17"/>
          <w:szCs w:val="17"/>
          <w:color w:val="auto"/>
        </w:rPr>
      </w:pPr>
      <w:r>
        <w:rPr>
          <w:rFonts w:ascii="Arial" w:cs="Arial" w:eastAsia="Arial" w:hAnsi="Arial"/>
          <w:sz w:val="17"/>
          <w:szCs w:val="17"/>
          <w:color w:val="auto"/>
        </w:rPr>
        <w:t>Customer default insurance may not be available in the future to us or may not be affordable; we have renewed our insurance several times since the Hanjin default; however, the policy and coverage terms are not as favorable as before the Hanjin default and the premium has substantially increased, our customer default insurance expired at the end of 2020 and we determined not to renew coverage given the premium, deductible and policy terms and this coverage may not become economic in the future; and</w:t>
      </w:r>
    </w:p>
    <w:p>
      <w:pPr>
        <w:spacing w:after="0" w:line="76" w:lineRule="exact"/>
        <w:rPr>
          <w:rFonts w:ascii="Arial" w:cs="Arial" w:eastAsia="Arial" w:hAnsi="Arial"/>
          <w:sz w:val="17"/>
          <w:szCs w:val="17"/>
          <w:color w:val="auto"/>
        </w:rPr>
      </w:pPr>
    </w:p>
    <w:p>
      <w:pPr>
        <w:ind w:left="960" w:right="160" w:hanging="532"/>
        <w:spacing w:after="0" w:line="286" w:lineRule="auto"/>
        <w:tabs>
          <w:tab w:leader="none" w:pos="960" w:val="left"/>
        </w:tabs>
        <w:numPr>
          <w:ilvl w:val="0"/>
          <w:numId w:val="17"/>
        </w:numPr>
        <w:rPr>
          <w:rFonts w:ascii="Arial" w:cs="Arial" w:eastAsia="Arial" w:hAnsi="Arial"/>
          <w:sz w:val="17"/>
          <w:szCs w:val="17"/>
          <w:color w:val="auto"/>
        </w:rPr>
      </w:pPr>
      <w:r>
        <w:rPr>
          <w:rFonts w:ascii="Arial" w:cs="Arial" w:eastAsia="Arial" w:hAnsi="Arial"/>
          <w:sz w:val="17"/>
          <w:szCs w:val="17"/>
          <w:color w:val="auto"/>
        </w:rPr>
        <w:t>The Hanjin bankruptcy has led to further consolidation in the shipping line industry, increasing our reliance on a reduced number of customers; as a result of the Hanjin default shippers have heightened concern about the shipping line that carries their cargo and this may impact the container shipping industry in ways we are unable to anticipate and which may adversely impact us.</w:t>
      </w:r>
    </w:p>
    <w:p>
      <w:pPr>
        <w:spacing w:after="0" w:line="161"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Lessee defaults have and may continue to harm our business, results of operations and financial condition by decreasing revenue and increasing storage, repositioning, collection, insurance, and recovery expenses.</w:t>
      </w:r>
    </w:p>
    <w:p>
      <w:pPr>
        <w:spacing w:after="0" w:line="166" w:lineRule="exact"/>
        <w:rPr>
          <w:sz w:val="20"/>
          <w:szCs w:val="20"/>
          <w:color w:val="auto"/>
        </w:rPr>
      </w:pPr>
    </w:p>
    <w:p>
      <w:pPr>
        <w:ind w:right="100" w:firstLine="440"/>
        <w:spacing w:after="0" w:line="279" w:lineRule="auto"/>
        <w:rPr>
          <w:sz w:val="20"/>
          <w:szCs w:val="20"/>
          <w:color w:val="auto"/>
        </w:rPr>
      </w:pPr>
      <w:r>
        <w:rPr>
          <w:rFonts w:ascii="Arial" w:cs="Arial" w:eastAsia="Arial" w:hAnsi="Arial"/>
          <w:sz w:val="17"/>
          <w:szCs w:val="17"/>
          <w:color w:val="auto"/>
        </w:rPr>
        <w:t>Our containers are leased to numerous container lessees. Lessees are required to pay rent and to indemnify us for damage to or loss of containers. Lessees may default in paying rent and performing other obligations under their leases. A delay or diminution in amounts received under the leases (including leases on our managed containers), or a default in the performance of maintenance or other lessee obligations under the leases could adversely affect our business, results of operations and financial condition and our ability to make payments on our debt.</w:t>
      </w:r>
    </w:p>
    <w:p>
      <w:pPr>
        <w:spacing w:after="0" w:line="10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000"/>
          </w:cols>
          <w:pgMar w:left="440" w:top="274" w:right="459" w:bottom="1440" w:gutter="0" w:footer="0" w:header="0"/>
        </w:sectPr>
      </w:pPr>
    </w:p>
    <w:bookmarkStart w:id="26" w:name="page27"/>
    <w:bookmarkEnd w:id="26"/>
    <w:p>
      <w:pPr>
        <w:ind w:firstLine="440"/>
        <w:spacing w:after="0" w:line="26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We experienced several lessee defaults in 2016, including the default of Hanjin discussed above, which severely negatively impacted our financial performance, and we believe that there is the continued risk of lessee defaults in the future. In 2019 we also experienced lessee defaults, with the largest matter arising from fraudulent conduct by the owners of a regional shipping line. Historically, efforts to maintain high freight rates on the major trade lanes generally have not been sustainable for long periods of time. Excess vessel capacity due to new ship production, including the production of very large ships, and the re-activation of previously laid up vessels will continue to be a factor in the future, especially if older vessels are not scrapped. Major shipping lines are expected to have healthy profits overall for 2020 given the trade demand increase that commenced in the middle of the year, however reliable information about the financial position and resources of many shipping lines can be difficult to obtain and all shipping lines may not benefit equally from the higher trade demand. Excess vessel capacity and continued new vessel deliveries, especially the delivery of very large vessels, may cause freight rate pressure to return in the future. Additionally, the commencement of various tariff and trade restriction actions between major trading nations in 2018 which continued and accelerated in 2019 has increased uncertainty about container trade growth and demand and may increase default risk if tariff actions return and/or increase. While certain trade disputes were resolved at the end of 2019, the duration of these tariff actions may have altered trade patterns and may have lasting impacts on container demand. The implementation of low sulphur oxide emissions rules noted above may weaken the financial performance of our customers and increase their risk of default. The Novel Coronavirus pandemic has added to uncertainty about container trade demand, freight rates and our lessees’ financial performance and the current higher shipping demand and improved lessee financial performance may not continue. As a result, we continue to face heightened risk that our financial performance and cash flow could be severely affected by defaults by our customers.</w:t>
      </w:r>
    </w:p>
    <w:p>
      <w:pPr>
        <w:spacing w:after="0" w:line="180" w:lineRule="exact"/>
        <w:rPr>
          <w:sz w:val="20"/>
          <w:szCs w:val="20"/>
          <w:color w:val="auto"/>
        </w:rPr>
      </w:pPr>
    </w:p>
    <w:p>
      <w:pPr>
        <w:ind w:right="20" w:firstLine="440"/>
        <w:spacing w:after="0" w:line="286" w:lineRule="auto"/>
        <w:rPr>
          <w:sz w:val="20"/>
          <w:szCs w:val="20"/>
          <w:color w:val="auto"/>
        </w:rPr>
      </w:pPr>
      <w:r>
        <w:rPr>
          <w:rFonts w:ascii="Arial" w:cs="Arial" w:eastAsia="Arial" w:hAnsi="Arial"/>
          <w:sz w:val="16"/>
          <w:szCs w:val="16"/>
          <w:color w:val="auto"/>
        </w:rPr>
        <w:t>When lessees default, we may fail to recover all of our containers, and the containers that we do recover may be recovered in locations where we will not be able to quickly re-lease or sell them on commercially acceptable terms. In recovery actions we must locate the containers and often need to pay accrued storage and handling charges to depots and terminals, which may include debts incurred by the defaulting shipping line. We also may have to reposition these containers to other places where we can re-lease or sell them, which could be expensive, depending on the locations and distances involved. Following repositioning, we may need to repair the containers and pay container depots for storage until the containers are re-leased. These recovery and repair costs, and repositioning costs generally are reflected in our financial statements under container lessee default expense, net, and direct container expense – owned fleet, respectively. Accordingly, the amount of our bad debt expense may not capture the total adverse financial impact on us from a shipping line’s default. For our owned containers, these costs directly reduce our income and for our managed containers, lessee defaults decrease rental revenue and increase direct container expense, and thus reduce our management fee revenue. While we previously maintained insurance to cover some defaults, recent premium increases, large deductible amounts, and significant policy exclusions made the coverage uneconomic and we determined to let our coverage lapse for 2021. In 2015 and 2016 we filed significant insurance claims for lessee defaults we experienced. As a result of these insurance claims, potential future insurance claims or changes in the perceived risk of providing default insurance, such insurance might not be available to us in the future on commercially reasonable terms or at all. If we resume insurance, in any insurance claim our insurers may not agree with our determination that we have suffered an insured loss or our calculation of the amount of the insured loss. Any such future defaults could harm our business, results of operations and financial condition.</w:t>
      </w:r>
    </w:p>
    <w:p>
      <w:pPr>
        <w:spacing w:after="0" w:line="167" w:lineRule="exact"/>
        <w:rPr>
          <w:sz w:val="20"/>
          <w:szCs w:val="20"/>
          <w:color w:val="auto"/>
        </w:rPr>
      </w:pPr>
    </w:p>
    <w:p>
      <w:pPr>
        <w:ind w:right="40" w:firstLine="440"/>
        <w:spacing w:after="0" w:line="254" w:lineRule="auto"/>
        <w:rPr>
          <w:sz w:val="20"/>
          <w:szCs w:val="20"/>
          <w:color w:val="auto"/>
        </w:rPr>
      </w:pPr>
      <w:r>
        <w:rPr>
          <w:rFonts w:ascii="Arial" w:cs="Arial" w:eastAsia="Arial" w:hAnsi="Arial"/>
          <w:sz w:val="18"/>
          <w:szCs w:val="18"/>
          <w:color w:val="auto"/>
        </w:rPr>
        <w:t>Historically we have recovered a very high percentage of the containers from defaulted lessees. However, in recent years we encountered defaults from several smaller lessees and lessees in locations where recoveries did not track to our historical experience and significant losses were incurred. These losses were due to a number of containers being unrecoverable as the containers were not in the control of the lessee or the containers were detained by depots or terminals that demanded storage charges in excess of the value of the detained containers after accounting for repair and repositioning costs. Additionally, in certain recent insolvencies, even when we have recovered the containers, they have generally been in very poor condition which limits their ability to be re-leased and reduces their disposal value, both of which add to the ultimate cost of the default. If a material amount of future recoveries from defaulted lessees continue to deviate from our historical recovery experience, our financial performance and cash flow could be severely adversely affected.</w:t>
      </w:r>
    </w:p>
    <w:p>
      <w:pPr>
        <w:spacing w:after="0" w:line="12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000"/>
          </w:cols>
          <w:pgMar w:left="440" w:top="274" w:right="459" w:bottom="1440" w:gutter="0" w:footer="0" w:header="0"/>
        </w:sectPr>
      </w:pPr>
    </w:p>
    <w:bookmarkStart w:id="27" w:name="page28"/>
    <w:bookmarkEnd w:id="27"/>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Certain liens may arise on our containers.</w:t>
      </w:r>
    </w:p>
    <w:p>
      <w:pPr>
        <w:spacing w:after="0" w:line="121" w:lineRule="exact"/>
        <w:rPr>
          <w:sz w:val="20"/>
          <w:szCs w:val="20"/>
          <w:color w:val="auto"/>
        </w:rPr>
      </w:pPr>
    </w:p>
    <w:p>
      <w:pPr>
        <w:ind w:right="20" w:firstLine="440"/>
        <w:spacing w:after="0" w:line="259" w:lineRule="auto"/>
        <w:rPr>
          <w:sz w:val="20"/>
          <w:szCs w:val="20"/>
          <w:color w:val="auto"/>
        </w:rPr>
      </w:pPr>
      <w:r>
        <w:rPr>
          <w:rFonts w:ascii="Arial" w:cs="Arial" w:eastAsia="Arial" w:hAnsi="Arial"/>
          <w:sz w:val="18"/>
          <w:szCs w:val="18"/>
          <w:color w:val="auto"/>
        </w:rPr>
        <w:t>Depot operators, manufacturers, repairmen, terminals, ship owners and transporters do come into possession of our containers from time to time and have amounts due to them from the lessees or sublessees of the containers. In the event of nonpayment of those charges by the lessees or sublessees, we may be delayed in, or entirely barred from, repossessing the containers, or be required to make payments or incur expenses to discharge the lien to take possession of our containers.</w:t>
      </w:r>
    </w:p>
    <w:p>
      <w:pPr>
        <w:spacing w:after="0" w:line="200" w:lineRule="exact"/>
        <w:rPr>
          <w:sz w:val="20"/>
          <w:szCs w:val="20"/>
          <w:color w:val="auto"/>
        </w:rPr>
      </w:pPr>
    </w:p>
    <w:p>
      <w:pPr>
        <w:spacing w:after="0" w:line="203" w:lineRule="exact"/>
        <w:rPr>
          <w:sz w:val="20"/>
          <w:szCs w:val="20"/>
          <w:color w:val="auto"/>
        </w:rPr>
      </w:pPr>
    </w:p>
    <w:p>
      <w:pPr>
        <w:ind w:left="4040"/>
        <w:spacing w:after="0"/>
        <w:rPr>
          <w:sz w:val="20"/>
          <w:szCs w:val="20"/>
          <w:color w:val="auto"/>
        </w:rPr>
      </w:pPr>
      <w:r>
        <w:rPr>
          <w:rFonts w:ascii="Arial" w:cs="Arial" w:eastAsia="Arial" w:hAnsi="Arial"/>
          <w:sz w:val="18"/>
          <w:szCs w:val="18"/>
          <w:b w:val="1"/>
          <w:bCs w:val="1"/>
          <w:i w:val="1"/>
          <w:iCs w:val="1"/>
          <w:color w:val="auto"/>
        </w:rPr>
        <w:t>Risks Related to our Debt and Leverage</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indebtedness reduces our financial flexibility and could impede our ability to operate.</w:t>
      </w:r>
    </w:p>
    <w:p>
      <w:pPr>
        <w:spacing w:after="0" w:line="121" w:lineRule="exact"/>
        <w:rPr>
          <w:sz w:val="20"/>
          <w:szCs w:val="20"/>
          <w:color w:val="auto"/>
        </w:rPr>
      </w:pPr>
    </w:p>
    <w:p>
      <w:pPr>
        <w:ind w:firstLine="440"/>
        <w:spacing w:after="0" w:line="257" w:lineRule="auto"/>
        <w:rPr>
          <w:sz w:val="20"/>
          <w:szCs w:val="20"/>
          <w:color w:val="auto"/>
        </w:rPr>
      </w:pPr>
      <w:r>
        <w:rPr>
          <w:rFonts w:ascii="Arial" w:cs="Arial" w:eastAsia="Arial" w:hAnsi="Arial"/>
          <w:sz w:val="18"/>
          <w:szCs w:val="18"/>
          <w:color w:val="auto"/>
        </w:rPr>
        <w:t>We have historically operated with, and anticipate continuing to operate with, a significant amount of debt. As of December 31, 2020, we had outstanding indebtedness of $4,142 million under our debt facilities. All of our outstanding indebtedness is secured debt collateralized primarily by our container assets and finance leases. There is no assurance that we will be able to refinance our outstanding indebtedness on terms that we can afford or at all. If we are unable to refinance our outstanding indebtedness, or if we are unable to increase the amount of our borrowing capacity, it could limit our ability to grow our business.</w:t>
      </w:r>
    </w:p>
    <w:p>
      <w:pPr>
        <w:spacing w:after="0" w:line="188" w:lineRule="exact"/>
        <w:rPr>
          <w:sz w:val="20"/>
          <w:szCs w:val="20"/>
          <w:color w:val="auto"/>
        </w:rPr>
      </w:pPr>
    </w:p>
    <w:p>
      <w:pPr>
        <w:ind w:right="720" w:firstLine="440"/>
        <w:spacing w:after="0" w:line="277" w:lineRule="auto"/>
        <w:rPr>
          <w:sz w:val="20"/>
          <w:szCs w:val="20"/>
          <w:color w:val="auto"/>
        </w:rPr>
      </w:pPr>
      <w:r>
        <w:rPr>
          <w:rFonts w:ascii="Arial" w:cs="Arial" w:eastAsia="Arial" w:hAnsi="Arial"/>
          <w:sz w:val="18"/>
          <w:szCs w:val="18"/>
          <w:color w:val="auto"/>
        </w:rPr>
        <w:t>The amount of our indebtedness, and the terms of the related indebtedness (including interest rates and covenants), could have important consequences for us, including the following:</w:t>
      </w:r>
    </w:p>
    <w:p>
      <w:pPr>
        <w:spacing w:after="0" w:line="76" w:lineRule="exact"/>
        <w:rPr>
          <w:sz w:val="20"/>
          <w:szCs w:val="20"/>
          <w:color w:val="auto"/>
        </w:rPr>
      </w:pPr>
    </w:p>
    <w:p>
      <w:pPr>
        <w:ind w:left="1420" w:right="100" w:hanging="439"/>
        <w:spacing w:after="0" w:line="277" w:lineRule="auto"/>
        <w:tabs>
          <w:tab w:leader="none" w:pos="1420" w:val="left"/>
        </w:tabs>
        <w:numPr>
          <w:ilvl w:val="0"/>
          <w:numId w:val="18"/>
        </w:numPr>
        <w:rPr>
          <w:rFonts w:ascii="Arial" w:cs="Arial" w:eastAsia="Arial" w:hAnsi="Arial"/>
          <w:sz w:val="18"/>
          <w:szCs w:val="18"/>
          <w:color w:val="auto"/>
        </w:rPr>
      </w:pPr>
      <w:r>
        <w:rPr>
          <w:rFonts w:ascii="Arial" w:cs="Arial" w:eastAsia="Arial" w:hAnsi="Arial"/>
          <w:sz w:val="18"/>
          <w:szCs w:val="18"/>
          <w:color w:val="auto"/>
        </w:rPr>
        <w:t>require us to dedicate a substantial portion of our cash flows from operations to make payments on our debt, thereby reducing funds available for operations, investments, dividends, and future business opportunities and other purposes;</w:t>
      </w:r>
    </w:p>
    <w:p>
      <w:pPr>
        <w:spacing w:after="0" w:line="75" w:lineRule="exact"/>
        <w:rPr>
          <w:rFonts w:ascii="Arial" w:cs="Arial" w:eastAsia="Arial" w:hAnsi="Arial"/>
          <w:sz w:val="18"/>
          <w:szCs w:val="18"/>
          <w:color w:val="auto"/>
        </w:rPr>
      </w:pPr>
    </w:p>
    <w:p>
      <w:pPr>
        <w:ind w:left="1420" w:hanging="439"/>
        <w:spacing w:after="0"/>
        <w:tabs>
          <w:tab w:leader="none" w:pos="1420" w:val="left"/>
        </w:tabs>
        <w:numPr>
          <w:ilvl w:val="0"/>
          <w:numId w:val="18"/>
        </w:numPr>
        <w:rPr>
          <w:rFonts w:ascii="Arial" w:cs="Arial" w:eastAsia="Arial" w:hAnsi="Arial"/>
          <w:sz w:val="18"/>
          <w:szCs w:val="18"/>
          <w:color w:val="auto"/>
        </w:rPr>
      </w:pPr>
      <w:r>
        <w:rPr>
          <w:rFonts w:ascii="Arial" w:cs="Arial" w:eastAsia="Arial" w:hAnsi="Arial"/>
          <w:sz w:val="18"/>
          <w:szCs w:val="18"/>
          <w:color w:val="auto"/>
        </w:rPr>
        <w:t>limit our flexibility in planning for, or reacting to, changes in our business and the industry in which we operate;</w:t>
      </w:r>
    </w:p>
    <w:p>
      <w:pPr>
        <w:spacing w:after="0" w:line="130" w:lineRule="exact"/>
        <w:rPr>
          <w:rFonts w:ascii="Arial" w:cs="Arial" w:eastAsia="Arial" w:hAnsi="Arial"/>
          <w:sz w:val="18"/>
          <w:szCs w:val="18"/>
          <w:color w:val="auto"/>
        </w:rPr>
      </w:pPr>
    </w:p>
    <w:p>
      <w:pPr>
        <w:ind w:left="1420" w:hanging="439"/>
        <w:spacing w:after="0"/>
        <w:tabs>
          <w:tab w:leader="none" w:pos="1420" w:val="left"/>
        </w:tabs>
        <w:numPr>
          <w:ilvl w:val="0"/>
          <w:numId w:val="18"/>
        </w:numPr>
        <w:rPr>
          <w:rFonts w:ascii="Arial" w:cs="Arial" w:eastAsia="Arial" w:hAnsi="Arial"/>
          <w:sz w:val="18"/>
          <w:szCs w:val="18"/>
          <w:color w:val="auto"/>
        </w:rPr>
      </w:pPr>
      <w:r>
        <w:rPr>
          <w:rFonts w:ascii="Arial" w:cs="Arial" w:eastAsia="Arial" w:hAnsi="Arial"/>
          <w:sz w:val="18"/>
          <w:szCs w:val="18"/>
          <w:color w:val="auto"/>
        </w:rPr>
        <w:t>reduce our ability to make acquisitions or expand our business;</w:t>
      </w:r>
    </w:p>
    <w:p>
      <w:pPr>
        <w:spacing w:after="0" w:line="130" w:lineRule="exact"/>
        <w:rPr>
          <w:rFonts w:ascii="Arial" w:cs="Arial" w:eastAsia="Arial" w:hAnsi="Arial"/>
          <w:sz w:val="18"/>
          <w:szCs w:val="18"/>
          <w:color w:val="auto"/>
        </w:rPr>
      </w:pPr>
    </w:p>
    <w:p>
      <w:pPr>
        <w:ind w:left="1420" w:hanging="439"/>
        <w:spacing w:after="0"/>
        <w:tabs>
          <w:tab w:leader="none" w:pos="1420" w:val="left"/>
        </w:tabs>
        <w:numPr>
          <w:ilvl w:val="0"/>
          <w:numId w:val="18"/>
        </w:numPr>
        <w:rPr>
          <w:rFonts w:ascii="Arial" w:cs="Arial" w:eastAsia="Arial" w:hAnsi="Arial"/>
          <w:sz w:val="18"/>
          <w:szCs w:val="18"/>
          <w:color w:val="auto"/>
        </w:rPr>
      </w:pPr>
      <w:r>
        <w:rPr>
          <w:rFonts w:ascii="Arial" w:cs="Arial" w:eastAsia="Arial" w:hAnsi="Arial"/>
          <w:sz w:val="18"/>
          <w:szCs w:val="18"/>
          <w:color w:val="auto"/>
        </w:rPr>
        <w:t>make it more difficult for us to satisfy our current or future debt obligations;</w:t>
      </w:r>
    </w:p>
    <w:p>
      <w:pPr>
        <w:spacing w:after="0" w:line="130" w:lineRule="exact"/>
        <w:rPr>
          <w:rFonts w:ascii="Arial" w:cs="Arial" w:eastAsia="Arial" w:hAnsi="Arial"/>
          <w:sz w:val="18"/>
          <w:szCs w:val="18"/>
          <w:color w:val="auto"/>
        </w:rPr>
      </w:pPr>
    </w:p>
    <w:p>
      <w:pPr>
        <w:ind w:left="1420" w:right="120" w:hanging="439"/>
        <w:spacing w:after="0" w:line="311" w:lineRule="auto"/>
        <w:tabs>
          <w:tab w:leader="none" w:pos="1420" w:val="left"/>
        </w:tabs>
        <w:numPr>
          <w:ilvl w:val="0"/>
          <w:numId w:val="18"/>
        </w:numPr>
        <w:rPr>
          <w:rFonts w:ascii="Arial" w:cs="Arial" w:eastAsia="Arial" w:hAnsi="Arial"/>
          <w:sz w:val="16"/>
          <w:szCs w:val="16"/>
          <w:color w:val="auto"/>
        </w:rPr>
      </w:pPr>
      <w:r>
        <w:rPr>
          <w:rFonts w:ascii="Arial" w:cs="Arial" w:eastAsia="Arial" w:hAnsi="Arial"/>
          <w:sz w:val="16"/>
          <w:szCs w:val="16"/>
          <w:color w:val="auto"/>
        </w:rPr>
        <w:t>failure to comply with our debt obligations, including financial and other restrictive covenants, could result in an event of default under the agreements governing such indebtedness, which could lead to, among other things, an acceleration of our indebtedness or foreclosure on the assets securing our indebtedness and have a material adverse effect on our business or financial condition;</w:t>
      </w:r>
    </w:p>
    <w:p>
      <w:pPr>
        <w:spacing w:after="0" w:line="54" w:lineRule="exact"/>
        <w:rPr>
          <w:rFonts w:ascii="Arial" w:cs="Arial" w:eastAsia="Arial" w:hAnsi="Arial"/>
          <w:sz w:val="16"/>
          <w:szCs w:val="16"/>
          <w:color w:val="auto"/>
        </w:rPr>
      </w:pPr>
    </w:p>
    <w:p>
      <w:pPr>
        <w:ind w:left="1420" w:right="540" w:hanging="439"/>
        <w:spacing w:after="0" w:line="277" w:lineRule="auto"/>
        <w:tabs>
          <w:tab w:leader="none" w:pos="1420" w:val="left"/>
        </w:tabs>
        <w:numPr>
          <w:ilvl w:val="0"/>
          <w:numId w:val="18"/>
        </w:numPr>
        <w:rPr>
          <w:rFonts w:ascii="Arial" w:cs="Arial" w:eastAsia="Arial" w:hAnsi="Arial"/>
          <w:sz w:val="18"/>
          <w:szCs w:val="18"/>
          <w:color w:val="auto"/>
        </w:rPr>
      </w:pPr>
      <w:r>
        <w:rPr>
          <w:rFonts w:ascii="Arial" w:cs="Arial" w:eastAsia="Arial" w:hAnsi="Arial"/>
          <w:sz w:val="18"/>
          <w:szCs w:val="18"/>
          <w:color w:val="auto"/>
        </w:rPr>
        <w:t>limit our ability to borrow additional funds or to sell assets to raise funds, if needed, for working capital, capital expenditures, acquisitions, or other purposes; and</w:t>
      </w:r>
    </w:p>
    <w:p>
      <w:pPr>
        <w:spacing w:after="0" w:line="75" w:lineRule="exact"/>
        <w:rPr>
          <w:rFonts w:ascii="Arial" w:cs="Arial" w:eastAsia="Arial" w:hAnsi="Arial"/>
          <w:sz w:val="18"/>
          <w:szCs w:val="18"/>
          <w:color w:val="auto"/>
        </w:rPr>
      </w:pPr>
    </w:p>
    <w:p>
      <w:pPr>
        <w:ind w:left="1420" w:hanging="439"/>
        <w:spacing w:after="0"/>
        <w:tabs>
          <w:tab w:leader="none" w:pos="1420" w:val="left"/>
        </w:tabs>
        <w:numPr>
          <w:ilvl w:val="0"/>
          <w:numId w:val="18"/>
        </w:numPr>
        <w:rPr>
          <w:rFonts w:ascii="Arial" w:cs="Arial" w:eastAsia="Arial" w:hAnsi="Arial"/>
          <w:sz w:val="18"/>
          <w:szCs w:val="18"/>
          <w:color w:val="auto"/>
        </w:rPr>
      </w:pPr>
      <w:r>
        <w:rPr>
          <w:rFonts w:ascii="Arial" w:cs="Arial" w:eastAsia="Arial" w:hAnsi="Arial"/>
          <w:sz w:val="18"/>
          <w:szCs w:val="18"/>
          <w:color w:val="auto"/>
        </w:rPr>
        <w:t>increase our vulnerability to general adverse economic and industry conditions, including changes in interest rates.</w:t>
      </w:r>
    </w:p>
    <w:p>
      <w:pPr>
        <w:spacing w:after="0" w:line="225" w:lineRule="exact"/>
        <w:rPr>
          <w:sz w:val="20"/>
          <w:szCs w:val="20"/>
          <w:color w:val="auto"/>
        </w:rPr>
      </w:pPr>
    </w:p>
    <w:p>
      <w:pPr>
        <w:jc w:val="both"/>
        <w:ind w:right="60" w:firstLine="440"/>
        <w:spacing w:after="0" w:line="311" w:lineRule="auto"/>
        <w:rPr>
          <w:sz w:val="20"/>
          <w:szCs w:val="20"/>
          <w:color w:val="auto"/>
        </w:rPr>
      </w:pPr>
      <w:r>
        <w:rPr>
          <w:rFonts w:ascii="Arial" w:cs="Arial" w:eastAsia="Arial" w:hAnsi="Arial"/>
          <w:sz w:val="16"/>
          <w:szCs w:val="16"/>
          <w:color w:val="auto"/>
        </w:rPr>
        <w:t>We may not generate sufficient cash flow from operations to service and repay our debt and related obligations and have sufficient funds left over to achieve or sustain profitability in our operations, meet our working capital and capital expenditure needs and/or compete successfully in our industry. An uncured event of default in some or all of our debt facilities could cause some or all of our entities to be declared bankrupt or liquidated.</w:t>
      </w:r>
    </w:p>
    <w:p>
      <w:pPr>
        <w:spacing w:after="0" w:line="145" w:lineRule="exact"/>
        <w:rPr>
          <w:sz w:val="20"/>
          <w:szCs w:val="20"/>
          <w:color w:val="auto"/>
        </w:rPr>
      </w:pPr>
    </w:p>
    <w:p>
      <w:pPr>
        <w:ind w:right="480"/>
        <w:spacing w:after="0" w:line="282" w:lineRule="auto"/>
        <w:rPr>
          <w:sz w:val="20"/>
          <w:szCs w:val="20"/>
          <w:color w:val="auto"/>
        </w:rPr>
      </w:pPr>
      <w:r>
        <w:rPr>
          <w:rFonts w:ascii="Arial" w:cs="Arial" w:eastAsia="Arial" w:hAnsi="Arial"/>
          <w:sz w:val="18"/>
          <w:szCs w:val="18"/>
          <w:b w:val="1"/>
          <w:bCs w:val="1"/>
          <w:color w:val="auto"/>
        </w:rPr>
        <w:t>We will require a significant amount of cash to service and repay our outstanding indebtedness, fund future capital expenditures, and our ability to generate cash depends on many factors beyond our control.</w:t>
      </w:r>
    </w:p>
    <w:p>
      <w:pPr>
        <w:spacing w:after="0" w:line="166" w:lineRule="exact"/>
        <w:rPr>
          <w:sz w:val="20"/>
          <w:szCs w:val="20"/>
          <w:color w:val="auto"/>
        </w:rPr>
      </w:pPr>
    </w:p>
    <w:p>
      <w:pPr>
        <w:ind w:right="120" w:firstLine="440"/>
        <w:spacing w:after="0" w:line="259" w:lineRule="auto"/>
        <w:rPr>
          <w:sz w:val="20"/>
          <w:szCs w:val="20"/>
          <w:color w:val="auto"/>
        </w:rPr>
      </w:pPr>
      <w:r>
        <w:rPr>
          <w:rFonts w:ascii="Arial" w:cs="Arial" w:eastAsia="Arial" w:hAnsi="Arial"/>
          <w:sz w:val="18"/>
          <w:szCs w:val="18"/>
          <w:color w:val="auto"/>
        </w:rPr>
        <w:t>Our ability to make payments on and repay our indebtedness and to fund planned capital expenditures will depend on our ability to generate cash in the future. Our business primarily generates cash from our container assets. Our lenders, rating agencies and the investors in our asset-backed debt securities look to the historical and anticipated performance of our container assets when deciding whether to lend to us and the terms for such lending. It is possible that:</w:t>
      </w:r>
    </w:p>
    <w:p>
      <w:pPr>
        <w:spacing w:after="0" w:line="92" w:lineRule="exact"/>
        <w:rPr>
          <w:sz w:val="20"/>
          <w:szCs w:val="20"/>
          <w:color w:val="auto"/>
        </w:rPr>
      </w:pPr>
    </w:p>
    <w:p>
      <w:pPr>
        <w:ind w:left="1420" w:right="620" w:hanging="439"/>
        <w:spacing w:after="0" w:line="277" w:lineRule="auto"/>
        <w:tabs>
          <w:tab w:leader="none" w:pos="1420" w:val="left"/>
        </w:tabs>
        <w:numPr>
          <w:ilvl w:val="0"/>
          <w:numId w:val="19"/>
        </w:numPr>
        <w:rPr>
          <w:rFonts w:ascii="Arial" w:cs="Arial" w:eastAsia="Arial" w:hAnsi="Arial"/>
          <w:sz w:val="18"/>
          <w:szCs w:val="18"/>
          <w:color w:val="auto"/>
        </w:rPr>
      </w:pPr>
      <w:r>
        <w:rPr>
          <w:rFonts w:ascii="Arial" w:cs="Arial" w:eastAsia="Arial" w:hAnsi="Arial"/>
          <w:sz w:val="18"/>
          <w:szCs w:val="18"/>
          <w:color w:val="auto"/>
        </w:rPr>
        <w:t>our business will not generate sufficient cash flow from operations to service and repay our debt and to fund working capital requirements and future capital expenditures;</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000"/>
          </w:cols>
          <w:pgMar w:left="440" w:top="270" w:right="459" w:bottom="1440" w:gutter="0" w:footer="0" w:header="0"/>
        </w:sectPr>
      </w:pPr>
    </w:p>
    <w:bookmarkStart w:id="28" w:name="page29"/>
    <w:bookmarkEnd w:id="28"/>
    <w:p>
      <w:pPr>
        <w:ind w:left="1420" w:right="200" w:hanging="439"/>
        <w:spacing w:after="0" w:line="277" w:lineRule="auto"/>
        <w:tabs>
          <w:tab w:leader="none" w:pos="1420" w:val="left"/>
        </w:tabs>
        <w:numPr>
          <w:ilvl w:val="0"/>
          <w:numId w:val="20"/>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future borrowings will not be available under our current or future credit facilities in an amount sufficient to enable us to refinance our debt; or</w:t>
      </w:r>
    </w:p>
    <w:p>
      <w:pPr>
        <w:spacing w:after="0" w:line="75" w:lineRule="exact"/>
        <w:rPr>
          <w:rFonts w:ascii="Arial" w:cs="Arial" w:eastAsia="Arial" w:hAnsi="Arial"/>
          <w:sz w:val="18"/>
          <w:szCs w:val="18"/>
          <w:color w:val="auto"/>
        </w:rPr>
      </w:pPr>
    </w:p>
    <w:p>
      <w:pPr>
        <w:ind w:left="1420" w:right="120" w:hanging="439"/>
        <w:spacing w:after="0" w:line="277" w:lineRule="auto"/>
        <w:tabs>
          <w:tab w:leader="none" w:pos="1420" w:val="left"/>
        </w:tabs>
        <w:numPr>
          <w:ilvl w:val="0"/>
          <w:numId w:val="20"/>
        </w:numPr>
        <w:rPr>
          <w:rFonts w:ascii="Arial" w:cs="Arial" w:eastAsia="Arial" w:hAnsi="Arial"/>
          <w:sz w:val="18"/>
          <w:szCs w:val="18"/>
          <w:color w:val="auto"/>
        </w:rPr>
      </w:pPr>
      <w:r>
        <w:rPr>
          <w:rFonts w:ascii="Arial" w:cs="Arial" w:eastAsia="Arial" w:hAnsi="Arial"/>
          <w:sz w:val="18"/>
          <w:szCs w:val="18"/>
          <w:color w:val="auto"/>
        </w:rPr>
        <w:t>we will not be able to refinance any of our debt on commercially reasonable terms or at all due to declining historical or anticipated financial performance of our assets or for other reasons.</w:t>
      </w:r>
    </w:p>
    <w:p>
      <w:pPr>
        <w:spacing w:after="0" w:line="166" w:lineRule="exact"/>
        <w:rPr>
          <w:sz w:val="20"/>
          <w:szCs w:val="20"/>
          <w:color w:val="auto"/>
        </w:rPr>
      </w:pPr>
    </w:p>
    <w:p>
      <w:pPr>
        <w:ind w:right="640"/>
        <w:spacing w:after="0" w:line="282" w:lineRule="auto"/>
        <w:rPr>
          <w:sz w:val="20"/>
          <w:szCs w:val="20"/>
          <w:color w:val="auto"/>
        </w:rPr>
      </w:pPr>
      <w:r>
        <w:rPr>
          <w:rFonts w:ascii="Arial" w:cs="Arial" w:eastAsia="Arial" w:hAnsi="Arial"/>
          <w:sz w:val="18"/>
          <w:szCs w:val="18"/>
          <w:b w:val="1"/>
          <w:bCs w:val="1"/>
          <w:color w:val="auto"/>
        </w:rPr>
        <w:t>The terms of our debt facilities impose, and the terms of any future indebtedness may impose, significant operating, financial and other restrictions on us and our subsidiaries.</w:t>
      </w:r>
    </w:p>
    <w:p>
      <w:pPr>
        <w:spacing w:after="0" w:line="166" w:lineRule="exact"/>
        <w:rPr>
          <w:sz w:val="20"/>
          <w:szCs w:val="20"/>
          <w:color w:val="auto"/>
        </w:rPr>
      </w:pPr>
    </w:p>
    <w:p>
      <w:pPr>
        <w:ind w:right="120" w:firstLine="440"/>
        <w:spacing w:after="0" w:line="277" w:lineRule="auto"/>
        <w:rPr>
          <w:sz w:val="20"/>
          <w:szCs w:val="20"/>
          <w:color w:val="auto"/>
        </w:rPr>
      </w:pPr>
      <w:r>
        <w:rPr>
          <w:rFonts w:ascii="Arial" w:cs="Arial" w:eastAsia="Arial" w:hAnsi="Arial"/>
          <w:sz w:val="18"/>
          <w:szCs w:val="18"/>
          <w:color w:val="auto"/>
        </w:rPr>
        <w:t>Restrictions imposed by our secured debt facilities, revolving credit facilities, term loan and bonds may limit or prohibit, among other things, our ability to:</w:t>
      </w:r>
    </w:p>
    <w:p>
      <w:pPr>
        <w:spacing w:after="0" w:line="76" w:lineRule="exact"/>
        <w:rPr>
          <w:sz w:val="20"/>
          <w:szCs w:val="20"/>
          <w:color w:val="auto"/>
        </w:rPr>
      </w:pPr>
    </w:p>
    <w:p>
      <w:pPr>
        <w:ind w:left="1420" w:hanging="439"/>
        <w:spacing w:after="0"/>
        <w:tabs>
          <w:tab w:leader="none" w:pos="1420" w:val="left"/>
        </w:tabs>
        <w:numPr>
          <w:ilvl w:val="0"/>
          <w:numId w:val="21"/>
        </w:numPr>
        <w:rPr>
          <w:rFonts w:ascii="Arial" w:cs="Arial" w:eastAsia="Arial" w:hAnsi="Arial"/>
          <w:sz w:val="18"/>
          <w:szCs w:val="18"/>
          <w:color w:val="auto"/>
        </w:rPr>
      </w:pPr>
      <w:r>
        <w:rPr>
          <w:rFonts w:ascii="Arial" w:cs="Arial" w:eastAsia="Arial" w:hAnsi="Arial"/>
          <w:sz w:val="18"/>
          <w:szCs w:val="18"/>
          <w:color w:val="auto"/>
        </w:rPr>
        <w:t>incur additional indebtedness;</w:t>
      </w:r>
    </w:p>
    <w:p>
      <w:pPr>
        <w:spacing w:after="0" w:line="130" w:lineRule="exact"/>
        <w:rPr>
          <w:rFonts w:ascii="Arial" w:cs="Arial" w:eastAsia="Arial" w:hAnsi="Arial"/>
          <w:sz w:val="18"/>
          <w:szCs w:val="18"/>
          <w:color w:val="auto"/>
        </w:rPr>
      </w:pPr>
    </w:p>
    <w:p>
      <w:pPr>
        <w:ind w:left="1420" w:hanging="439"/>
        <w:spacing w:after="0"/>
        <w:tabs>
          <w:tab w:leader="none" w:pos="1420" w:val="left"/>
        </w:tabs>
        <w:numPr>
          <w:ilvl w:val="0"/>
          <w:numId w:val="21"/>
        </w:numPr>
        <w:rPr>
          <w:rFonts w:ascii="Arial" w:cs="Arial" w:eastAsia="Arial" w:hAnsi="Arial"/>
          <w:sz w:val="18"/>
          <w:szCs w:val="18"/>
          <w:color w:val="auto"/>
        </w:rPr>
      </w:pPr>
      <w:r>
        <w:rPr>
          <w:rFonts w:ascii="Arial" w:cs="Arial" w:eastAsia="Arial" w:hAnsi="Arial"/>
          <w:sz w:val="18"/>
          <w:szCs w:val="18"/>
          <w:color w:val="auto"/>
        </w:rPr>
        <w:t>pay dividends on or redeem or repurchase our common shares;</w:t>
      </w:r>
    </w:p>
    <w:p>
      <w:pPr>
        <w:spacing w:after="0" w:line="130" w:lineRule="exact"/>
        <w:rPr>
          <w:rFonts w:ascii="Arial" w:cs="Arial" w:eastAsia="Arial" w:hAnsi="Arial"/>
          <w:sz w:val="18"/>
          <w:szCs w:val="18"/>
          <w:color w:val="auto"/>
        </w:rPr>
      </w:pPr>
    </w:p>
    <w:p>
      <w:pPr>
        <w:ind w:left="1420" w:hanging="439"/>
        <w:spacing w:after="0"/>
        <w:tabs>
          <w:tab w:leader="none" w:pos="1420" w:val="left"/>
        </w:tabs>
        <w:numPr>
          <w:ilvl w:val="0"/>
          <w:numId w:val="21"/>
        </w:numPr>
        <w:rPr>
          <w:rFonts w:ascii="Arial" w:cs="Arial" w:eastAsia="Arial" w:hAnsi="Arial"/>
          <w:sz w:val="18"/>
          <w:szCs w:val="18"/>
          <w:color w:val="auto"/>
        </w:rPr>
      </w:pPr>
      <w:r>
        <w:rPr>
          <w:rFonts w:ascii="Arial" w:cs="Arial" w:eastAsia="Arial" w:hAnsi="Arial"/>
          <w:sz w:val="18"/>
          <w:szCs w:val="18"/>
          <w:color w:val="auto"/>
        </w:rPr>
        <w:t>enter into new lines of business;</w:t>
      </w:r>
    </w:p>
    <w:p>
      <w:pPr>
        <w:spacing w:after="0" w:line="130" w:lineRule="exact"/>
        <w:rPr>
          <w:rFonts w:ascii="Arial" w:cs="Arial" w:eastAsia="Arial" w:hAnsi="Arial"/>
          <w:sz w:val="18"/>
          <w:szCs w:val="18"/>
          <w:color w:val="auto"/>
        </w:rPr>
      </w:pPr>
    </w:p>
    <w:p>
      <w:pPr>
        <w:ind w:left="1420" w:hanging="439"/>
        <w:spacing w:after="0"/>
        <w:tabs>
          <w:tab w:leader="none" w:pos="1420" w:val="left"/>
        </w:tabs>
        <w:numPr>
          <w:ilvl w:val="0"/>
          <w:numId w:val="21"/>
        </w:numPr>
        <w:rPr>
          <w:rFonts w:ascii="Arial" w:cs="Arial" w:eastAsia="Arial" w:hAnsi="Arial"/>
          <w:sz w:val="18"/>
          <w:szCs w:val="18"/>
          <w:color w:val="auto"/>
        </w:rPr>
      </w:pPr>
      <w:r>
        <w:rPr>
          <w:rFonts w:ascii="Arial" w:cs="Arial" w:eastAsia="Arial" w:hAnsi="Arial"/>
          <w:sz w:val="18"/>
          <w:szCs w:val="18"/>
          <w:color w:val="auto"/>
        </w:rPr>
        <w:t>issue capital stock of our subsidiaries;</w:t>
      </w:r>
    </w:p>
    <w:p>
      <w:pPr>
        <w:spacing w:after="0" w:line="130" w:lineRule="exact"/>
        <w:rPr>
          <w:rFonts w:ascii="Arial" w:cs="Arial" w:eastAsia="Arial" w:hAnsi="Arial"/>
          <w:sz w:val="18"/>
          <w:szCs w:val="18"/>
          <w:color w:val="auto"/>
        </w:rPr>
      </w:pPr>
    </w:p>
    <w:p>
      <w:pPr>
        <w:ind w:left="1420" w:hanging="439"/>
        <w:spacing w:after="0"/>
        <w:tabs>
          <w:tab w:leader="none" w:pos="1420" w:val="left"/>
        </w:tabs>
        <w:numPr>
          <w:ilvl w:val="0"/>
          <w:numId w:val="21"/>
        </w:numPr>
        <w:rPr>
          <w:rFonts w:ascii="Arial" w:cs="Arial" w:eastAsia="Arial" w:hAnsi="Arial"/>
          <w:sz w:val="18"/>
          <w:szCs w:val="18"/>
          <w:color w:val="auto"/>
        </w:rPr>
      </w:pPr>
      <w:r>
        <w:rPr>
          <w:rFonts w:ascii="Arial" w:cs="Arial" w:eastAsia="Arial" w:hAnsi="Arial"/>
          <w:sz w:val="18"/>
          <w:szCs w:val="18"/>
          <w:color w:val="auto"/>
        </w:rPr>
        <w:t>make loans and certain types of investments;</w:t>
      </w:r>
    </w:p>
    <w:p>
      <w:pPr>
        <w:spacing w:after="0" w:line="130" w:lineRule="exact"/>
        <w:rPr>
          <w:rFonts w:ascii="Arial" w:cs="Arial" w:eastAsia="Arial" w:hAnsi="Arial"/>
          <w:sz w:val="18"/>
          <w:szCs w:val="18"/>
          <w:color w:val="auto"/>
        </w:rPr>
      </w:pPr>
    </w:p>
    <w:p>
      <w:pPr>
        <w:ind w:left="1420" w:hanging="439"/>
        <w:spacing w:after="0"/>
        <w:tabs>
          <w:tab w:leader="none" w:pos="1420" w:val="left"/>
        </w:tabs>
        <w:numPr>
          <w:ilvl w:val="0"/>
          <w:numId w:val="21"/>
        </w:numPr>
        <w:rPr>
          <w:rFonts w:ascii="Arial" w:cs="Arial" w:eastAsia="Arial" w:hAnsi="Arial"/>
          <w:sz w:val="18"/>
          <w:szCs w:val="18"/>
          <w:color w:val="auto"/>
        </w:rPr>
      </w:pPr>
      <w:r>
        <w:rPr>
          <w:rFonts w:ascii="Arial" w:cs="Arial" w:eastAsia="Arial" w:hAnsi="Arial"/>
          <w:sz w:val="18"/>
          <w:szCs w:val="18"/>
          <w:color w:val="auto"/>
        </w:rPr>
        <w:t>incur liens;</w:t>
      </w:r>
    </w:p>
    <w:p>
      <w:pPr>
        <w:spacing w:after="0" w:line="130" w:lineRule="exact"/>
        <w:rPr>
          <w:rFonts w:ascii="Arial" w:cs="Arial" w:eastAsia="Arial" w:hAnsi="Arial"/>
          <w:sz w:val="18"/>
          <w:szCs w:val="18"/>
          <w:color w:val="auto"/>
        </w:rPr>
      </w:pPr>
    </w:p>
    <w:p>
      <w:pPr>
        <w:ind w:left="1420" w:hanging="439"/>
        <w:spacing w:after="0"/>
        <w:tabs>
          <w:tab w:leader="none" w:pos="1420" w:val="left"/>
        </w:tabs>
        <w:numPr>
          <w:ilvl w:val="0"/>
          <w:numId w:val="21"/>
        </w:numPr>
        <w:rPr>
          <w:rFonts w:ascii="Arial" w:cs="Arial" w:eastAsia="Arial" w:hAnsi="Arial"/>
          <w:sz w:val="18"/>
          <w:szCs w:val="18"/>
          <w:color w:val="auto"/>
        </w:rPr>
      </w:pPr>
      <w:r>
        <w:rPr>
          <w:rFonts w:ascii="Arial" w:cs="Arial" w:eastAsia="Arial" w:hAnsi="Arial"/>
          <w:sz w:val="18"/>
          <w:szCs w:val="18"/>
          <w:color w:val="auto"/>
        </w:rPr>
        <w:t>sell certain assets or merge with or into other companies or acquire other companies;</w:t>
      </w:r>
    </w:p>
    <w:p>
      <w:pPr>
        <w:spacing w:after="0" w:line="130" w:lineRule="exact"/>
        <w:rPr>
          <w:rFonts w:ascii="Arial" w:cs="Arial" w:eastAsia="Arial" w:hAnsi="Arial"/>
          <w:sz w:val="18"/>
          <w:szCs w:val="18"/>
          <w:color w:val="auto"/>
        </w:rPr>
      </w:pPr>
    </w:p>
    <w:p>
      <w:pPr>
        <w:ind w:left="1420" w:hanging="439"/>
        <w:spacing w:after="0"/>
        <w:tabs>
          <w:tab w:leader="none" w:pos="1420" w:val="left"/>
        </w:tabs>
        <w:numPr>
          <w:ilvl w:val="0"/>
          <w:numId w:val="21"/>
        </w:numPr>
        <w:rPr>
          <w:rFonts w:ascii="Arial" w:cs="Arial" w:eastAsia="Arial" w:hAnsi="Arial"/>
          <w:sz w:val="18"/>
          <w:szCs w:val="18"/>
          <w:color w:val="auto"/>
        </w:rPr>
      </w:pPr>
      <w:r>
        <w:rPr>
          <w:rFonts w:ascii="Arial" w:cs="Arial" w:eastAsia="Arial" w:hAnsi="Arial"/>
          <w:sz w:val="18"/>
          <w:szCs w:val="18"/>
          <w:color w:val="auto"/>
        </w:rPr>
        <w:t>enter into certain transactions with shareholders and affiliates; and</w:t>
      </w:r>
    </w:p>
    <w:p>
      <w:pPr>
        <w:spacing w:after="0" w:line="130" w:lineRule="exact"/>
        <w:rPr>
          <w:rFonts w:ascii="Arial" w:cs="Arial" w:eastAsia="Arial" w:hAnsi="Arial"/>
          <w:sz w:val="18"/>
          <w:szCs w:val="18"/>
          <w:color w:val="auto"/>
        </w:rPr>
      </w:pPr>
    </w:p>
    <w:p>
      <w:pPr>
        <w:ind w:left="1420" w:hanging="439"/>
        <w:spacing w:after="0"/>
        <w:tabs>
          <w:tab w:leader="none" w:pos="1420" w:val="left"/>
        </w:tabs>
        <w:numPr>
          <w:ilvl w:val="0"/>
          <w:numId w:val="21"/>
        </w:numPr>
        <w:rPr>
          <w:rFonts w:ascii="Arial" w:cs="Arial" w:eastAsia="Arial" w:hAnsi="Arial"/>
          <w:sz w:val="18"/>
          <w:szCs w:val="18"/>
          <w:color w:val="auto"/>
        </w:rPr>
      </w:pPr>
      <w:r>
        <w:rPr>
          <w:rFonts w:ascii="Arial" w:cs="Arial" w:eastAsia="Arial" w:hAnsi="Arial"/>
          <w:sz w:val="18"/>
          <w:szCs w:val="18"/>
          <w:color w:val="auto"/>
        </w:rPr>
        <w:t>receive dividends, distributions, or other payments from our subsidiaries.</w:t>
      </w:r>
    </w:p>
    <w:p>
      <w:pPr>
        <w:spacing w:after="0" w:line="225" w:lineRule="exact"/>
        <w:rPr>
          <w:sz w:val="20"/>
          <w:szCs w:val="20"/>
          <w:color w:val="auto"/>
        </w:rPr>
      </w:pPr>
    </w:p>
    <w:p>
      <w:pPr>
        <w:ind w:right="140" w:firstLine="440"/>
        <w:spacing w:after="0" w:line="287" w:lineRule="auto"/>
        <w:rPr>
          <w:sz w:val="20"/>
          <w:szCs w:val="20"/>
          <w:color w:val="auto"/>
        </w:rPr>
      </w:pPr>
      <w:r>
        <w:rPr>
          <w:rFonts w:ascii="Arial" w:cs="Arial" w:eastAsia="Arial" w:hAnsi="Arial"/>
          <w:sz w:val="16"/>
          <w:szCs w:val="16"/>
          <w:color w:val="auto"/>
        </w:rPr>
        <w:t>We are also required to comply with certain financial covenants. These restrictions could adversely affect our ability to finance our future operations or capital needs and pursue available business opportunities. A breach of any of these financial covenants and restrictions, due to weaker financial performance, reduced asset values or otherwise could result in a default in respect of the related indebtedness. If a default occurs, the relevant lenders could elect to declare the indebtedness, together with accrued interest and fees, to be immediately due and payable and proceed against any collateral securing that indebtedness, which will constitute substantially all of our container assets and finance leases. As a result of the Hanjin bankruptcy, coupled with the lower container returns provided in recent years due to increased competition and lower realized used container prices, in 2016 and 2017 we experienced difficulty in meeting certain of the financial covenants on our lending facilities. We obtained various covenant amendments and waivers to address this situation and subsequently refinanced the majority of our debt with revised covenants. If needed in the future, we may be unable to obtain covenant amendments and waivers from our lenders and some or all of our indebtedness could be in default. Additionally, covenant amendments and waivers may limit our ability to access additional funds for container investment and the cost and expense of covenant amendments, waivers and/or refinancing may limit our available funds for container investment.</w:t>
      </w:r>
    </w:p>
    <w:p>
      <w:pPr>
        <w:spacing w:after="0" w:line="168" w:lineRule="exact"/>
        <w:rPr>
          <w:sz w:val="20"/>
          <w:szCs w:val="20"/>
          <w:color w:val="auto"/>
        </w:rPr>
      </w:pPr>
    </w:p>
    <w:p>
      <w:pPr>
        <w:ind w:right="260"/>
        <w:spacing w:after="0" w:line="282" w:lineRule="auto"/>
        <w:rPr>
          <w:sz w:val="20"/>
          <w:szCs w:val="20"/>
          <w:color w:val="auto"/>
        </w:rPr>
      </w:pPr>
      <w:r>
        <w:rPr>
          <w:rFonts w:ascii="Arial" w:cs="Arial" w:eastAsia="Arial" w:hAnsi="Arial"/>
          <w:sz w:val="18"/>
          <w:szCs w:val="18"/>
          <w:b w:val="1"/>
          <w:bCs w:val="1"/>
          <w:color w:val="auto"/>
        </w:rPr>
        <w:t>If we are unable to enter into interest rate swaps and caps on reasonable commercial terms or if a counterparty under our interest rate swap and cap agreements defaults, our exposure associated with our variable rate debt could increase.</w:t>
      </w:r>
    </w:p>
    <w:p>
      <w:pPr>
        <w:spacing w:after="0" w:line="166" w:lineRule="exact"/>
        <w:rPr>
          <w:sz w:val="20"/>
          <w:szCs w:val="20"/>
          <w:color w:val="auto"/>
        </w:rPr>
      </w:pPr>
    </w:p>
    <w:p>
      <w:pPr>
        <w:ind w:firstLine="440"/>
        <w:spacing w:after="0" w:line="271" w:lineRule="auto"/>
        <w:rPr>
          <w:sz w:val="20"/>
          <w:szCs w:val="20"/>
          <w:color w:val="auto"/>
        </w:rPr>
      </w:pPr>
      <w:r>
        <w:rPr>
          <w:rFonts w:ascii="Arial" w:cs="Arial" w:eastAsia="Arial" w:hAnsi="Arial"/>
          <w:sz w:val="17"/>
          <w:szCs w:val="17"/>
          <w:color w:val="auto"/>
        </w:rPr>
        <w:t>We have typically funded a significant portion of the purchase price of new containers through borrowings under our revolving credit facilities and our secured debt facilities and intend to use borrowings under our revolving credit facilities and our secured debt facilities for such funding in the future. All of our outstanding debt, other than the $1,922 million in aggregate principal amount under various asset backed notes and term loans is subject to variable interest rates. We have entered into various interest rate swap and cap agreements to mitigate our exposure associated with variable rate debt. The swap agreements involve payments by us to counterparties at fixed rates in return for receipts based upon variable rates indexed to the London Inter Bank Offered Rate. There can be no assurance that interest rate swaps and caps will be available in the future, or if available, will be on terms satisfactory to us. Moreover, our interest rate swap agreements are subject to counterparty credit exposure, which is defined as the ability of a counterparty to perform its financial obligations under a derivative contract. While we monitor our counterparties’</w:t>
      </w:r>
    </w:p>
    <w:p>
      <w:pPr>
        <w:spacing w:after="0" w:line="1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000"/>
          </w:cols>
          <w:pgMar w:left="440" w:top="274" w:right="459" w:bottom="1440" w:gutter="0" w:footer="0" w:header="0"/>
        </w:sectPr>
      </w:pPr>
    </w:p>
    <w:bookmarkStart w:id="29" w:name="page30"/>
    <w:bookmarkEnd w:id="29"/>
    <w:p>
      <w:pPr>
        <w:ind w:right="2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credit ratings on an on-going basis, we cannot be certain that they will stay in compliance with the related derivative agreements and not default in the future. If we are unable to obtain interest rate swaps and caps or if a counterparty under our interest rate swap and cap agreements defaults, our exposure associated with our variable rate debt could increase.</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The phase out of the London Inter Bank Offered Rate, or LIBOR, may adversely impact us.</w:t>
      </w:r>
    </w:p>
    <w:p>
      <w:pPr>
        <w:spacing w:after="0" w:line="229" w:lineRule="exact"/>
        <w:rPr>
          <w:sz w:val="20"/>
          <w:szCs w:val="20"/>
          <w:color w:val="auto"/>
        </w:rPr>
      </w:pPr>
    </w:p>
    <w:p>
      <w:pPr>
        <w:ind w:firstLine="440"/>
        <w:spacing w:after="0" w:line="269" w:lineRule="auto"/>
        <w:rPr>
          <w:sz w:val="20"/>
          <w:szCs w:val="20"/>
          <w:color w:val="auto"/>
        </w:rPr>
      </w:pPr>
      <w:r>
        <w:rPr>
          <w:rFonts w:ascii="Arial" w:cs="Arial" w:eastAsia="Arial" w:hAnsi="Arial"/>
          <w:sz w:val="17"/>
          <w:szCs w:val="17"/>
          <w:color w:val="auto"/>
        </w:rPr>
        <w:t>As noted above the substantial majority of our debt is variable rate debt and this debt is generally priced under rates that are indexed to USD LIBOR. USD LIBOR will be discontinued after June 2023. We have floating rate debt agreements that will be outstanding after 2021 which have rates set under LIBOR. We must agree with our lenders for the repricing of this debt under a new rate index prior to the discontinuance of USD LIBOR. Our interest rate hedges and swaps are also priced according to USD LIBOR and will also be impacted by this matter. None of our current debt agreements provide for the mechanics of a transition to a new interest rate index and the debt markets acceptance of a replacement for USD LIBOR is uncertain and evolving. In the United States, the Alternative Reference Rate Committee (“ARRC”), a group of diverse private-market participants assembled by the Federal Reserve Board and the Federal Reserve Bank of New York, was tasked with identifying alternative reference rates to replace USD LIBOR. The Secured Overnight Finance Rate (“SOFR”) has emerged as the AARC’s preferred alternative rate for LIBOR. SOFR is a broad measure of the cost of borrowing cash overnight collateralized by Treasury securities in the repurchase agreement market. At this time, the market acceptance of SOFR or other alternatives is uncertain. Given the amount of our floating rate debt and our significant annual interest expense, the impact of the discontinuance of USD LIBOR may adversely affect us and our financing structure.</w:t>
      </w:r>
    </w:p>
    <w:p>
      <w:pPr>
        <w:spacing w:after="0" w:line="17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Even with hedged variable rate debt and fixed rate debt, we face interest rate risk.</w:t>
      </w:r>
    </w:p>
    <w:p>
      <w:pPr>
        <w:spacing w:after="0" w:line="229" w:lineRule="exact"/>
        <w:rPr>
          <w:sz w:val="20"/>
          <w:szCs w:val="20"/>
          <w:color w:val="auto"/>
        </w:rPr>
      </w:pPr>
    </w:p>
    <w:p>
      <w:pPr>
        <w:ind w:firstLine="440"/>
        <w:spacing w:after="0" w:line="291" w:lineRule="auto"/>
        <w:rPr>
          <w:sz w:val="20"/>
          <w:szCs w:val="20"/>
          <w:color w:val="auto"/>
        </w:rPr>
      </w:pPr>
      <w:r>
        <w:rPr>
          <w:rFonts w:ascii="Arial" w:cs="Arial" w:eastAsia="Arial" w:hAnsi="Arial"/>
          <w:sz w:val="16"/>
          <w:szCs w:val="16"/>
          <w:color w:val="auto"/>
        </w:rPr>
        <w:t>We generally hedge and fix our overall debt exposure to have a maturity similar to the average remaining lease term of our long-term lease contracts. However if during the duration of our hedging, interest rates increase but lease rate per diems do not also increase, as our hedges expire our financial performance may decline due to higher interest rates not being offset by higher per diems. If this occurs, we may not be able to generate sufficient cash flows to service our debt obligations and/or we may breach our debt covenants, all of which would materially and adversely impact us. Additionally, in recent years we have entered into long term finance and operating leases that have a duration of longer than seven years and we do not believe that hedging the debt associated with the entire duration of these leases is economic. If interest rates materially increase in the later years of these leases and the debt associated with these leases remains unhedged our results may be adversely affected.</w:t>
      </w:r>
    </w:p>
    <w:p>
      <w:pPr>
        <w:spacing w:after="0" w:line="162" w:lineRule="exact"/>
        <w:rPr>
          <w:sz w:val="20"/>
          <w:szCs w:val="20"/>
          <w:color w:val="auto"/>
        </w:rPr>
      </w:pPr>
    </w:p>
    <w:p>
      <w:pPr>
        <w:ind w:right="20"/>
        <w:spacing w:after="0" w:line="282" w:lineRule="auto"/>
        <w:rPr>
          <w:sz w:val="20"/>
          <w:szCs w:val="20"/>
          <w:color w:val="auto"/>
        </w:rPr>
      </w:pPr>
      <w:r>
        <w:rPr>
          <w:rFonts w:ascii="Arial" w:cs="Arial" w:eastAsia="Arial" w:hAnsi="Arial"/>
          <w:sz w:val="18"/>
          <w:szCs w:val="18"/>
          <w:b w:val="1"/>
          <w:bCs w:val="1"/>
          <w:color w:val="auto"/>
        </w:rPr>
        <w:t>We own a large number of containers in our fleet and are subject to significant ownership risk and increasing our owned fleet entails increasing our debt, which could result in financial instability.</w:t>
      </w:r>
    </w:p>
    <w:p>
      <w:pPr>
        <w:spacing w:after="0" w:line="166" w:lineRule="exact"/>
        <w:rPr>
          <w:sz w:val="20"/>
          <w:szCs w:val="20"/>
          <w:color w:val="auto"/>
        </w:rPr>
      </w:pPr>
    </w:p>
    <w:p>
      <w:pPr>
        <w:ind w:right="140" w:firstLine="440"/>
        <w:spacing w:after="0" w:line="289" w:lineRule="auto"/>
        <w:rPr>
          <w:sz w:val="20"/>
          <w:szCs w:val="20"/>
          <w:color w:val="auto"/>
        </w:rPr>
      </w:pPr>
      <w:r>
        <w:rPr>
          <w:rFonts w:ascii="Arial" w:cs="Arial" w:eastAsia="Arial" w:hAnsi="Arial"/>
          <w:sz w:val="16"/>
          <w:szCs w:val="16"/>
          <w:color w:val="auto"/>
        </w:rPr>
        <w:t>Ownership of containers entails greater risk than management of containers for container investors. In 2020, the percentage of containers in our fleet that we own increased from 85.4% at the beginning of the year to 88.0% at the end of the year. In the years prior to 2017, we have consistently increased the number of owned containers in our fleet as a percentage of the total fleet, however in 2017 we assumed management of a large fleet from an insolvent leasing company which caused the owned percentage of our fleet to decline a few percentage points. In December 2019 we purchased the fleet of containers we previously managed for Leased Assets Pool Company Limited, an affiliate of Trencor and this increased our owned fleet percentage in 2019. The increased number of containers in our owned fleet increases our exposure to financing costs, financing risks, changes in per diem rates, re-leasing risk, changes in utilization rates, lessee defaults, repositioning costs, storage expenses, impairment charges and changes in sales prices upon the disposition of containers. The number of containers in our owned fleet fluctuates over time as we purchase new containers, sell containers into the secondary resale market, add third party container investors and/or acquire other fleets.</w:t>
      </w:r>
    </w:p>
    <w:p>
      <w:pPr>
        <w:spacing w:after="0" w:line="166" w:lineRule="exact"/>
        <w:rPr>
          <w:sz w:val="20"/>
          <w:szCs w:val="20"/>
          <w:color w:val="auto"/>
        </w:rPr>
      </w:pPr>
    </w:p>
    <w:p>
      <w:pPr>
        <w:ind w:right="20" w:firstLine="440"/>
        <w:spacing w:after="0" w:line="273" w:lineRule="auto"/>
        <w:rPr>
          <w:sz w:val="20"/>
          <w:szCs w:val="20"/>
          <w:color w:val="auto"/>
        </w:rPr>
      </w:pPr>
      <w:r>
        <w:rPr>
          <w:rFonts w:ascii="Arial" w:cs="Arial" w:eastAsia="Arial" w:hAnsi="Arial"/>
          <w:sz w:val="17"/>
          <w:szCs w:val="17"/>
          <w:color w:val="auto"/>
        </w:rPr>
        <w:t>If we continue to increase the number of containers in our owned fleet, we will likely have more capital at risk and may need to maintain higher debt balances. Additional borrowings may not be available under our revolving credit facilities or our secured debt facilities, and we may not be able to refinance these facilities, if necessary, on commercially reasonable terms or at all. We may need to raise additional debt or equity capital in order to fund our business, expand our sales activities and/or respond to competitive pressures. We may not have access to the capital resources we desire or need to fund our business or may not have access on attractive terms. These factors, among others, may reduce our profitability and adversely affect our plans to maintain the container ownership portion of our business.</w:t>
      </w:r>
    </w:p>
    <w:p>
      <w:pPr>
        <w:spacing w:after="0" w:line="1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000"/>
          </w:cols>
          <w:pgMar w:left="440" w:top="274" w:right="459" w:bottom="1440" w:gutter="0" w:footer="0" w:header="0"/>
        </w:sectPr>
      </w:pPr>
    </w:p>
    <w:bookmarkStart w:id="30" w:name="page31"/>
    <w:bookmarkEnd w:id="30"/>
    <w:p>
      <w:pPr>
        <w:jc w:val="center"/>
        <w:ind w:right="-19"/>
        <w:spacing w:after="0"/>
        <w:rPr>
          <w:sz w:val="20"/>
          <w:szCs w:val="20"/>
          <w:color w:val="auto"/>
        </w:rPr>
      </w:pPr>
      <w:r>
        <w:rPr>
          <w:rFonts w:ascii="Arial" w:cs="Arial" w:eastAsia="Arial" w:hAnsi="Arial"/>
          <w:sz w:val="18"/>
          <w:szCs w:val="18"/>
          <w:b w:val="1"/>
          <w:bCs w:val="1"/>
          <w:i w:val="1"/>
          <w:i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We Face Operational and Competitive Risks</w:t>
      </w:r>
    </w:p>
    <w:p>
      <w:pPr>
        <w:spacing w:after="0" w:line="221"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We may incur significant costs to reposition our containers, which could harm our business, results of operations and financial condition.</w:t>
      </w:r>
    </w:p>
    <w:p>
      <w:pPr>
        <w:spacing w:after="0" w:line="252" w:lineRule="exact"/>
        <w:rPr>
          <w:sz w:val="20"/>
          <w:szCs w:val="20"/>
          <w:color w:val="auto"/>
        </w:rPr>
      </w:pPr>
    </w:p>
    <w:p>
      <w:pPr>
        <w:ind w:right="60" w:firstLine="440"/>
        <w:spacing w:after="0" w:line="269" w:lineRule="auto"/>
        <w:rPr>
          <w:sz w:val="20"/>
          <w:szCs w:val="20"/>
          <w:color w:val="auto"/>
        </w:rPr>
      </w:pPr>
      <w:r>
        <w:rPr>
          <w:rFonts w:ascii="Arial" w:cs="Arial" w:eastAsia="Arial" w:hAnsi="Arial"/>
          <w:sz w:val="17"/>
          <w:szCs w:val="17"/>
          <w:color w:val="auto"/>
        </w:rPr>
        <w:t>When lessees return containers to locations where supply exceeds demand and when lessees default and we recover containers, we sometimes reposition containers to higher demand areas. Repositioning expenses vary depending on geographic location, distance, freight rates and other factors, and may not be fully covered by drop-off charges collected from the previous lessee of the containers or pick-up charges paid by the new lessee. We seek to limit the number of and impose surcharges on containers returned to low demand locations. Market conditions, however, may not enable us to continue such practices. In addition, we may not be able to accurately anticipate which locations will be characterized by higher or lower demand in the future, and our current contracts will not protect us from repositioning costs if locations that we expect to be higher demand locations turn out to be lower demand locations at the time the containers are returned. For example, the vast majority of our long-term leases require that a high percentage of the containers are returned in Asia, primarily in China. If long-term trade patterns change, it may not be economically desirable to have the bulk of our containers returned in China at the end of long-term leases. Additionally, our customer default insurance that covers lessee insolvencies does not sufficiently insure us for container repositioning expense. Any such increases in costs to reposition our containers could harm our business, results of operations and financial condition.</w:t>
      </w:r>
    </w:p>
    <w:p>
      <w:pPr>
        <w:spacing w:after="0" w:line="178" w:lineRule="exact"/>
        <w:rPr>
          <w:sz w:val="20"/>
          <w:szCs w:val="20"/>
          <w:color w:val="auto"/>
        </w:rPr>
      </w:pPr>
    </w:p>
    <w:p>
      <w:pPr>
        <w:ind w:right="180"/>
        <w:spacing w:after="0" w:line="282" w:lineRule="auto"/>
        <w:rPr>
          <w:sz w:val="20"/>
          <w:szCs w:val="20"/>
          <w:color w:val="auto"/>
        </w:rPr>
      </w:pPr>
      <w:r>
        <w:rPr>
          <w:rFonts w:ascii="Arial" w:cs="Arial" w:eastAsia="Arial" w:hAnsi="Arial"/>
          <w:sz w:val="18"/>
          <w:szCs w:val="18"/>
          <w:b w:val="1"/>
          <w:bCs w:val="1"/>
          <w:color w:val="auto"/>
        </w:rPr>
        <w:t>A contraction or slowdown in containerized cargo growth or negative containerized cargo growth would lead to a surplus of containers and a lack of storage space, which could negatively impact us.</w:t>
      </w:r>
    </w:p>
    <w:p>
      <w:pPr>
        <w:spacing w:after="0" w:line="166" w:lineRule="exact"/>
        <w:rPr>
          <w:sz w:val="20"/>
          <w:szCs w:val="20"/>
          <w:color w:val="auto"/>
        </w:rPr>
      </w:pPr>
    </w:p>
    <w:p>
      <w:pPr>
        <w:ind w:firstLine="440"/>
        <w:spacing w:after="0" w:line="269" w:lineRule="auto"/>
        <w:rPr>
          <w:sz w:val="20"/>
          <w:szCs w:val="20"/>
          <w:color w:val="auto"/>
        </w:rPr>
      </w:pPr>
      <w:r>
        <w:rPr>
          <w:rFonts w:ascii="Arial" w:cs="Arial" w:eastAsia="Arial" w:hAnsi="Arial"/>
          <w:sz w:val="17"/>
          <w:szCs w:val="17"/>
          <w:color w:val="auto"/>
        </w:rPr>
        <w:t>We depend on third party depot operators to repair and store our equipment in port areas throughout the world. Growth in the world’s container fleet has significantly outpaced growth in depot capacity and even in the current period of historically high utilization, we continue to experience limited depot capacity in certain major port cities. Additionally, the land occupied by depots is increasingly being considered prime real estate, as it is coastal land in or near major cities, and this land may be developed into other uses or there may be increasing restrictions on depot operations by local communities. This trend has already caused depot storage costs to increase and could further increase depots’ costs and in some cases force depots to relocate to sites further from the port areas. If these changes affect a large number of our depots, or if we experience a period of lower container utilization, it could significantly increase the cost of maintaining and storing our off-hire containers. Additionally, if depot space is unavailable, we may be unable to accept returned containers from lessees, which may cause us to breach our lease agreements. The current period of very high container utilization may further add financial stress to third party depots as they are receiving limited amounts for storing containers. This financial stress could cause depot closures and further exacerbate the risks we face from limited container storage space.</w:t>
      </w:r>
    </w:p>
    <w:p>
      <w:pPr>
        <w:spacing w:after="0" w:line="181" w:lineRule="exact"/>
        <w:rPr>
          <w:sz w:val="20"/>
          <w:szCs w:val="20"/>
          <w:color w:val="auto"/>
        </w:rPr>
      </w:pPr>
    </w:p>
    <w:p>
      <w:pPr>
        <w:ind w:right="580"/>
        <w:spacing w:after="0" w:line="282" w:lineRule="auto"/>
        <w:rPr>
          <w:sz w:val="20"/>
          <w:szCs w:val="20"/>
          <w:color w:val="auto"/>
        </w:rPr>
      </w:pPr>
      <w:r>
        <w:rPr>
          <w:rFonts w:ascii="Arial" w:cs="Arial" w:eastAsia="Arial" w:hAnsi="Arial"/>
          <w:sz w:val="18"/>
          <w:szCs w:val="18"/>
          <w:b w:val="1"/>
          <w:bCs w:val="1"/>
          <w:color w:val="auto"/>
        </w:rPr>
        <w:t>If we are unable to lease our new containers shortly after we purchase them, our business, results of operations, cash flows and financial condition may be harmed.</w:t>
      </w:r>
    </w:p>
    <w:p>
      <w:pPr>
        <w:spacing w:after="0" w:line="166" w:lineRule="exact"/>
        <w:rPr>
          <w:sz w:val="20"/>
          <w:szCs w:val="20"/>
          <w:color w:val="auto"/>
        </w:rPr>
      </w:pPr>
    </w:p>
    <w:p>
      <w:pPr>
        <w:ind w:right="40" w:firstLine="440"/>
        <w:spacing w:after="0" w:line="272" w:lineRule="auto"/>
        <w:rPr>
          <w:sz w:val="20"/>
          <w:szCs w:val="20"/>
          <w:color w:val="auto"/>
        </w:rPr>
      </w:pPr>
      <w:r>
        <w:rPr>
          <w:rFonts w:ascii="Arial" w:cs="Arial" w:eastAsia="Arial" w:hAnsi="Arial"/>
          <w:sz w:val="17"/>
          <w:szCs w:val="17"/>
          <w:color w:val="auto"/>
        </w:rPr>
        <w:t>Lease rates for new containers are positively correlated to the fluctuations in the price of new containers, which is positively correlated with the price of steel, a major component used in the manufacture of new containers. If we are unable to lease the new containers that we purchase within a short period of time of such purchase, the market price of new containers and the corresponding market lease rates for new containers may decrease, regardless of the higher cost of the previously purchased containers. Additionally, if we believe new container prices are attractive, we may purchase more containers than we have immediate demand for if we expect container prices or lease rates may rise. If prices do not rise or new container demand weakens, we may be unable to lease this speculative inventory on attractive terms or at all. Declines in new container prices, lease rates, or the inability to lease new containers could harm our business, results of operations and financial condition.</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0980"/>
          </w:cols>
          <w:pgMar w:left="440" w:top="274" w:right="479" w:bottom="1440" w:gutter="0" w:footer="0" w:header="0"/>
        </w:sectPr>
      </w:pPr>
    </w:p>
    <w:bookmarkStart w:id="31" w:name="page32"/>
    <w:bookmarkEnd w:id="31"/>
    <w:p>
      <w:pPr>
        <w:ind w:right="400"/>
        <w:spacing w:after="0" w:line="266"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Consolidation of container manufacturers or the disruption of manufacturing for the major manufacturers could result in higher new container prices and/or decreased supply of new containers. Any material increase in the cost or reduction in the supply of new containers could harm our business, results of operations and financial condition.</w:t>
      </w:r>
    </w:p>
    <w:p>
      <w:pPr>
        <w:spacing w:after="0" w:line="180" w:lineRule="exact"/>
        <w:rPr>
          <w:sz w:val="20"/>
          <w:szCs w:val="20"/>
          <w:color w:val="auto"/>
        </w:rPr>
      </w:pPr>
    </w:p>
    <w:p>
      <w:pPr>
        <w:ind w:right="100" w:firstLine="440"/>
        <w:spacing w:after="0" w:line="255" w:lineRule="auto"/>
        <w:rPr>
          <w:sz w:val="20"/>
          <w:szCs w:val="20"/>
          <w:color w:val="auto"/>
        </w:rPr>
      </w:pPr>
      <w:r>
        <w:rPr>
          <w:rFonts w:ascii="Arial" w:cs="Arial" w:eastAsia="Arial" w:hAnsi="Arial"/>
          <w:sz w:val="18"/>
          <w:szCs w:val="18"/>
          <w:color w:val="auto"/>
        </w:rPr>
        <w:t>We currently purchase all of our containers from manufacturers based in the PRC. If it were to become more expensive for us to procure containers in the PRC or to transport these containers at a low cost from the manufacturer to the locations where they are needed by our container lessees because of changes in exchange rates between the U.S. Dollar and Chinese Yuan, consolidation among container suppliers, increased tariffs imposed by the U.S. or other governments, changing trade patterns, increased fuel costs, increased labor costs, or for any other reason, we may have to seek alternative sources of supply and we may not be able to make alternative arrangements quickly enough to meet our container needs, and the alternative arrangements may increase our costs.</w:t>
      </w:r>
    </w:p>
    <w:p>
      <w:pPr>
        <w:spacing w:after="0" w:line="192" w:lineRule="exact"/>
        <w:rPr>
          <w:sz w:val="20"/>
          <w:szCs w:val="20"/>
          <w:color w:val="auto"/>
        </w:rPr>
      </w:pPr>
    </w:p>
    <w:p>
      <w:pPr>
        <w:ind w:right="40" w:firstLine="440"/>
        <w:spacing w:after="0" w:line="271" w:lineRule="auto"/>
        <w:rPr>
          <w:sz w:val="20"/>
          <w:szCs w:val="20"/>
          <w:color w:val="auto"/>
        </w:rPr>
      </w:pPr>
      <w:r>
        <w:rPr>
          <w:rFonts w:ascii="Arial" w:cs="Arial" w:eastAsia="Arial" w:hAnsi="Arial"/>
          <w:sz w:val="17"/>
          <w:szCs w:val="17"/>
          <w:color w:val="auto"/>
        </w:rPr>
        <w:t>The availability and price of containers depend significantly on the capacity and bargaining position of the major container manufacturers. Three major manufacturers have approximately 80% of that industry’s market share. Additionally, one of the major container manufacturers is under common ownership with a large container lessor, which may impact our ability to competitively source containers from this manufacturer. This market structure and the commodity inputs used in manufacturing have led to significant variability in container prices. In particular, the increased focus on environmental matters in China may reduce the supply (and increase the cost) of steel and other raw materials used in our containers and the mandatory use of water borne paint by all container factories in China has already increased the cost of containers and created container production constraints. If an increased cost of purchasing containers is not matched by a corresponding increase in lease rates, or if we have difficulty in sourcing containers, our business, results of operations and financial condition would be harmed.</w:t>
      </w:r>
    </w:p>
    <w:p>
      <w:pPr>
        <w:spacing w:after="0" w:line="174"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Sustained reduction in the production of new containers could harm our business, results of operations and financial condition.</w:t>
      </w:r>
    </w:p>
    <w:p>
      <w:pPr>
        <w:spacing w:after="0" w:line="241" w:lineRule="exact"/>
        <w:rPr>
          <w:sz w:val="20"/>
          <w:szCs w:val="20"/>
          <w:color w:val="auto"/>
        </w:rPr>
      </w:pPr>
    </w:p>
    <w:p>
      <w:pPr>
        <w:ind w:firstLine="440"/>
        <w:spacing w:after="0" w:line="291" w:lineRule="auto"/>
        <w:rPr>
          <w:sz w:val="20"/>
          <w:szCs w:val="20"/>
          <w:color w:val="auto"/>
        </w:rPr>
      </w:pPr>
      <w:r>
        <w:rPr>
          <w:rFonts w:ascii="Arial" w:cs="Arial" w:eastAsia="Arial" w:hAnsi="Arial"/>
          <w:sz w:val="16"/>
          <w:szCs w:val="16"/>
          <w:color w:val="auto"/>
        </w:rPr>
        <w:t>Container manufacturing shutdowns in China in the wake of the financial crisis drastically reduced the production of standard dry freight containers from the fourth quarter of 2008 through the end of 2009, combined with continued retirement of older containers in the ordinary course, led to a decline in the world container fleet of approximately 4% in 2009, creating a shortage of containers as worldwide cargo volumes increased by 12.0% in 2010 and 8.6% in 2011. During the period of shutdowns, container manufacturers lost up to 60% of their skilled work force and had limited production capacity in 2010 as they had to hire and train a new skilled work force. Although manufacturers resumed production in 2011 and continued steady production from 2012 through 2020, if there is a sustained reduction in the production of new containers due to the Novel Coronavirus or otherwise, it could impact our ability to expand our fleet, which could harm our business, results of operations and financial condition.</w:t>
      </w:r>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We face extensive competition in the container leasing industry.</w:t>
      </w:r>
    </w:p>
    <w:p>
      <w:pPr>
        <w:spacing w:after="0" w:line="229" w:lineRule="exact"/>
        <w:rPr>
          <w:sz w:val="20"/>
          <w:szCs w:val="20"/>
          <w:color w:val="auto"/>
        </w:rPr>
      </w:pPr>
    </w:p>
    <w:p>
      <w:pPr>
        <w:ind w:right="20" w:firstLine="440"/>
        <w:spacing w:after="0" w:line="286" w:lineRule="auto"/>
        <w:rPr>
          <w:sz w:val="20"/>
          <w:szCs w:val="20"/>
          <w:color w:val="auto"/>
        </w:rPr>
      </w:pPr>
      <w:r>
        <w:rPr>
          <w:rFonts w:ascii="Arial" w:cs="Arial" w:eastAsia="Arial" w:hAnsi="Arial"/>
          <w:sz w:val="16"/>
          <w:szCs w:val="16"/>
          <w:color w:val="auto"/>
        </w:rPr>
        <w:t>We may be unable to compete favorably in the highly competitive container leasing and container management businesses. We compete with a relatively small number of major leasing companies, many smaller lessors, companies, and financial institutions offering finance leases, and promoters of container ownership and leasing as a tax-efficient investment. Some of these competitors may have greater financial resources and access to capital than we do. Additionally, some of these competitors may have large, underutilized inventories of containers, which could, if leased, lead to significant downward pressure on per diem rates, margins, and prices of containers. Competition among container leasing companies depends upon many factors, including, among others: per diem rates; supply reliability; lease terms, including lease duration, drop-off restrictions and repair provisions; customer service; and the location, availability, quality, and individual characteristics of containers. In recent years, several container leasing companies have acquired other container lessors and we may face increased competition from these merged firms. Following the completion of each consolidation, the new entity may face further pressure for fleet growth and may compete even more aggressively, causing further declines in rental rates available from container leases. New entrants into the leasing business may be attracted by the historically high rate of containerized trade growth, access to the capital markets and low pricing for containers. New entrants may be willing to offer pricing or other terms that we are unwilling or unable to match. Additionally, the management agreements under which we manage containers for other parties do not restrict these container investors from having other container fleets managed by competing leasing companies or from directly competing with us.</w:t>
      </w:r>
    </w:p>
    <w:p>
      <w:pPr>
        <w:spacing w:after="0" w:line="10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0960"/>
          </w:cols>
          <w:pgMar w:left="440" w:top="270" w:right="499" w:bottom="1440" w:gutter="0" w:footer="0" w:header="0"/>
        </w:sectPr>
      </w:pPr>
    </w:p>
    <w:bookmarkStart w:id="32" w:name="page33"/>
    <w:bookmarkEnd w:id="32"/>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Our lessees may decide to buy, rather than lease their containers.</w:t>
      </w:r>
    </w:p>
    <w:p>
      <w:pPr>
        <w:spacing w:after="0" w:line="229" w:lineRule="exact"/>
        <w:rPr>
          <w:sz w:val="20"/>
          <w:szCs w:val="20"/>
          <w:color w:val="auto"/>
        </w:rPr>
      </w:pPr>
    </w:p>
    <w:p>
      <w:pPr>
        <w:ind w:right="20" w:firstLine="440"/>
        <w:spacing w:after="0" w:line="290" w:lineRule="auto"/>
        <w:rPr>
          <w:sz w:val="20"/>
          <w:szCs w:val="20"/>
          <w:color w:val="auto"/>
        </w:rPr>
      </w:pPr>
      <w:r>
        <w:rPr>
          <w:rFonts w:ascii="Arial" w:cs="Arial" w:eastAsia="Arial" w:hAnsi="Arial"/>
          <w:sz w:val="16"/>
          <w:szCs w:val="16"/>
          <w:color w:val="auto"/>
        </w:rPr>
        <w:t>We, like other suppliers of leased containers, are dependent upon decisions by shipping lines to lease rather than to buy their container equipment. Shipping lines own a significant amount of the world’s intermodal containers and effectively compete with us. In part due to constraints on their financing and need to allocate capital to new ship purchases, scrubber installations for low sulphur emissions compliance and port terminals, in recent years, shipping lines have generally reduced their purchases of new containers. In 2020, we believe that about two-thirds of all shipping containers were purchased by leasing companies. Although we believe that this percentage should somewhat rebalance itself, we still expect leasing companies to be a major purchaser of the new containers to be produced. Should shipping lines decide to buy a larger percentage of the containers they operate, our utilization rate would decrease, resulting in decreased leasing revenues, increased storage costs and increased repositioning costs. A decrease in the portion of leased containers would also reduce our investment opportunities and significantly constrain our growth.</w:t>
      </w:r>
    </w:p>
    <w:p>
      <w:pPr>
        <w:spacing w:after="0" w:line="165" w:lineRule="exact"/>
        <w:rPr>
          <w:sz w:val="20"/>
          <w:szCs w:val="20"/>
          <w:color w:val="auto"/>
        </w:rPr>
      </w:pPr>
    </w:p>
    <w:p>
      <w:pPr>
        <w:ind w:right="20" w:firstLine="440"/>
        <w:spacing w:after="0" w:line="301" w:lineRule="auto"/>
        <w:rPr>
          <w:sz w:val="20"/>
          <w:szCs w:val="20"/>
          <w:color w:val="auto"/>
        </w:rPr>
      </w:pPr>
      <w:r>
        <w:rPr>
          <w:rFonts w:ascii="Arial" w:cs="Arial" w:eastAsia="Arial" w:hAnsi="Arial"/>
          <w:sz w:val="16"/>
          <w:szCs w:val="16"/>
          <w:color w:val="auto"/>
        </w:rPr>
        <w:t>For reporting periods beginning in 2019, the new accounting guidance under both generally accepted accounting principles in the United States of America (“U.S. GAAP”) and International Financial Reporting Standards (“IFRS”) requires recognition of right-of-use asset and corresponding lease liability of operating leases on the lessees’ balance sheet. Because the new leasing guidance virtually eliminates the financial statement benefit of entering into operating leases for the lessees, it could change our customers’ “lease vs. buy” decision and/or decision on lease structures and terms.</w:t>
      </w:r>
    </w:p>
    <w:p>
      <w:pPr>
        <w:spacing w:after="0" w:line="153" w:lineRule="exact"/>
        <w:rPr>
          <w:sz w:val="20"/>
          <w:szCs w:val="20"/>
          <w:color w:val="auto"/>
        </w:rPr>
      </w:pPr>
    </w:p>
    <w:p>
      <w:pPr>
        <w:ind w:right="580"/>
        <w:spacing w:after="0" w:line="312" w:lineRule="auto"/>
        <w:rPr>
          <w:sz w:val="20"/>
          <w:szCs w:val="20"/>
          <w:color w:val="auto"/>
        </w:rPr>
      </w:pPr>
      <w:r>
        <w:rPr>
          <w:rFonts w:ascii="Arial" w:cs="Arial" w:eastAsia="Arial" w:hAnsi="Arial"/>
          <w:sz w:val="17"/>
          <w:szCs w:val="17"/>
          <w:b w:val="1"/>
          <w:bCs w:val="1"/>
          <w:color w:val="auto"/>
        </w:rPr>
        <w:t>Use of counterfeit and improper refrigerant in refrigeration machines for refrigerated containers could cause irreparable damage to the refrigeration machines, death, or personal injury, and materially impair the value of our refrigerated container fleet.</w:t>
      </w:r>
    </w:p>
    <w:p>
      <w:pPr>
        <w:spacing w:after="0" w:line="144" w:lineRule="exact"/>
        <w:rPr>
          <w:sz w:val="20"/>
          <w:szCs w:val="20"/>
          <w:color w:val="auto"/>
        </w:rPr>
      </w:pPr>
    </w:p>
    <w:p>
      <w:pPr>
        <w:ind w:right="80" w:firstLine="440"/>
        <w:spacing w:after="0" w:line="286" w:lineRule="auto"/>
        <w:rPr>
          <w:sz w:val="20"/>
          <w:szCs w:val="20"/>
          <w:color w:val="auto"/>
        </w:rPr>
      </w:pPr>
      <w:r>
        <w:rPr>
          <w:rFonts w:ascii="Arial" w:cs="Arial" w:eastAsia="Arial" w:hAnsi="Arial"/>
          <w:sz w:val="17"/>
          <w:szCs w:val="17"/>
          <w:color w:val="auto"/>
        </w:rPr>
        <w:t>In past years, there were a limited number of reports of counterfeit and improper refrigerant gas being used to service refrigeration machines in depots primarily in Asia. The use of this counterfeit gas has led to the explosion of several refrigeration machines. Several of these incidents resulted in personal injury or death, and in all cases, the counterfeit gas led to irreparable damage to the refrigeration machines.</w:t>
      </w:r>
    </w:p>
    <w:p>
      <w:pPr>
        <w:spacing w:after="0" w:line="165" w:lineRule="exact"/>
        <w:rPr>
          <w:sz w:val="20"/>
          <w:szCs w:val="20"/>
          <w:color w:val="auto"/>
        </w:rPr>
      </w:pPr>
    </w:p>
    <w:p>
      <w:pPr>
        <w:ind w:firstLine="440"/>
        <w:spacing w:after="0" w:line="272" w:lineRule="auto"/>
        <w:rPr>
          <w:sz w:val="20"/>
          <w:szCs w:val="20"/>
          <w:color w:val="auto"/>
        </w:rPr>
      </w:pPr>
      <w:r>
        <w:rPr>
          <w:rFonts w:ascii="Arial" w:cs="Arial" w:eastAsia="Arial" w:hAnsi="Arial"/>
          <w:sz w:val="17"/>
          <w:szCs w:val="17"/>
          <w:color w:val="auto"/>
        </w:rPr>
        <w:t>Safer testing procedures were developed and implemented by refrigeration manufacturers and industry participants in order to determine whether counterfeit or improper gas was used to service a refrigeration machine. However, there can be no assurance that these procedures will prove to continue to be reliable and cost effective. If industry procedures and tests are not proven safe and effective or if the use of such counterfeit and improper refrigerant recurs and is widespread or other counterfeit refrigerant issues emerge in the future, the value of our refrigerated container fleet and our ability to lease refrigerated containers could be materially impaired and could therefore have a material adverse effect on our financial condition, results of operations and cash flows. Additionally, we might be subject to claims for damages by parties injured by contaminated refrigeration machinery operated by our lessees which may materially adversely affect us.</w:t>
      </w:r>
    </w:p>
    <w:p>
      <w:pPr>
        <w:spacing w:after="0" w:line="393" w:lineRule="exact"/>
        <w:rPr>
          <w:sz w:val="20"/>
          <w:szCs w:val="20"/>
          <w:color w:val="auto"/>
        </w:rPr>
      </w:pPr>
    </w:p>
    <w:p>
      <w:pPr>
        <w:ind w:left="3680"/>
        <w:spacing w:after="0"/>
        <w:rPr>
          <w:sz w:val="20"/>
          <w:szCs w:val="20"/>
          <w:color w:val="auto"/>
        </w:rPr>
      </w:pPr>
      <w:r>
        <w:rPr>
          <w:rFonts w:ascii="Arial" w:cs="Arial" w:eastAsia="Arial" w:hAnsi="Arial"/>
          <w:sz w:val="18"/>
          <w:szCs w:val="18"/>
          <w:b w:val="1"/>
          <w:bCs w:val="1"/>
          <w:i w:val="1"/>
          <w:iCs w:val="1"/>
          <w:color w:val="auto"/>
        </w:rPr>
        <w:t>Risks Arising From the International Operations</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The international nature of the container shipping industry exposes us to numerous risks.</w:t>
      </w:r>
    </w:p>
    <w:p>
      <w:pPr>
        <w:spacing w:after="0" w:line="229" w:lineRule="exact"/>
        <w:rPr>
          <w:sz w:val="20"/>
          <w:szCs w:val="20"/>
          <w:color w:val="auto"/>
        </w:rPr>
      </w:pPr>
    </w:p>
    <w:p>
      <w:pPr>
        <w:ind w:right="140" w:firstLine="440"/>
        <w:spacing w:after="0" w:line="277" w:lineRule="auto"/>
        <w:rPr>
          <w:sz w:val="20"/>
          <w:szCs w:val="20"/>
          <w:color w:val="auto"/>
        </w:rPr>
      </w:pPr>
      <w:r>
        <w:rPr>
          <w:rFonts w:ascii="Arial" w:cs="Arial" w:eastAsia="Arial" w:hAnsi="Arial"/>
          <w:sz w:val="18"/>
          <w:szCs w:val="18"/>
          <w:color w:val="auto"/>
        </w:rPr>
        <w:t>We are subject to risks inherent in conducting business across national boundaries, any one of which could adversely impact our business. These risks include:</w:t>
      </w:r>
    </w:p>
    <w:p>
      <w:pPr>
        <w:spacing w:after="0" w:line="76" w:lineRule="exact"/>
        <w:rPr>
          <w:sz w:val="20"/>
          <w:szCs w:val="20"/>
          <w:color w:val="auto"/>
        </w:rPr>
      </w:pPr>
    </w:p>
    <w:p>
      <w:pPr>
        <w:ind w:left="960" w:hanging="532"/>
        <w:spacing w:after="0"/>
        <w:tabs>
          <w:tab w:leader="none" w:pos="960" w:val="left"/>
        </w:tabs>
        <w:numPr>
          <w:ilvl w:val="0"/>
          <w:numId w:val="22"/>
        </w:numPr>
        <w:rPr>
          <w:rFonts w:ascii="Arial" w:cs="Arial" w:eastAsia="Arial" w:hAnsi="Arial"/>
          <w:sz w:val="18"/>
          <w:szCs w:val="18"/>
          <w:color w:val="auto"/>
        </w:rPr>
      </w:pPr>
      <w:r>
        <w:rPr>
          <w:rFonts w:ascii="Arial" w:cs="Arial" w:eastAsia="Arial" w:hAnsi="Arial"/>
          <w:sz w:val="18"/>
          <w:szCs w:val="18"/>
          <w:color w:val="auto"/>
        </w:rPr>
        <w:t>regional or local economic downturns;</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22"/>
        </w:numPr>
        <w:rPr>
          <w:rFonts w:ascii="Arial" w:cs="Arial" w:eastAsia="Arial" w:hAnsi="Arial"/>
          <w:sz w:val="18"/>
          <w:szCs w:val="18"/>
          <w:color w:val="auto"/>
        </w:rPr>
      </w:pPr>
      <w:r>
        <w:rPr>
          <w:rFonts w:ascii="Arial" w:cs="Arial" w:eastAsia="Arial" w:hAnsi="Arial"/>
          <w:sz w:val="18"/>
          <w:szCs w:val="18"/>
          <w:color w:val="auto"/>
        </w:rPr>
        <w:t>fluctuations in currency exchange rates;</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22"/>
        </w:numPr>
        <w:rPr>
          <w:rFonts w:ascii="Arial" w:cs="Arial" w:eastAsia="Arial" w:hAnsi="Arial"/>
          <w:sz w:val="18"/>
          <w:szCs w:val="18"/>
          <w:color w:val="auto"/>
        </w:rPr>
      </w:pPr>
      <w:r>
        <w:rPr>
          <w:rFonts w:ascii="Arial" w:cs="Arial" w:eastAsia="Arial" w:hAnsi="Arial"/>
          <w:sz w:val="18"/>
          <w:szCs w:val="18"/>
          <w:color w:val="auto"/>
        </w:rPr>
        <w:t>changes in governmental policy or regulation;</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22"/>
        </w:numPr>
        <w:rPr>
          <w:rFonts w:ascii="Arial" w:cs="Arial" w:eastAsia="Arial" w:hAnsi="Arial"/>
          <w:sz w:val="18"/>
          <w:szCs w:val="18"/>
          <w:color w:val="auto"/>
        </w:rPr>
      </w:pPr>
      <w:r>
        <w:rPr>
          <w:rFonts w:ascii="Arial" w:cs="Arial" w:eastAsia="Arial" w:hAnsi="Arial"/>
          <w:sz w:val="18"/>
          <w:szCs w:val="18"/>
          <w:color w:val="auto"/>
        </w:rPr>
        <w:t>restrictions on the transfer of funds or other assets into or out of different countries;</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22"/>
        </w:numPr>
        <w:rPr>
          <w:rFonts w:ascii="Arial" w:cs="Arial" w:eastAsia="Arial" w:hAnsi="Arial"/>
          <w:sz w:val="18"/>
          <w:szCs w:val="18"/>
          <w:color w:val="auto"/>
        </w:rPr>
      </w:pPr>
      <w:r>
        <w:rPr>
          <w:rFonts w:ascii="Arial" w:cs="Arial" w:eastAsia="Arial" w:hAnsi="Arial"/>
          <w:sz w:val="18"/>
          <w:szCs w:val="18"/>
          <w:color w:val="auto"/>
        </w:rPr>
        <w:t>import and export duties and quotas;</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22"/>
        </w:numPr>
        <w:rPr>
          <w:rFonts w:ascii="Arial" w:cs="Arial" w:eastAsia="Arial" w:hAnsi="Arial"/>
          <w:sz w:val="18"/>
          <w:szCs w:val="18"/>
          <w:color w:val="auto"/>
        </w:rPr>
      </w:pPr>
      <w:r>
        <w:rPr>
          <w:rFonts w:ascii="Arial" w:cs="Arial" w:eastAsia="Arial" w:hAnsi="Arial"/>
          <w:sz w:val="18"/>
          <w:szCs w:val="18"/>
          <w:color w:val="auto"/>
        </w:rPr>
        <w:t>domestic and foreign customs, tariffs and taxes;</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0980"/>
          </w:cols>
          <w:pgMar w:left="440" w:top="270" w:right="479" w:bottom="1440" w:gutter="0" w:footer="0" w:header="0"/>
        </w:sectPr>
      </w:pPr>
    </w:p>
    <w:bookmarkStart w:id="33" w:name="page34"/>
    <w:bookmarkEnd w:id="33"/>
    <w:p>
      <w:pPr>
        <w:ind w:left="960" w:hanging="532"/>
        <w:spacing w:after="0"/>
        <w:tabs>
          <w:tab w:leader="none" w:pos="960" w:val="left"/>
        </w:tabs>
        <w:numPr>
          <w:ilvl w:val="0"/>
          <w:numId w:val="23"/>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war, hostilities and terrorist attacks, or the threat of any of these events;</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23"/>
        </w:numPr>
        <w:rPr>
          <w:rFonts w:ascii="Arial" w:cs="Arial" w:eastAsia="Arial" w:hAnsi="Arial"/>
          <w:sz w:val="18"/>
          <w:szCs w:val="18"/>
          <w:color w:val="auto"/>
        </w:rPr>
      </w:pPr>
      <w:r>
        <w:rPr>
          <w:rFonts w:ascii="Arial" w:cs="Arial" w:eastAsia="Arial" w:hAnsi="Arial"/>
          <w:sz w:val="18"/>
          <w:szCs w:val="18"/>
          <w:color w:val="auto"/>
        </w:rPr>
        <w:t>government instability;</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23"/>
        </w:numPr>
        <w:rPr>
          <w:rFonts w:ascii="Arial" w:cs="Arial" w:eastAsia="Arial" w:hAnsi="Arial"/>
          <w:sz w:val="18"/>
          <w:szCs w:val="18"/>
          <w:color w:val="auto"/>
        </w:rPr>
      </w:pPr>
      <w:r>
        <w:rPr>
          <w:rFonts w:ascii="Arial" w:cs="Arial" w:eastAsia="Arial" w:hAnsi="Arial"/>
          <w:sz w:val="18"/>
          <w:szCs w:val="18"/>
          <w:color w:val="auto"/>
        </w:rPr>
        <w:t>nationalization of foreign assets;</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23"/>
        </w:numPr>
        <w:rPr>
          <w:rFonts w:ascii="Arial" w:cs="Arial" w:eastAsia="Arial" w:hAnsi="Arial"/>
          <w:sz w:val="18"/>
          <w:szCs w:val="18"/>
          <w:color w:val="auto"/>
        </w:rPr>
      </w:pPr>
      <w:r>
        <w:rPr>
          <w:rFonts w:ascii="Arial" w:cs="Arial" w:eastAsia="Arial" w:hAnsi="Arial"/>
          <w:sz w:val="18"/>
          <w:szCs w:val="18"/>
          <w:color w:val="auto"/>
        </w:rPr>
        <w:t>government protectionism;</w:t>
      </w:r>
    </w:p>
    <w:p>
      <w:pPr>
        <w:spacing w:after="0" w:line="130" w:lineRule="exact"/>
        <w:rPr>
          <w:rFonts w:ascii="Arial" w:cs="Arial" w:eastAsia="Arial" w:hAnsi="Arial"/>
          <w:sz w:val="18"/>
          <w:szCs w:val="18"/>
          <w:color w:val="auto"/>
        </w:rPr>
      </w:pPr>
    </w:p>
    <w:p>
      <w:pPr>
        <w:ind w:left="960" w:right="200" w:hanging="532"/>
        <w:spacing w:after="0" w:line="277" w:lineRule="auto"/>
        <w:tabs>
          <w:tab w:leader="none" w:pos="960" w:val="left"/>
        </w:tabs>
        <w:numPr>
          <w:ilvl w:val="0"/>
          <w:numId w:val="23"/>
        </w:numPr>
        <w:rPr>
          <w:rFonts w:ascii="Arial" w:cs="Arial" w:eastAsia="Arial" w:hAnsi="Arial"/>
          <w:sz w:val="18"/>
          <w:szCs w:val="18"/>
          <w:color w:val="auto"/>
        </w:rPr>
      </w:pPr>
      <w:r>
        <w:rPr>
          <w:rFonts w:ascii="Arial" w:cs="Arial" w:eastAsia="Arial" w:hAnsi="Arial"/>
          <w:sz w:val="18"/>
          <w:szCs w:val="18"/>
          <w:color w:val="auto"/>
        </w:rPr>
        <w:t>compliance with export controls and economic sanctions, including those of the U.S. Department of Commerce and the U.S. Treasury or other governments;</w:t>
      </w:r>
    </w:p>
    <w:p>
      <w:pPr>
        <w:spacing w:after="0" w:line="75" w:lineRule="exact"/>
        <w:rPr>
          <w:rFonts w:ascii="Arial" w:cs="Arial" w:eastAsia="Arial" w:hAnsi="Arial"/>
          <w:sz w:val="18"/>
          <w:szCs w:val="18"/>
          <w:color w:val="auto"/>
        </w:rPr>
      </w:pPr>
    </w:p>
    <w:p>
      <w:pPr>
        <w:ind w:left="960" w:hanging="532"/>
        <w:spacing w:after="0"/>
        <w:tabs>
          <w:tab w:leader="none" w:pos="960" w:val="left"/>
        </w:tabs>
        <w:numPr>
          <w:ilvl w:val="0"/>
          <w:numId w:val="23"/>
        </w:numPr>
        <w:rPr>
          <w:rFonts w:ascii="Arial" w:cs="Arial" w:eastAsia="Arial" w:hAnsi="Arial"/>
          <w:sz w:val="17"/>
          <w:szCs w:val="17"/>
          <w:color w:val="auto"/>
        </w:rPr>
      </w:pPr>
      <w:r>
        <w:rPr>
          <w:rFonts w:ascii="Arial" w:cs="Arial" w:eastAsia="Arial" w:hAnsi="Arial"/>
          <w:sz w:val="17"/>
          <w:szCs w:val="17"/>
          <w:color w:val="auto"/>
        </w:rPr>
        <w:t>compliance with import procedures and controls, including those of the U.S. Department of Homeland Security or other governments;</w:t>
      </w:r>
    </w:p>
    <w:p>
      <w:pPr>
        <w:spacing w:after="0" w:line="142" w:lineRule="exact"/>
        <w:rPr>
          <w:rFonts w:ascii="Arial" w:cs="Arial" w:eastAsia="Arial" w:hAnsi="Arial"/>
          <w:sz w:val="17"/>
          <w:szCs w:val="17"/>
          <w:color w:val="auto"/>
        </w:rPr>
      </w:pPr>
    </w:p>
    <w:p>
      <w:pPr>
        <w:ind w:left="960" w:hanging="532"/>
        <w:spacing w:after="0"/>
        <w:tabs>
          <w:tab w:leader="none" w:pos="960" w:val="left"/>
        </w:tabs>
        <w:numPr>
          <w:ilvl w:val="0"/>
          <w:numId w:val="23"/>
        </w:numPr>
        <w:rPr>
          <w:rFonts w:ascii="Arial" w:cs="Arial" w:eastAsia="Arial" w:hAnsi="Arial"/>
          <w:sz w:val="18"/>
          <w:szCs w:val="18"/>
          <w:color w:val="auto"/>
        </w:rPr>
      </w:pPr>
      <w:r>
        <w:rPr>
          <w:rFonts w:ascii="Arial" w:cs="Arial" w:eastAsia="Arial" w:hAnsi="Arial"/>
          <w:sz w:val="18"/>
          <w:szCs w:val="18"/>
          <w:color w:val="auto"/>
        </w:rPr>
        <w:t>consequences from changes in tax laws, including tax laws pertaining to the container investors;</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23"/>
        </w:numPr>
        <w:rPr>
          <w:rFonts w:ascii="Arial" w:cs="Arial" w:eastAsia="Arial" w:hAnsi="Arial"/>
          <w:sz w:val="18"/>
          <w:szCs w:val="18"/>
          <w:color w:val="auto"/>
        </w:rPr>
      </w:pPr>
      <w:r>
        <w:rPr>
          <w:rFonts w:ascii="Arial" w:cs="Arial" w:eastAsia="Arial" w:hAnsi="Arial"/>
          <w:sz w:val="18"/>
          <w:szCs w:val="18"/>
          <w:color w:val="auto"/>
        </w:rPr>
        <w:t>potential liabilities relating to foreign withholding taxes;</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23"/>
        </w:numPr>
        <w:rPr>
          <w:rFonts w:ascii="Arial" w:cs="Arial" w:eastAsia="Arial" w:hAnsi="Arial"/>
          <w:sz w:val="18"/>
          <w:szCs w:val="18"/>
          <w:color w:val="auto"/>
        </w:rPr>
      </w:pPr>
      <w:r>
        <w:rPr>
          <w:rFonts w:ascii="Arial" w:cs="Arial" w:eastAsia="Arial" w:hAnsi="Arial"/>
          <w:sz w:val="18"/>
          <w:szCs w:val="18"/>
          <w:color w:val="auto"/>
        </w:rPr>
        <w:t>labor or other disruptions at key ports;</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23"/>
        </w:numPr>
        <w:rPr>
          <w:rFonts w:ascii="Arial" w:cs="Arial" w:eastAsia="Arial" w:hAnsi="Arial"/>
          <w:sz w:val="18"/>
          <w:szCs w:val="18"/>
          <w:color w:val="auto"/>
        </w:rPr>
      </w:pPr>
      <w:r>
        <w:rPr>
          <w:rFonts w:ascii="Arial" w:cs="Arial" w:eastAsia="Arial" w:hAnsi="Arial"/>
          <w:sz w:val="18"/>
          <w:szCs w:val="18"/>
          <w:color w:val="auto"/>
        </w:rPr>
        <w:t>difficulty in staffing and managing widespread operations; and</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23"/>
        </w:numPr>
        <w:rPr>
          <w:rFonts w:ascii="Arial" w:cs="Arial" w:eastAsia="Arial" w:hAnsi="Arial"/>
          <w:sz w:val="18"/>
          <w:szCs w:val="18"/>
          <w:color w:val="auto"/>
        </w:rPr>
      </w:pPr>
      <w:r>
        <w:rPr>
          <w:rFonts w:ascii="Arial" w:cs="Arial" w:eastAsia="Arial" w:hAnsi="Arial"/>
          <w:sz w:val="18"/>
          <w:szCs w:val="18"/>
          <w:color w:val="auto"/>
        </w:rPr>
        <w:t>restrictions on our ability to own or operate subsidiaries, make investments, or acquire new businesses in various jurisdictions.</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23"/>
        </w:numPr>
        <w:rPr>
          <w:rFonts w:ascii="Arial" w:cs="Arial" w:eastAsia="Arial" w:hAnsi="Arial"/>
          <w:sz w:val="18"/>
          <w:szCs w:val="18"/>
          <w:color w:val="auto"/>
        </w:rPr>
      </w:pPr>
      <w:r>
        <w:rPr>
          <w:rFonts w:ascii="Arial" w:cs="Arial" w:eastAsia="Arial" w:hAnsi="Arial"/>
          <w:sz w:val="18"/>
          <w:szCs w:val="18"/>
          <w:color w:val="auto"/>
        </w:rPr>
        <w:t>Outbreaks of regional or international epidemics or pandemics such as a Coronavirus or SARS.</w:t>
      </w:r>
    </w:p>
    <w:p>
      <w:pPr>
        <w:spacing w:after="0" w:line="225" w:lineRule="exact"/>
        <w:rPr>
          <w:sz w:val="20"/>
          <w:szCs w:val="20"/>
          <w:color w:val="auto"/>
        </w:rPr>
      </w:pPr>
    </w:p>
    <w:p>
      <w:pPr>
        <w:ind w:right="140" w:firstLine="440"/>
        <w:spacing w:after="0" w:line="277" w:lineRule="auto"/>
        <w:rPr>
          <w:sz w:val="20"/>
          <w:szCs w:val="20"/>
          <w:color w:val="auto"/>
        </w:rPr>
      </w:pPr>
      <w:r>
        <w:rPr>
          <w:rFonts w:ascii="Arial" w:cs="Arial" w:eastAsia="Arial" w:hAnsi="Arial"/>
          <w:sz w:val="18"/>
          <w:szCs w:val="18"/>
          <w:color w:val="auto"/>
        </w:rPr>
        <w:t>One or more of these factors or other related factors may impair our current or future international operations and, as a result, harm our business, results of operations and financial condition.</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Our results of operations are subject to changes resulting from the political and economic policies of the PRC and economic activity in the PRC.</w:t>
      </w:r>
    </w:p>
    <w:p>
      <w:pPr>
        <w:spacing w:after="0" w:line="252" w:lineRule="exact"/>
        <w:rPr>
          <w:sz w:val="20"/>
          <w:szCs w:val="20"/>
          <w:color w:val="auto"/>
        </w:rPr>
      </w:pPr>
    </w:p>
    <w:p>
      <w:pPr>
        <w:ind w:right="120" w:firstLine="440"/>
        <w:spacing w:after="0" w:line="263" w:lineRule="auto"/>
        <w:rPr>
          <w:sz w:val="20"/>
          <w:szCs w:val="20"/>
          <w:color w:val="auto"/>
        </w:rPr>
      </w:pPr>
      <w:r>
        <w:rPr>
          <w:rFonts w:ascii="Arial" w:cs="Arial" w:eastAsia="Arial" w:hAnsi="Arial"/>
          <w:sz w:val="18"/>
          <w:szCs w:val="18"/>
          <w:color w:val="auto"/>
        </w:rPr>
        <w:t>A substantial portion of our containers are leased out from locations in the PRC. The main manufacturers of containers are also located in the PRC. The political and economic policies of the PRC and the level of economic activity in the PRC may have a significant impact on our company and our financial performance.</w:t>
      </w:r>
    </w:p>
    <w:p>
      <w:pPr>
        <w:spacing w:after="0" w:line="184" w:lineRule="exact"/>
        <w:rPr>
          <w:sz w:val="20"/>
          <w:szCs w:val="20"/>
          <w:color w:val="auto"/>
        </w:rPr>
      </w:pPr>
    </w:p>
    <w:p>
      <w:pPr>
        <w:ind w:right="20" w:firstLine="440"/>
        <w:spacing w:after="0" w:line="270" w:lineRule="auto"/>
        <w:rPr>
          <w:sz w:val="20"/>
          <w:szCs w:val="20"/>
          <w:color w:val="auto"/>
        </w:rPr>
      </w:pPr>
      <w:r>
        <w:rPr>
          <w:rFonts w:ascii="Arial" w:cs="Arial" w:eastAsia="Arial" w:hAnsi="Arial"/>
          <w:sz w:val="17"/>
          <w:szCs w:val="17"/>
          <w:color w:val="auto"/>
        </w:rPr>
        <w:t>Changes in the political leadership of the PRC may have a significant effect on laws and policies that impact economic growth and trade and the corresponding need for containers to ship goods from the PRC, including the introduction of measures to control inflation, changes in the rate or method of taxation, and the imposition of additional restrictions on currency conversion, remittances abroad, and foreign investment. Moreover, economic reforms and growth in the PRC have been more successful in certain provinces than in others, and the continuation of or increases in such disparities could affect the political or social stability of the PRC. Furthermore, the current high level of debt by some companies in China may lead to defaults which may not be supported by the Chinese government. In recent years the rate of economic growth in the PRC has declined. Additionally, government policies that reduce the emphasis on manufacturing and increase priorities for domestic consumption and services may alter trade patterns and dampen demand for containers. Chinese government environmental policies and practices may reduce steel production which would impact container costs and may limit factory production, which could impact trade growth and container demand.</w:t>
      </w:r>
    </w:p>
    <w:p>
      <w:pPr>
        <w:spacing w:after="0" w:line="181" w:lineRule="exact"/>
        <w:rPr>
          <w:sz w:val="20"/>
          <w:szCs w:val="20"/>
          <w:color w:val="auto"/>
        </w:rPr>
      </w:pPr>
    </w:p>
    <w:p>
      <w:pPr>
        <w:ind w:right="100" w:firstLine="440"/>
        <w:spacing w:after="0" w:line="275" w:lineRule="auto"/>
        <w:rPr>
          <w:sz w:val="20"/>
          <w:szCs w:val="20"/>
          <w:color w:val="auto"/>
        </w:rPr>
      </w:pPr>
      <w:r>
        <w:rPr>
          <w:rFonts w:ascii="Arial" w:cs="Arial" w:eastAsia="Arial" w:hAnsi="Arial"/>
          <w:sz w:val="17"/>
          <w:szCs w:val="17"/>
          <w:color w:val="auto"/>
        </w:rPr>
        <w:t>A large number of our shipping line customers are domiciled either in the PRC (including Hong Kong) or in Taiwan. In 2020, approximately 24.1% of our total lease billing was attributable to shipping line customers that were either domiciled in the PRC (including Hong Kong) or in Taiwan. All container manufacturing facilities from which we purchased our containers in 2020 are located in the PRC. A reduced rate of economic growth, changes to economic or trade policy or political instability in either the PRC or Taiwan could have a negative effect on our major customers, our ability to obtain containers and correspondingly, our results of operations and financial condition.</w:t>
      </w:r>
    </w:p>
    <w:p>
      <w:pPr>
        <w:spacing w:after="0" w:line="10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1000"/>
          </w:cols>
          <w:pgMar w:left="440" w:top="274" w:right="459" w:bottom="1440" w:gutter="0" w:footer="0" w:header="0"/>
        </w:sectPr>
      </w:pPr>
    </w:p>
    <w:bookmarkStart w:id="34" w:name="page35"/>
    <w:bookmarkEnd w:id="34"/>
    <w:p>
      <w:pPr>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legal systems in the PRC and other jurisdictions have inherent uncertainties that could limit the legal protections available to us and even if legal judgments are obtained, collection may be difficult.</w:t>
      </w:r>
    </w:p>
    <w:p>
      <w:pPr>
        <w:spacing w:after="0" w:line="166" w:lineRule="exact"/>
        <w:rPr>
          <w:sz w:val="20"/>
          <w:szCs w:val="20"/>
          <w:color w:val="auto"/>
        </w:rPr>
      </w:pPr>
    </w:p>
    <w:p>
      <w:pPr>
        <w:ind w:right="20" w:firstLine="440"/>
        <w:spacing w:after="0" w:line="269" w:lineRule="auto"/>
        <w:rPr>
          <w:sz w:val="20"/>
          <w:szCs w:val="20"/>
          <w:color w:val="auto"/>
        </w:rPr>
      </w:pPr>
      <w:r>
        <w:rPr>
          <w:rFonts w:ascii="Arial" w:cs="Arial" w:eastAsia="Arial" w:hAnsi="Arial"/>
          <w:sz w:val="17"/>
          <w:szCs w:val="17"/>
          <w:color w:val="auto"/>
        </w:rPr>
        <w:t>We currently purchase all of our containers from manufacturers based in the PRC. In addition, a substantial portion of our containers are leased out from locations in the PRC. California law governs almost all of these agreements. However, disputes or settlements arising out of these agreements may need to be enforced in the PRC. The PRC legal system is based on written statutes. Prior court decisions may be cited for reference but have limited precedential value. Since 1979, PRC legislation and regulations have significantly enhanced the protections afforded to various forms of foreign investments in the PRC. However, since these laws and regulations are relatively new and the PRC legal system continues to evolve, the interpretations of many laws, regulations and rules are not always uniform and may be subject to considerable discretion, variation, or influence by external forces unrelated to the legal merits of a particular matter. The enforcement of these laws, regulations, and rules involves uncertainties that may limit remedies available to us. Any litigation or arbitration in the PRC may be protracted and may result in substantial costs and diversion of resources and management attention. In addition, the PRC may enact new laws or amend current laws that may be detrimental to us, which may have a material adverse effect on our business operations. If we are unable to enforce any legal rights that we may have under our contracts or otherwise in the PRC, our ability to compete and our results of operations could be harmed.</w:t>
      </w:r>
    </w:p>
    <w:p>
      <w:pPr>
        <w:spacing w:after="0" w:line="182" w:lineRule="exact"/>
        <w:rPr>
          <w:sz w:val="20"/>
          <w:szCs w:val="20"/>
          <w:color w:val="auto"/>
        </w:rPr>
      </w:pPr>
    </w:p>
    <w:p>
      <w:pPr>
        <w:ind w:right="100" w:firstLine="440"/>
        <w:spacing w:after="0" w:line="289" w:lineRule="auto"/>
        <w:rPr>
          <w:sz w:val="20"/>
          <w:szCs w:val="20"/>
          <w:color w:val="auto"/>
        </w:rPr>
      </w:pPr>
      <w:r>
        <w:rPr>
          <w:rFonts w:ascii="Arial" w:cs="Arial" w:eastAsia="Arial" w:hAnsi="Arial"/>
          <w:sz w:val="16"/>
          <w:szCs w:val="16"/>
          <w:color w:val="auto"/>
        </w:rPr>
        <w:t>In addition, as our containers are used in trade involving goods being shipped to locations throughout the world, it is not possible to predict, with any degree of certainty, the jurisdictions in which enforcement proceedings may be commenced. Litigation and enforcement proceedings have inherent uncertainties in any jurisdiction and are expensive. These uncertainties are enhanced in countries that have less developed legal systems where the interpretation of laws and regulations is not consistent, may be influenced by factors other than legal merits and may be cumbersome, time consuming and even more expensive. For example, repossession from defaulting lessees may be difficult and more expensive in jurisdictions whose laws do not confer the same security interests and rights to creditors and lessors as those in the United States and where the legal system is not as well developed. Additionally, even if we are successful in obtaining judgments against defaulting lessees, these lessees may have limited owned assets and/or heavily encumbered assets and the collection and enforcement of a monetary judgment may be unsuccessful. As a result, the remedies available and the relative success and expedience of collection and enforcement proceedings with respect to the containers in various jurisdictions cannot be predicted.</w:t>
      </w:r>
    </w:p>
    <w:p>
      <w:pPr>
        <w:spacing w:after="0" w:line="162" w:lineRule="exact"/>
        <w:rPr>
          <w:sz w:val="20"/>
          <w:szCs w:val="20"/>
          <w:color w:val="auto"/>
        </w:rPr>
      </w:pPr>
    </w:p>
    <w:p>
      <w:pPr>
        <w:ind w:right="860"/>
        <w:spacing w:after="0" w:line="282" w:lineRule="auto"/>
        <w:rPr>
          <w:sz w:val="20"/>
          <w:szCs w:val="20"/>
          <w:color w:val="auto"/>
        </w:rPr>
      </w:pPr>
      <w:r>
        <w:rPr>
          <w:rFonts w:ascii="Arial" w:cs="Arial" w:eastAsia="Arial" w:hAnsi="Arial"/>
          <w:sz w:val="18"/>
          <w:szCs w:val="18"/>
          <w:b w:val="1"/>
          <w:bCs w:val="1"/>
          <w:color w:val="auto"/>
        </w:rPr>
        <w:t>Because substantially all of our revenues are generated in U.S. dollars, but a significant portion of our expenses are incurred in other currencies, exchange rate fluctuations could have an adverse impact on our results of operations.</w:t>
      </w:r>
    </w:p>
    <w:p>
      <w:pPr>
        <w:spacing w:after="0" w:line="166" w:lineRule="exact"/>
        <w:rPr>
          <w:sz w:val="20"/>
          <w:szCs w:val="20"/>
          <w:color w:val="auto"/>
        </w:rPr>
      </w:pPr>
    </w:p>
    <w:p>
      <w:pPr>
        <w:ind w:right="60" w:firstLine="440"/>
        <w:spacing w:after="0" w:line="270" w:lineRule="auto"/>
        <w:rPr>
          <w:sz w:val="20"/>
          <w:szCs w:val="20"/>
          <w:color w:val="auto"/>
        </w:rPr>
      </w:pPr>
      <w:r>
        <w:rPr>
          <w:rFonts w:ascii="Arial" w:cs="Arial" w:eastAsia="Arial" w:hAnsi="Arial"/>
          <w:sz w:val="17"/>
          <w:szCs w:val="17"/>
          <w:color w:val="auto"/>
        </w:rPr>
        <w:t>The U.S. dollar is our primary operating currency. Almost all of our revenues are denominated in U.S. dollars, and approximately 72% of our direct container expenses - owned fleet were denominated in U.S. dollars for the year ended December 31, 2020. Accordingly, a significant amount of our expenses is incurred in currencies other than the U.S. dollar. This difference could lead to fluctuations in net income due to changes in the value of the U.S. dollar relative to the other currencies. During 2020, 2019 and 2018, 28%, 23% and 21%, respectively, of our direct container expenses – owned fleet were paid in up to 20 different foreign currencies. A decrease in the value of the U.S. dollar against non-U.S. currencies in which our expenses are incurred translates into an increase in those expenses in U.S. dollar terms, which would decrease our net income. While the prices of the used containers we trade or dispose are primarily quoted and billed in U.S. Dollars, declines in the currencies where these containers are sold relative to the U.S. Dollar can serve to reduce the market prices for used containers, which will decrease our net income. We do not engage in foreign currency hedging activities which might reduce the volatility associated with exchange rates.</w:t>
      </w:r>
    </w:p>
    <w:p>
      <w:pPr>
        <w:spacing w:after="0" w:line="177" w:lineRule="exact"/>
        <w:rPr>
          <w:sz w:val="20"/>
          <w:szCs w:val="20"/>
          <w:color w:val="auto"/>
        </w:rPr>
      </w:pPr>
    </w:p>
    <w:p>
      <w:pPr>
        <w:ind w:right="140"/>
        <w:spacing w:after="0" w:line="282" w:lineRule="auto"/>
        <w:rPr>
          <w:sz w:val="20"/>
          <w:szCs w:val="20"/>
          <w:color w:val="auto"/>
        </w:rPr>
      </w:pPr>
      <w:r>
        <w:rPr>
          <w:rFonts w:ascii="Arial" w:cs="Arial" w:eastAsia="Arial" w:hAnsi="Arial"/>
          <w:sz w:val="18"/>
          <w:szCs w:val="18"/>
          <w:b w:val="1"/>
          <w:bCs w:val="1"/>
          <w:color w:val="auto"/>
        </w:rPr>
        <w:t>Terrorist attacks, the threat of such attacks or the outbreak of war and hostilities could negatively impact our operations and profitability and may expose us to liability.</w:t>
      </w:r>
    </w:p>
    <w:p>
      <w:pPr>
        <w:spacing w:after="0" w:line="166" w:lineRule="exact"/>
        <w:rPr>
          <w:sz w:val="20"/>
          <w:szCs w:val="20"/>
          <w:color w:val="auto"/>
        </w:rPr>
      </w:pPr>
    </w:p>
    <w:p>
      <w:pPr>
        <w:ind w:right="80" w:firstLine="440"/>
        <w:spacing w:after="0" w:line="293" w:lineRule="auto"/>
        <w:rPr>
          <w:sz w:val="20"/>
          <w:szCs w:val="20"/>
          <w:color w:val="auto"/>
        </w:rPr>
      </w:pPr>
      <w:r>
        <w:rPr>
          <w:rFonts w:ascii="Arial" w:cs="Arial" w:eastAsia="Arial" w:hAnsi="Arial"/>
          <w:sz w:val="16"/>
          <w:szCs w:val="16"/>
          <w:color w:val="auto"/>
        </w:rPr>
        <w:t>Terrorist attacks and the threat of such attacks have contributed to economic instability in the U.S. and elsewhere, and further acts or threats of terrorism, violence, war, or hostilities could similarly affect world trade and the industries in which we and our container lessees operate. For example, worldwide containerized trade dramatically decreased in the immediate aftermath of the September 11, 2001 terrorist attacks in the U.S., which affected demand for leased containers. In addition, terrorist attacks, threats of terrorism, violence, war, or hostilities may directly impact ports, depots, our facilities or those of our suppliers or container lessees and could impact our sales and our supply chain. A severe disruption to the worldwide ports system and flow of goods could result in a reduction in the level of international trade and lower demand for our containers.</w:t>
      </w:r>
    </w:p>
    <w:p>
      <w:pPr>
        <w:spacing w:after="0" w:line="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1020"/>
          </w:cols>
          <w:pgMar w:left="440" w:top="270" w:right="439" w:bottom="1440" w:gutter="0" w:footer="0" w:header="0"/>
        </w:sectPr>
      </w:pPr>
    </w:p>
    <w:bookmarkStart w:id="35" w:name="page36"/>
    <w:bookmarkEnd w:id="35"/>
    <w:p>
      <w:pPr>
        <w:ind w:right="120" w:firstLine="44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Our lease agreements require our lessees to indemnify us for all costs, liabilities and expenses arising out of the use of our containers, including property damage to the containers, damage to third-party property and personal injury. However, our lessees may not have adequate resources to honor their indemnity obligations after a terrorist attack. Accordingly, we may not be protected from liability (and expenses in defending against claims of liability) arising from a terrorist attack.</w:t>
      </w:r>
    </w:p>
    <w:p>
      <w:pPr>
        <w:spacing w:after="0" w:line="200" w:lineRule="exact"/>
        <w:rPr>
          <w:sz w:val="20"/>
          <w:szCs w:val="20"/>
          <w:color w:val="auto"/>
        </w:rPr>
      </w:pPr>
    </w:p>
    <w:p>
      <w:pPr>
        <w:spacing w:after="0" w:line="203"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i w:val="1"/>
          <w:iCs w:val="1"/>
          <w:color w:val="auto"/>
        </w:rPr>
        <w:t>Risks Related to Our Business Operations</w:t>
      </w:r>
    </w:p>
    <w:p>
      <w:pPr>
        <w:spacing w:after="0" w:line="221" w:lineRule="exact"/>
        <w:rPr>
          <w:sz w:val="20"/>
          <w:szCs w:val="20"/>
          <w:color w:val="auto"/>
        </w:rPr>
      </w:pPr>
    </w:p>
    <w:p>
      <w:pPr>
        <w:ind w:right="20"/>
        <w:spacing w:after="0" w:line="347" w:lineRule="auto"/>
        <w:rPr>
          <w:sz w:val="20"/>
          <w:szCs w:val="20"/>
          <w:color w:val="auto"/>
        </w:rPr>
      </w:pPr>
      <w:r>
        <w:rPr>
          <w:rFonts w:ascii="Arial" w:cs="Arial" w:eastAsia="Arial" w:hAnsi="Arial"/>
          <w:sz w:val="16"/>
          <w:szCs w:val="16"/>
          <w:b w:val="1"/>
          <w:bCs w:val="1"/>
          <w:color w:val="auto"/>
        </w:rPr>
        <w:t>We rely on our proprietary information technology systems to conduct our business. If these systems fail to perform their functions adequately, or if we experience an interruption in their operation, our business, results of operations and financial condition could be harmed.</w:t>
      </w:r>
    </w:p>
    <w:p>
      <w:pPr>
        <w:spacing w:after="0" w:line="120" w:lineRule="exact"/>
        <w:rPr>
          <w:sz w:val="20"/>
          <w:szCs w:val="20"/>
          <w:color w:val="auto"/>
        </w:rPr>
      </w:pPr>
    </w:p>
    <w:p>
      <w:pPr>
        <w:ind w:firstLine="440"/>
        <w:spacing w:after="0" w:line="268" w:lineRule="auto"/>
        <w:rPr>
          <w:sz w:val="20"/>
          <w:szCs w:val="20"/>
          <w:color w:val="auto"/>
        </w:rPr>
      </w:pPr>
      <w:r>
        <w:rPr>
          <w:rFonts w:ascii="Arial" w:cs="Arial" w:eastAsia="Arial" w:hAnsi="Arial"/>
          <w:sz w:val="17"/>
          <w:szCs w:val="17"/>
          <w:color w:val="auto"/>
        </w:rPr>
        <w:t>The efficient operation of our business is highly dependent on our proprietary information technology systems. We rely on our systems to record transactions, such as repair and depot charges, purchases and disposals of containers and movements associated with each of our owned or managed containers. We use the information provided by these systems in our day-to-day business decisions in order to effectively manage our lease portfolio, reduce costs and improve customer service. We also rely on these systems for the accurate tracking of the performance of our managed fleet for each container investor. In 2020 we commenced efforts to replace several legacy computer systems that are central to our business operations. The failure of our systems to perform as we expect, or any failure to successfully replace our legacy systems, could disrupt our business, adversely affect our results of operations and cause our relationships with lessees and container investors to suffer. Our information technology systems are vulnerable to damage or interruption from circumstances beyond our control, including fire, natural disasters, power loss and computer systems failures and viruses or cyber-attacks. Even though we have developed redundancies and other contingencies to mitigate any disruptions to our information technology systems, these redundancies and contingencies may not completely prevent interruptions to our information technology systems. In recent years we have moved various information technology systems and data to cloud-based storage providers and software vendors. We face additional risks from relying on third parties to store, process and manage our data and software. Any such interruptions could harm our business, results of operations and financial condition.</w:t>
      </w:r>
    </w:p>
    <w:p>
      <w:pPr>
        <w:spacing w:after="0" w:line="182"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Cyber-attacks and/or information technology security breaches on us or our customers could materially and adversely affect us.</w:t>
      </w:r>
    </w:p>
    <w:p>
      <w:pPr>
        <w:spacing w:after="0" w:line="241" w:lineRule="exact"/>
        <w:rPr>
          <w:sz w:val="20"/>
          <w:szCs w:val="20"/>
          <w:color w:val="auto"/>
        </w:rPr>
      </w:pPr>
    </w:p>
    <w:p>
      <w:pPr>
        <w:ind w:firstLine="440"/>
        <w:spacing w:after="0" w:line="271" w:lineRule="auto"/>
        <w:rPr>
          <w:sz w:val="20"/>
          <w:szCs w:val="20"/>
          <w:color w:val="auto"/>
        </w:rPr>
      </w:pPr>
      <w:r>
        <w:rPr>
          <w:rFonts w:ascii="Arial" w:cs="Arial" w:eastAsia="Arial" w:hAnsi="Arial"/>
          <w:sz w:val="17"/>
          <w:szCs w:val="17"/>
          <w:color w:val="auto"/>
        </w:rPr>
        <w:t>If we, our customers or other third parties with which we do business were to fall victim to successful cyberattacks or experience other cybersecurity incidents that cause system failure, downtime, or the loss of sensitive data, we may incur substantial costs and suffer other negative consequences. Our ability to handle the delivery and return of containers, lease billing, and the sale of older containers is dependent on the stable operation of our information technology systems. Our customers’ ability to generate revenue and make timely payments to us is similarly dependent on the stable operation of their information technology systems. Successful breaches, employee malfeasance, or human or technological error could result in, for example, unauthorized access to, disclosure, modification, misuse, loss, or destruction of company, customer, or other third-party data or systems; theft of sensitive, regulated, or confidential data; the loss of access to critical data or systems through ransomware, destructive attacks, or other means; and business delays, service or system disruptions or denials of service.</w:t>
      </w:r>
    </w:p>
    <w:p>
      <w:pPr>
        <w:spacing w:after="0" w:line="178" w:lineRule="exact"/>
        <w:rPr>
          <w:sz w:val="20"/>
          <w:szCs w:val="20"/>
          <w:color w:val="auto"/>
        </w:rPr>
      </w:pPr>
    </w:p>
    <w:p>
      <w:pPr>
        <w:ind w:firstLine="440"/>
        <w:spacing w:after="0" w:line="259" w:lineRule="auto"/>
        <w:rPr>
          <w:sz w:val="20"/>
          <w:szCs w:val="20"/>
          <w:color w:val="auto"/>
        </w:rPr>
      </w:pPr>
      <w:r>
        <w:rPr>
          <w:rFonts w:ascii="Arial" w:cs="Arial" w:eastAsia="Arial" w:hAnsi="Arial"/>
          <w:sz w:val="18"/>
          <w:szCs w:val="18"/>
          <w:color w:val="auto"/>
        </w:rPr>
        <w:t>Cybersecurity incidents have increased in number and severity and it is expected that these trends will continue. Should the Company be affected by such an incident, we may incur substantial costs and suffer other negative consequences, which may include substantial remediation costs, such as liability for stolen assets or information, repairs of system damage, and incentives to customers or business partners in an effort to maintain relationships after an attack, as well as litigation and legal risks.</w:t>
      </w:r>
    </w:p>
    <w:p>
      <w:pPr>
        <w:spacing w:after="0" w:line="18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We face risks from our tank container management agreement with Trifleet Leasing (The Netherlands) B.V.</w:t>
      </w:r>
    </w:p>
    <w:p>
      <w:pPr>
        <w:spacing w:after="0" w:line="229" w:lineRule="exact"/>
        <w:rPr>
          <w:sz w:val="20"/>
          <w:szCs w:val="20"/>
          <w:color w:val="auto"/>
        </w:rPr>
      </w:pPr>
    </w:p>
    <w:p>
      <w:pPr>
        <w:jc w:val="both"/>
        <w:ind w:right="520" w:firstLine="440"/>
        <w:spacing w:after="0" w:line="263" w:lineRule="auto"/>
        <w:rPr>
          <w:sz w:val="20"/>
          <w:szCs w:val="20"/>
          <w:color w:val="auto"/>
        </w:rPr>
      </w:pPr>
      <w:r>
        <w:rPr>
          <w:rFonts w:ascii="Arial" w:cs="Arial" w:eastAsia="Arial" w:hAnsi="Arial"/>
          <w:sz w:val="18"/>
          <w:szCs w:val="18"/>
          <w:color w:val="auto"/>
        </w:rPr>
        <w:t>We entered into a tank container management agreement with Trifleet Leasing (The Netherlands) B.V. (“Trifleet”) in June 2013. Under this agreement, we invest funds with Trifleet for the purchase and leasing of tank containers. Trifleet is our exclusive manager for investments in tank containers. Intermodal tank containers are used</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0980"/>
          </w:cols>
          <w:pgMar w:left="440" w:top="274" w:right="479" w:bottom="1440" w:gutter="0" w:footer="0" w:header="0"/>
        </w:sectPr>
      </w:pPr>
    </w:p>
    <w:bookmarkStart w:id="36" w:name="page37"/>
    <w:bookmarkEnd w:id="36"/>
    <w:p>
      <w:pPr>
        <w:ind w:right="100"/>
        <w:spacing w:after="0" w:line="26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for the transport and storage of liquid foodstuffs, chemicals, and gases. This is a specialized market subject to a number of regulations and strict operating procedures. As Trifleet is investing funds on our behalf in tank containers, our return on any investments under this management agreement are highly reliant on their skill and performance, as well as the overall investment climate for tank containers. While we approve of the amounts committed under the management agreement, Trifleet selects the lessees, negotiates lease terms, determines equipment specifications, negotiates equipment orders and supervises production, and is responsible for all other management activities including customer billing, equipment return, re-leasing, maintenance, and repairs. If Trifleet or the tank container market does not perform as we anticipate, we may not receive adequate returns on our investment and our results could be materially impacted. Additionally, given the nature of tank containers and their cargos, our ownership of tank containers could expose us to different and additional risks than we generally face as the owner and lessor of dry freight and refrigerated containers. While lessees, Trifleet and ourselves all maintain insurance, and lessees agree to accept liability for claims caused by the operation of tank containers, this may still be inadequate to shield us from costs and liability from any claims arising from tank containers that we own pursuant to the Trifleet management agreement. In December 2020, Trifleet was purchased by GATX Corporation, a publicly traded company that primarily leases railcars. Given the recent sale of Trifleet, we may face additional risks in the continued performance of our tank investments managed by Trifleet and in our continued relationship with Trifleet.</w:t>
      </w:r>
    </w:p>
    <w:p>
      <w:pPr>
        <w:spacing w:after="0" w:line="18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If our insurance is inadequate or if we are unable to obtain insurance, we may experience losses.</w:t>
      </w:r>
    </w:p>
    <w:p>
      <w:pPr>
        <w:spacing w:after="0" w:line="229" w:lineRule="exact"/>
        <w:rPr>
          <w:sz w:val="20"/>
          <w:szCs w:val="20"/>
          <w:color w:val="auto"/>
        </w:rPr>
      </w:pPr>
    </w:p>
    <w:p>
      <w:pPr>
        <w:ind w:firstLine="440"/>
        <w:spacing w:after="0" w:line="270" w:lineRule="auto"/>
        <w:rPr>
          <w:sz w:val="20"/>
          <w:szCs w:val="20"/>
          <w:color w:val="auto"/>
        </w:rPr>
      </w:pPr>
      <w:r>
        <w:rPr>
          <w:rFonts w:ascii="Arial" w:cs="Arial" w:eastAsia="Arial" w:hAnsi="Arial"/>
          <w:sz w:val="17"/>
          <w:szCs w:val="17"/>
          <w:color w:val="auto"/>
        </w:rPr>
        <w:t>Under all of our leases, our lessees are generally responsible for loss of or damage to a container beyond ordinary wear and tear, and they are required to purchase insurance to cover any other liabilities. Our depots are also required to maintain insurance and indemnify us against losses. We also maintain our own insurance to cover our containers when they are not on-hire to lessees or when the lessee fails to have adequate primary coverage, and third-party liability insurance for both on-hire and off-hire containers. In addition, we previously maintained insurance that, after satisfying significant deductibles, would cover loss of revenue as a result of default under most of our leases, as well as the recovery cost or replacement value of most of our containers. Given the high premium, significant deductible, and policy exclusions in this policy, we determined to let this coverage lapse for 2021. Lessees’ and depots’ insurance policies and indemnity rights may not protect us against losses. Our own insurance may prove to be inadequate or have too high deductibles to prevent against losses or in the future coverage may be unavailable or uneconomic, and losses could arise from a lack of insurance coverage.</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The U.S. government has special contracting requirements that create additional risks.</w:t>
      </w:r>
    </w:p>
    <w:p>
      <w:pPr>
        <w:spacing w:after="0" w:line="229" w:lineRule="exact"/>
        <w:rPr>
          <w:sz w:val="20"/>
          <w:szCs w:val="20"/>
          <w:color w:val="auto"/>
        </w:rPr>
      </w:pPr>
    </w:p>
    <w:p>
      <w:pPr>
        <w:ind w:firstLine="440"/>
        <w:spacing w:after="0" w:line="296" w:lineRule="auto"/>
        <w:rPr>
          <w:sz w:val="20"/>
          <w:szCs w:val="20"/>
          <w:color w:val="auto"/>
        </w:rPr>
      </w:pPr>
      <w:r>
        <w:rPr>
          <w:rFonts w:ascii="Arial" w:cs="Arial" w:eastAsia="Arial" w:hAnsi="Arial"/>
          <w:sz w:val="16"/>
          <w:szCs w:val="16"/>
          <w:color w:val="auto"/>
        </w:rPr>
        <w:t>In January 2019, we were informed that the U.S. Transportation Command Directorate of Acquisition (“USTranscom”) had issued a multi-vendor contract that included us as one of the vendors selected to supply leased marine containers and intermodal equipment to the U.S. Military. As a multi-vendor contract, there is no guarantee that the U.S. Military will accept our bids to supply containers and related services. Thus, expected revenues from the USTranscom contract are difficult to predict and may not materialize or prove profitable. If we do not perform in accordance with the terms of the USTranscom contract, we may receive a poor performance report that would be considered by the U.S. Military in making any future awards.</w:t>
      </w:r>
    </w:p>
    <w:p>
      <w:pPr>
        <w:spacing w:after="0" w:line="161" w:lineRule="exact"/>
        <w:rPr>
          <w:sz w:val="20"/>
          <w:szCs w:val="20"/>
          <w:color w:val="auto"/>
        </w:rPr>
      </w:pPr>
    </w:p>
    <w:p>
      <w:pPr>
        <w:ind w:right="200" w:firstLine="440"/>
        <w:spacing w:after="0" w:line="275" w:lineRule="auto"/>
        <w:rPr>
          <w:sz w:val="20"/>
          <w:szCs w:val="20"/>
          <w:color w:val="auto"/>
        </w:rPr>
      </w:pPr>
      <w:r>
        <w:rPr>
          <w:rFonts w:ascii="Arial" w:cs="Arial" w:eastAsia="Arial" w:hAnsi="Arial"/>
          <w:sz w:val="17"/>
          <w:szCs w:val="17"/>
          <w:color w:val="auto"/>
        </w:rPr>
        <w:t>In contracting with the U.S. Military, we are subject to U.S. government contract laws, regulations and other requirements that impose risks not generally found in commercial contracts. For example, U.S. government contracts require contractors to comply with a number of socio-economic requirements and to submit periodic reports regarding compliance, are subject to audit and modification by the U.S. government in its sole discretion, and impose certain requirements relating to software and/or technical data that, if not followed, could result in the inadvertent grant to the U.S. government of broader licenses to use and disclose such software or data than intended.</w:t>
      </w:r>
    </w:p>
    <w:p>
      <w:pPr>
        <w:spacing w:after="0" w:line="176"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These laws, regulations and contract provisions also permit, under certain circumstances, the U.S. government unilaterally to:</w:t>
      </w:r>
    </w:p>
    <w:p>
      <w:pPr>
        <w:spacing w:after="0" w:line="131" w:lineRule="exact"/>
        <w:rPr>
          <w:sz w:val="20"/>
          <w:szCs w:val="20"/>
          <w:color w:val="auto"/>
        </w:rPr>
      </w:pPr>
    </w:p>
    <w:p>
      <w:pPr>
        <w:ind w:left="960" w:hanging="532"/>
        <w:spacing w:after="0" w:line="277" w:lineRule="auto"/>
        <w:tabs>
          <w:tab w:leader="none" w:pos="960" w:val="left"/>
        </w:tabs>
        <w:numPr>
          <w:ilvl w:val="0"/>
          <w:numId w:val="24"/>
        </w:numPr>
        <w:rPr>
          <w:rFonts w:ascii="Arial" w:cs="Arial" w:eastAsia="Arial" w:hAnsi="Arial"/>
          <w:sz w:val="18"/>
          <w:szCs w:val="18"/>
          <w:color w:val="auto"/>
        </w:rPr>
      </w:pPr>
      <w:r>
        <w:rPr>
          <w:rFonts w:ascii="Arial" w:cs="Arial" w:eastAsia="Arial" w:hAnsi="Arial"/>
          <w:sz w:val="18"/>
          <w:szCs w:val="18"/>
          <w:color w:val="auto"/>
        </w:rPr>
        <w:t>suspend or prevent us for a set period of time from receiving new government contracts or extending existing contracts based on violations or suspected violations of laws or regulations;</w:t>
      </w:r>
    </w:p>
    <w:p>
      <w:pPr>
        <w:spacing w:after="0" w:line="75" w:lineRule="exact"/>
        <w:rPr>
          <w:rFonts w:ascii="Arial" w:cs="Arial" w:eastAsia="Arial" w:hAnsi="Arial"/>
          <w:sz w:val="18"/>
          <w:szCs w:val="18"/>
          <w:color w:val="auto"/>
        </w:rPr>
      </w:pPr>
    </w:p>
    <w:p>
      <w:pPr>
        <w:ind w:left="960" w:hanging="532"/>
        <w:spacing w:after="0"/>
        <w:tabs>
          <w:tab w:leader="none" w:pos="960" w:val="left"/>
        </w:tabs>
        <w:numPr>
          <w:ilvl w:val="0"/>
          <w:numId w:val="24"/>
        </w:numPr>
        <w:rPr>
          <w:rFonts w:ascii="Arial" w:cs="Arial" w:eastAsia="Arial" w:hAnsi="Arial"/>
          <w:sz w:val="18"/>
          <w:szCs w:val="18"/>
          <w:color w:val="auto"/>
        </w:rPr>
      </w:pPr>
      <w:r>
        <w:rPr>
          <w:rFonts w:ascii="Arial" w:cs="Arial" w:eastAsia="Arial" w:hAnsi="Arial"/>
          <w:sz w:val="18"/>
          <w:szCs w:val="18"/>
          <w:color w:val="auto"/>
        </w:rPr>
        <w:t>terminate the USTranscom contract;</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24"/>
        </w:numPr>
        <w:rPr>
          <w:rFonts w:ascii="Arial" w:cs="Arial" w:eastAsia="Arial" w:hAnsi="Arial"/>
          <w:sz w:val="18"/>
          <w:szCs w:val="18"/>
          <w:color w:val="auto"/>
        </w:rPr>
      </w:pPr>
      <w:r>
        <w:rPr>
          <w:rFonts w:ascii="Arial" w:cs="Arial" w:eastAsia="Arial" w:hAnsi="Arial"/>
          <w:sz w:val="18"/>
          <w:szCs w:val="18"/>
          <w:color w:val="auto"/>
        </w:rPr>
        <w:t>reduce the scope and value of the USTranscom contract;</w:t>
      </w:r>
    </w:p>
    <w:p>
      <w:pPr>
        <w:spacing w:after="0" w:line="15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0960"/>
          </w:cols>
          <w:pgMar w:left="440" w:top="274" w:right="499" w:bottom="1440" w:gutter="0" w:footer="0" w:header="0"/>
        </w:sectPr>
      </w:pPr>
    </w:p>
    <w:bookmarkStart w:id="37" w:name="page38"/>
    <w:bookmarkEnd w:id="37"/>
    <w:p>
      <w:pPr>
        <w:ind w:left="960" w:hanging="532"/>
        <w:spacing w:after="0"/>
        <w:tabs>
          <w:tab w:leader="none" w:pos="960" w:val="left"/>
        </w:tabs>
        <w:numPr>
          <w:ilvl w:val="0"/>
          <w:numId w:val="25"/>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audit our performance under the USTranscom contract and our compliance with various regulations; and</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25"/>
        </w:numPr>
        <w:rPr>
          <w:rFonts w:ascii="Arial" w:cs="Arial" w:eastAsia="Arial" w:hAnsi="Arial"/>
          <w:sz w:val="18"/>
          <w:szCs w:val="18"/>
          <w:color w:val="auto"/>
        </w:rPr>
      </w:pPr>
      <w:r>
        <w:rPr>
          <w:rFonts w:ascii="Arial" w:cs="Arial" w:eastAsia="Arial" w:hAnsi="Arial"/>
          <w:sz w:val="18"/>
          <w:szCs w:val="18"/>
          <w:color w:val="auto"/>
        </w:rPr>
        <w:t>change certain terms and conditions in the USTranscom contract.</w:t>
      </w:r>
    </w:p>
    <w:p>
      <w:pPr>
        <w:spacing w:after="0" w:line="225" w:lineRule="exact"/>
        <w:rPr>
          <w:sz w:val="20"/>
          <w:szCs w:val="20"/>
          <w:color w:val="auto"/>
        </w:rPr>
      </w:pPr>
    </w:p>
    <w:p>
      <w:pPr>
        <w:jc w:val="both"/>
        <w:ind w:right="80" w:firstLine="440"/>
        <w:spacing w:after="0" w:line="301" w:lineRule="auto"/>
        <w:rPr>
          <w:sz w:val="20"/>
          <w:szCs w:val="20"/>
          <w:color w:val="auto"/>
        </w:rPr>
      </w:pPr>
      <w:r>
        <w:rPr>
          <w:rFonts w:ascii="Arial" w:cs="Arial" w:eastAsia="Arial" w:hAnsi="Arial"/>
          <w:sz w:val="16"/>
          <w:szCs w:val="16"/>
          <w:color w:val="auto"/>
        </w:rPr>
        <w:t>In addition, the U.S. Military may terminate the USTranscom contract either for its convenience at any time or if we default by failing to perform in accordance with the contract schedule and terms. Termination for convenience provisions generally enable the contractor to recover only those costs incurred or committed, and settlement expenses and profit on the work completed prior to termination. Termination for default provisions do not permit these recoveries and make the contractor liable for excess costs incurred by the U.S. Military in procuring undelivered items from another source.</w:t>
      </w:r>
    </w:p>
    <w:p>
      <w:pPr>
        <w:spacing w:after="0" w:line="157" w:lineRule="exact"/>
        <w:rPr>
          <w:sz w:val="20"/>
          <w:szCs w:val="20"/>
          <w:color w:val="auto"/>
        </w:rPr>
      </w:pPr>
    </w:p>
    <w:p>
      <w:pPr>
        <w:ind w:right="160" w:firstLine="440"/>
        <w:spacing w:after="0" w:line="259" w:lineRule="auto"/>
        <w:rPr>
          <w:sz w:val="20"/>
          <w:szCs w:val="20"/>
          <w:color w:val="auto"/>
        </w:rPr>
      </w:pPr>
      <w:r>
        <w:rPr>
          <w:rFonts w:ascii="Arial" w:cs="Arial" w:eastAsia="Arial" w:hAnsi="Arial"/>
          <w:sz w:val="18"/>
          <w:szCs w:val="18"/>
          <w:color w:val="auto"/>
        </w:rPr>
        <w:t>In addition, the U.S. government could bring criminal and civil charges against us based on intentional or unintentional violations of the representations and certifications that we have made in the USTranscom contract. Although adjustments arising from U.S. government audits and reviews have not seriously harmed our business in the past, future audits and reviews could cause adverse effects. We could also suffer serious harm to our reputation if allegations of impropriety were to be made against us.</w:t>
      </w:r>
    </w:p>
    <w:p>
      <w:pPr>
        <w:spacing w:after="0" w:line="183" w:lineRule="exact"/>
        <w:rPr>
          <w:sz w:val="20"/>
          <w:szCs w:val="20"/>
          <w:color w:val="auto"/>
        </w:rPr>
      </w:pPr>
    </w:p>
    <w:p>
      <w:pPr>
        <w:ind w:right="120"/>
        <w:spacing w:after="0" w:line="282" w:lineRule="auto"/>
        <w:rPr>
          <w:sz w:val="20"/>
          <w:szCs w:val="20"/>
          <w:color w:val="auto"/>
        </w:rPr>
      </w:pPr>
      <w:r>
        <w:rPr>
          <w:rFonts w:ascii="Arial" w:cs="Arial" w:eastAsia="Arial" w:hAnsi="Arial"/>
          <w:sz w:val="18"/>
          <w:szCs w:val="18"/>
          <w:b w:val="1"/>
          <w:bCs w:val="1"/>
          <w:color w:val="auto"/>
        </w:rPr>
        <w:t>We may choose to pursue acquisitions or joint ventures that could present unforeseen integration obstacles or costs and we face risks from our joint venture.</w:t>
      </w:r>
    </w:p>
    <w:p>
      <w:pPr>
        <w:spacing w:after="0" w:line="166" w:lineRule="exact"/>
        <w:rPr>
          <w:sz w:val="20"/>
          <w:szCs w:val="20"/>
          <w:color w:val="auto"/>
        </w:rPr>
      </w:pPr>
    </w:p>
    <w:p>
      <w:pPr>
        <w:ind w:right="740" w:firstLine="440"/>
        <w:spacing w:after="0" w:line="277" w:lineRule="auto"/>
        <w:rPr>
          <w:sz w:val="20"/>
          <w:szCs w:val="20"/>
          <w:color w:val="auto"/>
        </w:rPr>
      </w:pPr>
      <w:r>
        <w:rPr>
          <w:rFonts w:ascii="Arial" w:cs="Arial" w:eastAsia="Arial" w:hAnsi="Arial"/>
          <w:sz w:val="18"/>
          <w:szCs w:val="18"/>
          <w:color w:val="auto"/>
        </w:rPr>
        <w:t>We may pursue acquisitions and joint ventures. Acquisitions involve a number of risks and present financial, managerial and operational challenges, including:</w:t>
      </w:r>
    </w:p>
    <w:p>
      <w:pPr>
        <w:spacing w:after="0" w:line="76" w:lineRule="exact"/>
        <w:rPr>
          <w:sz w:val="20"/>
          <w:szCs w:val="20"/>
          <w:color w:val="auto"/>
        </w:rPr>
      </w:pPr>
    </w:p>
    <w:p>
      <w:pPr>
        <w:ind w:left="960" w:hanging="532"/>
        <w:spacing w:after="0"/>
        <w:tabs>
          <w:tab w:leader="none" w:pos="960" w:val="left"/>
        </w:tabs>
        <w:numPr>
          <w:ilvl w:val="0"/>
          <w:numId w:val="26"/>
        </w:numPr>
        <w:rPr>
          <w:rFonts w:ascii="Arial" w:cs="Arial" w:eastAsia="Arial" w:hAnsi="Arial"/>
          <w:sz w:val="18"/>
          <w:szCs w:val="18"/>
          <w:color w:val="auto"/>
        </w:rPr>
      </w:pPr>
      <w:r>
        <w:rPr>
          <w:rFonts w:ascii="Arial" w:cs="Arial" w:eastAsia="Arial" w:hAnsi="Arial"/>
          <w:sz w:val="18"/>
          <w:szCs w:val="18"/>
          <w:color w:val="auto"/>
        </w:rPr>
        <w:t>potential disruption of our ongoing business and distraction of management;</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26"/>
        </w:numPr>
        <w:rPr>
          <w:rFonts w:ascii="Arial" w:cs="Arial" w:eastAsia="Arial" w:hAnsi="Arial"/>
          <w:sz w:val="18"/>
          <w:szCs w:val="18"/>
          <w:color w:val="auto"/>
        </w:rPr>
      </w:pPr>
      <w:r>
        <w:rPr>
          <w:rFonts w:ascii="Arial" w:cs="Arial" w:eastAsia="Arial" w:hAnsi="Arial"/>
          <w:sz w:val="18"/>
          <w:szCs w:val="18"/>
          <w:color w:val="auto"/>
        </w:rPr>
        <w:t>difficulty integrating personnel and financial and other systems;</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26"/>
        </w:numPr>
        <w:rPr>
          <w:rFonts w:ascii="Arial" w:cs="Arial" w:eastAsia="Arial" w:hAnsi="Arial"/>
          <w:sz w:val="18"/>
          <w:szCs w:val="18"/>
          <w:color w:val="auto"/>
        </w:rPr>
      </w:pPr>
      <w:r>
        <w:rPr>
          <w:rFonts w:ascii="Arial" w:cs="Arial" w:eastAsia="Arial" w:hAnsi="Arial"/>
          <w:sz w:val="18"/>
          <w:szCs w:val="18"/>
          <w:color w:val="auto"/>
        </w:rPr>
        <w:t>hiring additional management and other critical personnel; and</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26"/>
        </w:numPr>
        <w:rPr>
          <w:rFonts w:ascii="Arial" w:cs="Arial" w:eastAsia="Arial" w:hAnsi="Arial"/>
          <w:sz w:val="18"/>
          <w:szCs w:val="18"/>
          <w:color w:val="auto"/>
        </w:rPr>
      </w:pPr>
      <w:r>
        <w:rPr>
          <w:rFonts w:ascii="Arial" w:cs="Arial" w:eastAsia="Arial" w:hAnsi="Arial"/>
          <w:sz w:val="18"/>
          <w:szCs w:val="18"/>
          <w:color w:val="auto"/>
        </w:rPr>
        <w:t>increasing the scope, geographic diversity, and complexity of our operations.</w:t>
      </w:r>
    </w:p>
    <w:p>
      <w:pPr>
        <w:spacing w:after="0" w:line="225" w:lineRule="exact"/>
        <w:rPr>
          <w:sz w:val="20"/>
          <w:szCs w:val="20"/>
          <w:color w:val="auto"/>
        </w:rPr>
      </w:pPr>
    </w:p>
    <w:p>
      <w:pPr>
        <w:jc w:val="both"/>
        <w:ind w:right="140" w:firstLine="440"/>
        <w:spacing w:after="0" w:line="286" w:lineRule="auto"/>
        <w:rPr>
          <w:sz w:val="20"/>
          <w:szCs w:val="20"/>
          <w:color w:val="auto"/>
        </w:rPr>
      </w:pPr>
      <w:r>
        <w:rPr>
          <w:rFonts w:ascii="Arial" w:cs="Arial" w:eastAsia="Arial" w:hAnsi="Arial"/>
          <w:sz w:val="17"/>
          <w:szCs w:val="17"/>
          <w:color w:val="auto"/>
        </w:rPr>
        <w:t>In addition, we may encounter unforeseen obstacles or costs in the integration of acquired businesses. Also, the presence of one or more material liabilities of an acquired company that are unknown to us at the time of acquisition may have a material adverse effect on our business. Acquisitions or joint ventures may not be successful, and we may not realize any anticipated benefits from acquisitions or joint ventures.</w:t>
      </w:r>
    </w:p>
    <w:p>
      <w:pPr>
        <w:spacing w:after="0" w:line="161" w:lineRule="exact"/>
        <w:rPr>
          <w:sz w:val="20"/>
          <w:szCs w:val="20"/>
          <w:color w:val="auto"/>
        </w:rPr>
      </w:pPr>
    </w:p>
    <w:p>
      <w:pPr>
        <w:ind w:right="560"/>
        <w:spacing w:after="0" w:line="282" w:lineRule="auto"/>
        <w:rPr>
          <w:sz w:val="20"/>
          <w:szCs w:val="20"/>
          <w:color w:val="auto"/>
        </w:rPr>
      </w:pPr>
      <w:r>
        <w:rPr>
          <w:rFonts w:ascii="Arial" w:cs="Arial" w:eastAsia="Arial" w:hAnsi="Arial"/>
          <w:sz w:val="18"/>
          <w:szCs w:val="18"/>
          <w:b w:val="1"/>
          <w:bCs w:val="1"/>
          <w:color w:val="auto"/>
        </w:rPr>
        <w:t>Our senior executives are critical to the success of our business and any inability to retain them or recruit and successfully integrate new personnel could harm our business, results of operations and financial condition.</w:t>
      </w:r>
    </w:p>
    <w:p>
      <w:pPr>
        <w:spacing w:after="0" w:line="166" w:lineRule="exact"/>
        <w:rPr>
          <w:sz w:val="20"/>
          <w:szCs w:val="20"/>
          <w:color w:val="auto"/>
        </w:rPr>
      </w:pPr>
    </w:p>
    <w:p>
      <w:pPr>
        <w:ind w:firstLine="440"/>
        <w:spacing w:after="0" w:line="263" w:lineRule="auto"/>
        <w:rPr>
          <w:sz w:val="20"/>
          <w:szCs w:val="20"/>
          <w:color w:val="auto"/>
        </w:rPr>
      </w:pPr>
      <w:r>
        <w:rPr>
          <w:rFonts w:ascii="Arial" w:cs="Arial" w:eastAsia="Arial" w:hAnsi="Arial"/>
          <w:sz w:val="18"/>
          <w:szCs w:val="18"/>
          <w:color w:val="auto"/>
        </w:rPr>
        <w:t>Our senior management has a solid history in the container leasing industry. We rely on this knowledge and experience in our strategic planning and in our day-to-day business operations. Our success depends in large part upon our ability to retain our senior management, the loss of one or more of whom could have a material adverse effect on our business.</w:t>
      </w:r>
    </w:p>
    <w:p>
      <w:pPr>
        <w:spacing w:after="0" w:line="184" w:lineRule="exact"/>
        <w:rPr>
          <w:sz w:val="20"/>
          <w:szCs w:val="20"/>
          <w:color w:val="auto"/>
        </w:rPr>
      </w:pPr>
    </w:p>
    <w:p>
      <w:pPr>
        <w:ind w:right="180" w:firstLine="440"/>
        <w:spacing w:after="0" w:line="301" w:lineRule="auto"/>
        <w:rPr>
          <w:sz w:val="20"/>
          <w:szCs w:val="20"/>
          <w:color w:val="auto"/>
        </w:rPr>
      </w:pPr>
      <w:r>
        <w:rPr>
          <w:rFonts w:ascii="Arial" w:cs="Arial" w:eastAsia="Arial" w:hAnsi="Arial"/>
          <w:sz w:val="16"/>
          <w:szCs w:val="16"/>
          <w:color w:val="auto"/>
        </w:rPr>
        <w:t>Our success also depends on our ability to retain our experienced sales force and technical personnel as well as recruit new skilled sales, marketing, and technical personnel. Competition for these individuals in our industry is intense and we may not be able to successfully recruit, train or retain qualified personnel. If we fail to retain and recruit the necessary personnel, our business, and our ability to obtain new container lessees and provide acceptable levels of customer service could suffer. We have “at will” employment agreements with all of our executive officers.</w:t>
      </w:r>
    </w:p>
    <w:p>
      <w:pPr>
        <w:spacing w:after="0" w:line="15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The lack of an international title registry for containers increases the risk of ownership disputes.</w:t>
      </w:r>
    </w:p>
    <w:p>
      <w:pPr>
        <w:spacing w:after="0" w:line="229" w:lineRule="exact"/>
        <w:rPr>
          <w:sz w:val="20"/>
          <w:szCs w:val="20"/>
          <w:color w:val="auto"/>
        </w:rPr>
      </w:pPr>
    </w:p>
    <w:p>
      <w:pPr>
        <w:ind w:right="100" w:firstLine="440"/>
        <w:spacing w:after="0" w:line="296" w:lineRule="auto"/>
        <w:rPr>
          <w:sz w:val="20"/>
          <w:szCs w:val="20"/>
          <w:color w:val="auto"/>
        </w:rPr>
      </w:pPr>
      <w:r>
        <w:rPr>
          <w:rFonts w:ascii="Arial" w:cs="Arial" w:eastAsia="Arial" w:hAnsi="Arial"/>
          <w:sz w:val="16"/>
          <w:szCs w:val="16"/>
          <w:color w:val="auto"/>
        </w:rPr>
        <w:t>Although the Bureau International des Containers registers and allocates a four letter prefix to every container in accordance with ISO standard 6346 (Freight container coding, identification and marking) to identify the owner/operator and each container has a unique prefix and serial number, there is no internationally recognized system of recordation or filing to evidence our title to containers nor is there an internationally recognized system for filing security interests in containers. Although this has not occurred to date, the lack of a title recordation system with respect to containers could result in disputes with lessees, end-users, or third parties who may improperly claim ownership of containers.</w:t>
      </w:r>
    </w:p>
    <w:p>
      <w:pPr>
        <w:spacing w:after="0" w:line="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1000"/>
          </w:cols>
          <w:pgMar w:left="440" w:top="274" w:right="459" w:bottom="1440" w:gutter="0" w:footer="0" w:header="0"/>
        </w:sectPr>
      </w:pPr>
    </w:p>
    <w:bookmarkStart w:id="38" w:name="page39"/>
    <w:bookmarkEnd w:id="38"/>
    <w:p>
      <w:pPr>
        <w:ind w:right="400"/>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174865" cy="38735"/>
                    </a:xfrm>
                    <a:prstGeom prst="rect">
                      <a:avLst/>
                    </a:prstGeom>
                    <a:noFill/>
                  </pic:spPr>
                </pic:pic>
              </a:graphicData>
            </a:graphic>
          </wp:anchor>
        </w:drawing>
        <w:t>We may incur costs associated with cargo security regulations, which may adversely affect our business, results of operations and financial condition.</w:t>
      </w:r>
    </w:p>
    <w:p>
      <w:pPr>
        <w:spacing w:after="0" w:line="166" w:lineRule="exact"/>
        <w:rPr>
          <w:sz w:val="20"/>
          <w:szCs w:val="20"/>
          <w:color w:val="auto"/>
        </w:rPr>
      </w:pPr>
    </w:p>
    <w:p>
      <w:pPr>
        <w:ind w:firstLine="440"/>
        <w:spacing w:after="0" w:line="286" w:lineRule="auto"/>
        <w:rPr>
          <w:sz w:val="20"/>
          <w:szCs w:val="20"/>
          <w:color w:val="auto"/>
        </w:rPr>
      </w:pPr>
      <w:r>
        <w:rPr>
          <w:rFonts w:ascii="Arial" w:cs="Arial" w:eastAsia="Arial" w:hAnsi="Arial"/>
          <w:sz w:val="16"/>
          <w:szCs w:val="16"/>
          <w:color w:val="auto"/>
        </w:rPr>
        <w:t>We may be subject to regulations promulgated in various countries, including the U.S., seeking to protect the integrity of international commerce and prevent the use of containers for international terrorism or other illicit activities. For example, the Container Security Initiative, the Customs-Trade Partnership Against Terrorism and Operation Safe Commerce are among the programs administered by the U.S. Department of Homeland Security that are designed to enhance security for cargo moving throughout the international transportation system by identifying existing vulnerabilities in the supply chain and developing improved methods for ensuring the security of containerized cargo entering and leaving the U.S. Moreover, the International Convention for Safe Containers, 1972, as amended, adopted by the International Maritime Organization, applies to containers, and seeks to maintain a high level of safety of human life in the transport and handling of containers by providing uniform international safety regulations. As these regulations develop and change, we may incur compliance costs due to the acquisition of new, compliant containers and/or the adaptation of existing containers to meet new requirements imposed by such regulations. Additionally, certain companies are currently developing or may in the future develop products designed to enhance the security of containers transported in international commerce. Regardless of the existence of current or future government regulations mandating the safety standards of intermodal shipping containers, our competitors may adopt such products, or our container lessees may require that we adopt such products. In responding to such market pressures, we may incur increased costs, which could have a material adverse effect on our business, results of operations and financial condition.</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Environmental liability and regulations may adversely affect our business, results of operations and financial condition.</w:t>
      </w:r>
    </w:p>
    <w:p>
      <w:pPr>
        <w:spacing w:after="0" w:line="229" w:lineRule="exact"/>
        <w:rPr>
          <w:sz w:val="20"/>
          <w:szCs w:val="20"/>
          <w:color w:val="auto"/>
        </w:rPr>
      </w:pPr>
    </w:p>
    <w:p>
      <w:pPr>
        <w:ind w:firstLine="440"/>
        <w:spacing w:after="0" w:line="288" w:lineRule="auto"/>
        <w:rPr>
          <w:sz w:val="20"/>
          <w:szCs w:val="20"/>
          <w:color w:val="auto"/>
        </w:rPr>
      </w:pPr>
      <w:r>
        <w:rPr>
          <w:rFonts w:ascii="Arial" w:cs="Arial" w:eastAsia="Arial" w:hAnsi="Arial"/>
          <w:sz w:val="16"/>
          <w:szCs w:val="16"/>
          <w:color w:val="auto"/>
        </w:rPr>
        <w:t>We are subject to federal, state, local and foreign laws and regulations relating to the protection of the environment, including those governing the discharge of pollutants to air, ground and water, the management and disposal of hazardous substances and wastes and the cleanup of contaminated sites. We could incur substantial costs, including cleanup costs, fines and costs arising out of third-party claims for property or natural resource damage and personal injury, as a result of violations of or liabilities under or compliance with environmental laws and regulations in connection with our or our lessees’ current or historical operations. Under some environmental laws in the U.S. and certain other countries, the owner or operator of a container may be liable for environmental damage, cleanup, or other costs in the event of a spill or discharge of material from the container without regard to the fault of the owner or operator. While we typically maintain certain limited liability insurance and typically require lessees to provide us with indemnity against certain losses, the insurance coverage may not be sufficient to protect against any or all liabilities and such indemnities may not be sufficient, or available, to protect us against losses arising from environmental damage. Moreover, our lessees may not have adequate resources, or may refuse to honor their indemnity obligations and our insurance coverage is subject to large deductibles, coverage limits and significant exclusions.</w:t>
      </w:r>
    </w:p>
    <w:p>
      <w:pPr>
        <w:spacing w:after="0" w:line="168" w:lineRule="exact"/>
        <w:rPr>
          <w:sz w:val="20"/>
          <w:szCs w:val="20"/>
          <w:color w:val="auto"/>
        </w:rPr>
      </w:pPr>
    </w:p>
    <w:p>
      <w:pPr>
        <w:ind w:right="80" w:firstLine="440"/>
        <w:spacing w:after="0" w:line="272" w:lineRule="auto"/>
        <w:rPr>
          <w:sz w:val="20"/>
          <w:szCs w:val="20"/>
          <w:color w:val="auto"/>
        </w:rPr>
      </w:pPr>
      <w:r>
        <w:rPr>
          <w:rFonts w:ascii="Arial" w:cs="Arial" w:eastAsia="Arial" w:hAnsi="Arial"/>
          <w:sz w:val="17"/>
          <w:szCs w:val="17"/>
          <w:color w:val="auto"/>
        </w:rPr>
        <w:t>Environmental regulations also impact container production and operation, including regulations on the use of chemical refrigerants due to their ozone depleting and global warming effects. Our refrigerated containers currently use R134A refrigerant. While R134A does not contain chlorofluorocarbons (“CFCs”), the European Union (“EU”) instituted regulations to phase out the use of R134A in automobile air conditioning systems which began in 2011 due to concern that the release of R134A into the atmosphere may contribute to global warming. While the European Union regulations do not currently restrict the use of R134A in refrigerated containers or trailers, it is possible that the phase out of R134A in automobile air conditioning systems will be extended to containers in the future and our operations could be impacted. It has been proposed that R134A usage in containers be banned beginning in 2025, although the final decision has not been made as of yet.</w:t>
      </w:r>
    </w:p>
    <w:p>
      <w:pPr>
        <w:spacing w:after="0" w:line="177" w:lineRule="exact"/>
        <w:rPr>
          <w:sz w:val="20"/>
          <w:szCs w:val="20"/>
          <w:color w:val="auto"/>
        </w:rPr>
      </w:pPr>
    </w:p>
    <w:p>
      <w:pPr>
        <w:ind w:right="140" w:firstLine="440"/>
        <w:spacing w:after="0" w:line="259" w:lineRule="auto"/>
        <w:rPr>
          <w:sz w:val="20"/>
          <w:szCs w:val="20"/>
          <w:color w:val="auto"/>
        </w:rPr>
      </w:pPr>
      <w:r>
        <w:rPr>
          <w:rFonts w:ascii="Arial" w:cs="Arial" w:eastAsia="Arial" w:hAnsi="Arial"/>
          <w:sz w:val="18"/>
          <w:szCs w:val="18"/>
          <w:color w:val="auto"/>
        </w:rPr>
        <w:t>Container production also raises environmental concerns. The floors of dry freight containers are plywood typically made from tropical hardwoods. Due to concerns regarding de-forestation and climate change, many countries have implemented severe restrictions on the cutting and export of this wood. Accordingly, container manufacturers have switched a significant portion of production to alternatives such as birch, bamboo, and other farm grown wood and users</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25</w:t>
      </w:r>
    </w:p>
    <w:p>
      <w:pPr>
        <w:sectPr>
          <w:pgSz w:w="11900" w:h="16838" w:orient="portrait"/>
          <w:cols w:equalWidth="0" w:num="1">
            <w:col w:w="11000"/>
          </w:cols>
          <w:pgMar w:left="440" w:top="270" w:right="459" w:bottom="1440" w:gutter="0" w:footer="0" w:header="0"/>
        </w:sectPr>
      </w:pPr>
    </w:p>
    <w:bookmarkStart w:id="39" w:name="page40"/>
    <w:bookmarkEnd w:id="39"/>
    <w:p>
      <w:pPr>
        <w:ind w:right="40"/>
        <w:spacing w:after="0" w:line="26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are also evaluating alternative designs that would limit the amount of plywood required and are also considering possible synthetic materials. New woods or other alternatives have not proven their durability over the typical life of a dry freight container, and if they cannot perform as well as the hardwoods have historically, the future repair and operating costs for these containers may be impacted. The insulation foam in the walls of certain refrigerated containers requires the use of a blowing agent that contains CFCs. Manufacturers are phasing out the use of this blowing agent in manufacturing, however, if future regulations prohibit the use or servicing of containers with insulation manufactured with this blowing agent, we could be forced to incur large retrofitting expenses and these containers might bring lower rental rates and disposal prices. EU regulations currently restrict the sale or use of refrigerated containers manufactured with the CFC containing blowing agent and strict enforcement of these regulations could impact our ability to lease or sell these refrigerated containers in EU countries. The container industry in China historically used solvent-based paint systems. Regulations in China for the container industry required stopping the use of solvent-based paint systems in 2017, due to the restrictions on volatile organic compounds used in solvent-based paints. To comply with the regulations, new water borne paint systems were developed and are being used by container manufacturers. The use of water borne paint systems has required significant factory investment and it is problematic to apply water borne paint during the winter in colder parts of China. The conversion to water borne paint impacts factory capacity, increases the cost of containers and requires greater investment by us in container inspection and factory supervision. The industry does not have significant years of experience with water borne paint and the long term durability of water borne paint may not be the same as solvent based paint which could impact the useful life and resale value of containers with water borne paint.</w:t>
      </w:r>
    </w:p>
    <w:p>
      <w:pPr>
        <w:spacing w:after="0" w:line="178" w:lineRule="exact"/>
        <w:rPr>
          <w:sz w:val="20"/>
          <w:szCs w:val="20"/>
          <w:color w:val="auto"/>
        </w:rPr>
      </w:pPr>
    </w:p>
    <w:p>
      <w:pPr>
        <w:ind w:right="80"/>
        <w:spacing w:after="0" w:line="282" w:lineRule="auto"/>
        <w:rPr>
          <w:sz w:val="20"/>
          <w:szCs w:val="20"/>
          <w:color w:val="auto"/>
        </w:rPr>
      </w:pPr>
      <w:r>
        <w:rPr>
          <w:rFonts w:ascii="Arial" w:cs="Arial" w:eastAsia="Arial" w:hAnsi="Arial"/>
          <w:sz w:val="18"/>
          <w:szCs w:val="18"/>
          <w:b w:val="1"/>
          <w:bCs w:val="1"/>
          <w:color w:val="auto"/>
        </w:rPr>
        <w:t>We are subject to certain U.S. laws that may impact our international operations and any investigation or determination that we violated these laws may affect our business and operations adversely.</w:t>
      </w:r>
    </w:p>
    <w:p>
      <w:pPr>
        <w:spacing w:after="0" w:line="166" w:lineRule="exact"/>
        <w:rPr>
          <w:sz w:val="20"/>
          <w:szCs w:val="20"/>
          <w:color w:val="auto"/>
        </w:rPr>
      </w:pPr>
    </w:p>
    <w:p>
      <w:pPr>
        <w:ind w:right="20" w:firstLine="440"/>
        <w:spacing w:after="0" w:line="293" w:lineRule="auto"/>
        <w:rPr>
          <w:sz w:val="20"/>
          <w:szCs w:val="20"/>
          <w:color w:val="auto"/>
        </w:rPr>
      </w:pPr>
      <w:r>
        <w:rPr>
          <w:rFonts w:ascii="Arial" w:cs="Arial" w:eastAsia="Arial" w:hAnsi="Arial"/>
          <w:sz w:val="16"/>
          <w:szCs w:val="16"/>
          <w:color w:val="auto"/>
        </w:rPr>
        <w:t>As a Bermuda corporation that has an indirect wholly-owned U.S. subsidiary with operations in the U.S., our U.S. operations are subject to certain U.S. laws that may also impact our international operations. We are subject to the regulations imposed by the Foreign Corrupt Practices Act, which generally prohibits U.S. companies and their intermediaries from making improper payments to foreign officials for the purpose of obtaining or keeping business. We are also subject to U.S. Executive Orders and U.S. Treasury sanctions regulations restricting or prohibiting business dealings in or with certain nations and with certain specially designated nationals (individuals and legal entities). Any determination or investigation into violations of these laws and regulations could have a material adverse effect on our business, financial condition, results of operations and cash flows.</w:t>
      </w:r>
    </w:p>
    <w:p>
      <w:pPr>
        <w:spacing w:after="0" w:line="16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We could face litigation involving our management of containers for container investors.</w:t>
      </w:r>
    </w:p>
    <w:p>
      <w:pPr>
        <w:spacing w:after="0" w:line="229" w:lineRule="exact"/>
        <w:rPr>
          <w:sz w:val="20"/>
          <w:szCs w:val="20"/>
          <w:color w:val="auto"/>
        </w:rPr>
      </w:pPr>
    </w:p>
    <w:p>
      <w:pPr>
        <w:ind w:firstLine="440"/>
        <w:spacing w:after="0" w:line="257" w:lineRule="auto"/>
        <w:rPr>
          <w:sz w:val="20"/>
          <w:szCs w:val="20"/>
          <w:color w:val="auto"/>
        </w:rPr>
      </w:pPr>
      <w:r>
        <w:rPr>
          <w:rFonts w:ascii="Arial" w:cs="Arial" w:eastAsia="Arial" w:hAnsi="Arial"/>
          <w:sz w:val="18"/>
          <w:szCs w:val="18"/>
          <w:color w:val="auto"/>
        </w:rPr>
        <w:t>We manage containers for container investors under management agreements that are negotiated with each container investor. We make no assurances to container investors that they will make any amount of profit on their investment or that our management activities will result in any particular level of income or return of their initial capital. Although our management agreements contain contractual protections and indemnities that are designed to limit our exposure to such litigation, such provisions may not be effective, and we may be subject to a significant loss in a successful litigation by a container investor.</w:t>
      </w:r>
    </w:p>
    <w:p>
      <w:pPr>
        <w:spacing w:after="0" w:line="12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26</w:t>
      </w:r>
    </w:p>
    <w:p>
      <w:pPr>
        <w:sectPr>
          <w:pgSz w:w="11900" w:h="16838" w:orient="portrait"/>
          <w:cols w:equalWidth="0" w:num="1">
            <w:col w:w="11000"/>
          </w:cols>
          <w:pgMar w:left="440" w:top="274" w:right="459" w:bottom="1440" w:gutter="0" w:footer="0" w:header="0"/>
        </w:sectPr>
      </w:pPr>
    </w:p>
    <w:bookmarkStart w:id="40" w:name="page41"/>
    <w:bookmarkEnd w:id="40"/>
    <w:p>
      <w:pPr>
        <w:jc w:val="center"/>
        <w:ind w:right="-19"/>
        <w:spacing w:after="0"/>
        <w:rPr>
          <w:sz w:val="20"/>
          <w:szCs w:val="20"/>
          <w:color w:val="auto"/>
        </w:rPr>
      </w:pPr>
      <w:r>
        <w:rPr>
          <w:rFonts w:ascii="Arial" w:cs="Arial" w:eastAsia="Arial" w:hAnsi="Arial"/>
          <w:sz w:val="18"/>
          <w:szCs w:val="18"/>
          <w:b w:val="1"/>
          <w:bCs w:val="1"/>
          <w:i w:val="1"/>
          <w:i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Tax Risks Related to Our Business and Investment in Our Common Shares</w:t>
      </w:r>
    </w:p>
    <w:p>
      <w:pPr>
        <w:spacing w:after="0" w:line="221"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U.S. investors in our company could suffer adverse tax consequences if we are characterized as a passive foreign investment company for U.S.</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federal income tax purposes.</w:t>
      </w:r>
    </w:p>
    <w:p>
      <w:pPr>
        <w:spacing w:after="0" w:line="103" w:lineRule="exact"/>
        <w:rPr>
          <w:sz w:val="20"/>
          <w:szCs w:val="20"/>
          <w:color w:val="auto"/>
        </w:rPr>
      </w:pPr>
    </w:p>
    <w:p>
      <w:pPr>
        <w:ind w:firstLine="440"/>
        <w:spacing w:after="0" w:line="296" w:lineRule="auto"/>
        <w:rPr>
          <w:sz w:val="20"/>
          <w:szCs w:val="20"/>
          <w:color w:val="auto"/>
        </w:rPr>
      </w:pPr>
      <w:r>
        <w:rPr>
          <w:rFonts w:ascii="Arial" w:cs="Arial" w:eastAsia="Arial" w:hAnsi="Arial"/>
          <w:sz w:val="16"/>
          <w:szCs w:val="16"/>
          <w:color w:val="auto"/>
        </w:rPr>
        <w:t>Based upon the nature of our business activities, we could become classified as a passive foreign investment company (“PFIC”) for U.S. federal income tax purposes. Such characterization could result in adverse U.S. tax consequences to direct or indirect U.S. investors in our common shares. For example, if we are a PFIC, our U.S. investors could become subject to increased tax liabilities under U.S. tax laws and regulations and could become subject to burdensome reporting requirements. The determination of whether or not we are a PFIC is made on an annual basis and depends on the composition of our income and assets from time to time. Specifically, for any taxable year we will be classified as a PFIC for U.S. tax purposes if either:</w:t>
      </w:r>
    </w:p>
    <w:p>
      <w:pPr>
        <w:spacing w:after="0" w:line="67" w:lineRule="exact"/>
        <w:rPr>
          <w:sz w:val="20"/>
          <w:szCs w:val="20"/>
          <w:color w:val="auto"/>
        </w:rPr>
      </w:pPr>
    </w:p>
    <w:p>
      <w:pPr>
        <w:ind w:left="960" w:hanging="532"/>
        <w:spacing w:after="0"/>
        <w:tabs>
          <w:tab w:leader="none" w:pos="960" w:val="left"/>
        </w:tabs>
        <w:numPr>
          <w:ilvl w:val="0"/>
          <w:numId w:val="27"/>
        </w:numPr>
        <w:rPr>
          <w:rFonts w:ascii="Arial" w:cs="Arial" w:eastAsia="Arial" w:hAnsi="Arial"/>
          <w:sz w:val="18"/>
          <w:szCs w:val="18"/>
          <w:color w:val="auto"/>
        </w:rPr>
      </w:pPr>
      <w:r>
        <w:rPr>
          <w:rFonts w:ascii="Arial" w:cs="Arial" w:eastAsia="Arial" w:hAnsi="Arial"/>
          <w:sz w:val="18"/>
          <w:szCs w:val="18"/>
          <w:color w:val="auto"/>
        </w:rPr>
        <w:t>75% or more of our gross income in the taxable year is passive income, or</w:t>
      </w:r>
    </w:p>
    <w:p>
      <w:pPr>
        <w:spacing w:after="0" w:line="130" w:lineRule="exact"/>
        <w:rPr>
          <w:rFonts w:ascii="Arial" w:cs="Arial" w:eastAsia="Arial" w:hAnsi="Arial"/>
          <w:sz w:val="18"/>
          <w:szCs w:val="18"/>
          <w:color w:val="auto"/>
        </w:rPr>
      </w:pPr>
    </w:p>
    <w:p>
      <w:pPr>
        <w:ind w:left="960" w:right="460" w:hanging="532"/>
        <w:spacing w:after="0" w:line="277" w:lineRule="auto"/>
        <w:tabs>
          <w:tab w:leader="none" w:pos="960" w:val="left"/>
        </w:tabs>
        <w:numPr>
          <w:ilvl w:val="0"/>
          <w:numId w:val="27"/>
        </w:numPr>
        <w:rPr>
          <w:rFonts w:ascii="Arial" w:cs="Arial" w:eastAsia="Arial" w:hAnsi="Arial"/>
          <w:sz w:val="18"/>
          <w:szCs w:val="18"/>
          <w:color w:val="auto"/>
        </w:rPr>
      </w:pPr>
      <w:r>
        <w:rPr>
          <w:rFonts w:ascii="Arial" w:cs="Arial" w:eastAsia="Arial" w:hAnsi="Arial"/>
          <w:sz w:val="18"/>
          <w:szCs w:val="18"/>
          <w:color w:val="auto"/>
        </w:rPr>
        <w:t>the average percentage of our assets (which includes cash) by value in a taxable year which produce or are held for the production of passive income is at least 50%.</w:t>
      </w:r>
    </w:p>
    <w:p>
      <w:pPr>
        <w:spacing w:after="0" w:line="170" w:lineRule="exact"/>
        <w:rPr>
          <w:sz w:val="20"/>
          <w:szCs w:val="20"/>
          <w:color w:val="auto"/>
        </w:rPr>
      </w:pPr>
    </w:p>
    <w:p>
      <w:pPr>
        <w:jc w:val="both"/>
        <w:ind w:right="60" w:firstLine="440"/>
        <w:spacing w:after="0" w:line="263" w:lineRule="auto"/>
        <w:rPr>
          <w:sz w:val="20"/>
          <w:szCs w:val="20"/>
          <w:color w:val="auto"/>
        </w:rPr>
      </w:pPr>
      <w:r>
        <w:rPr>
          <w:rFonts w:ascii="Arial" w:cs="Arial" w:eastAsia="Arial" w:hAnsi="Arial"/>
          <w:sz w:val="18"/>
          <w:szCs w:val="18"/>
          <w:color w:val="auto"/>
        </w:rPr>
        <w:t>In applying these tests, we are treated as owning or generating directly our pro rata share of the assets and income of any corporation in which we own at least 25% by value. In addition, the composition of our income and assets will be affected by how, and how quickly, we spend the cash we have raised.</w:t>
      </w:r>
    </w:p>
    <w:p>
      <w:pPr>
        <w:spacing w:after="0" w:line="184" w:lineRule="exact"/>
        <w:rPr>
          <w:sz w:val="20"/>
          <w:szCs w:val="20"/>
          <w:color w:val="auto"/>
        </w:rPr>
      </w:pPr>
    </w:p>
    <w:p>
      <w:pPr>
        <w:ind w:right="40" w:firstLine="440"/>
        <w:spacing w:after="0" w:line="290" w:lineRule="auto"/>
        <w:rPr>
          <w:sz w:val="20"/>
          <w:szCs w:val="20"/>
          <w:color w:val="auto"/>
        </w:rPr>
      </w:pPr>
      <w:r>
        <w:rPr>
          <w:rFonts w:ascii="Arial" w:cs="Arial" w:eastAsia="Arial" w:hAnsi="Arial"/>
          <w:sz w:val="16"/>
          <w:szCs w:val="16"/>
          <w:color w:val="auto"/>
        </w:rPr>
        <w:t>Under the PFIC rules, unless a U.S. investor is permitted to and does elect otherwise under the Internal Revenue Code, such U.S. investor would be liable to pay U.S. federal income tax at the then prevailing income tax rates on ordinary income plus interest upon excess distributions and upon any gain from the disposition of our common shares, as if the excess distribution or gain had been recognized ratably over the investor’s holding period for our common shares. Based on the composition of our income, valuation of our assets, and our election to treat certain of our subsidiaries as disregarded entities for U.S. federal income tax purposes, we do not believe we were a PFIC for any period after our initial public offering (“IPO”) date and we do not expect that we should be treated as a PFIC for our current taxable year. However, there can be no assurance at all in this regard. Because the PFIC determination is highly fact intensive and made at the end of each taxable year, it is possible that we may be a PFIC for the current or any future taxable year or that the U.S. Internal Revenue Service (“IRS”) may challenge our determination concerning our PFIC status.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We may become subject to unanticipated tax liabilities that may have a material adverse effect on our results of operations.</w:t>
      </w:r>
    </w:p>
    <w:p>
      <w:pPr>
        <w:spacing w:after="0" w:line="229" w:lineRule="exact"/>
        <w:rPr>
          <w:sz w:val="20"/>
          <w:szCs w:val="20"/>
          <w:color w:val="auto"/>
        </w:rPr>
      </w:pPr>
    </w:p>
    <w:p>
      <w:pPr>
        <w:ind w:firstLine="440"/>
        <w:spacing w:after="0" w:line="296" w:lineRule="auto"/>
        <w:rPr>
          <w:sz w:val="20"/>
          <w:szCs w:val="20"/>
          <w:color w:val="auto"/>
        </w:rPr>
      </w:pPr>
      <w:r>
        <w:rPr>
          <w:rFonts w:ascii="Arial" w:cs="Arial" w:eastAsia="Arial" w:hAnsi="Arial"/>
          <w:sz w:val="16"/>
          <w:szCs w:val="16"/>
          <w:color w:val="auto"/>
        </w:rPr>
        <w:t>Textainer Group Holdings Limited is a Bermuda company, and we believe that a significant portion of the income derived from our operations will not be subject to tax in Bermuda, which currently has no corporate income tax, or in many other countries in which we conduct activities or in which our customers or containers are located. However, this belief is based on the anticipated nature and conduct of our business, which may change. It is also based on our understanding of our position under the tax laws of the countries in which we have assets or conduct activities. This position is subject to review and possible challenge by taxing authorities and to possible changes in law that may have retroactive effect.</w:t>
      </w:r>
    </w:p>
    <w:p>
      <w:pPr>
        <w:spacing w:after="0" w:line="161" w:lineRule="exact"/>
        <w:rPr>
          <w:sz w:val="20"/>
          <w:szCs w:val="20"/>
          <w:color w:val="auto"/>
        </w:rPr>
      </w:pPr>
    </w:p>
    <w:p>
      <w:pPr>
        <w:ind w:right="200" w:firstLine="440"/>
        <w:spacing w:after="0" w:line="263" w:lineRule="auto"/>
        <w:rPr>
          <w:sz w:val="20"/>
          <w:szCs w:val="20"/>
          <w:color w:val="auto"/>
        </w:rPr>
      </w:pPr>
      <w:r>
        <w:rPr>
          <w:rFonts w:ascii="Arial" w:cs="Arial" w:eastAsia="Arial" w:hAnsi="Arial"/>
          <w:sz w:val="18"/>
          <w:szCs w:val="18"/>
          <w:color w:val="auto"/>
        </w:rPr>
        <w:t>A portion of our income is treated as effectively connected with our conduct of a trade or business within the U.S., and is accordingly subject to U.S. federal income tax. It is possible that the IRS may challenge that a greater portion of our income is effectively connected income that should be subject to U.S. federal income tax.</w:t>
      </w:r>
    </w:p>
    <w:p>
      <w:pPr>
        <w:spacing w:after="0" w:line="184" w:lineRule="exact"/>
        <w:rPr>
          <w:sz w:val="20"/>
          <w:szCs w:val="20"/>
          <w:color w:val="auto"/>
        </w:rPr>
      </w:pPr>
    </w:p>
    <w:p>
      <w:pPr>
        <w:jc w:val="center"/>
        <w:ind w:left="720" w:right="160"/>
        <w:spacing w:after="0" w:line="449" w:lineRule="auto"/>
        <w:rPr>
          <w:sz w:val="20"/>
          <w:szCs w:val="20"/>
          <w:color w:val="auto"/>
        </w:rPr>
      </w:pPr>
      <w:r>
        <w:rPr>
          <w:rFonts w:ascii="Arial" w:cs="Arial" w:eastAsia="Arial" w:hAnsi="Arial"/>
          <w:sz w:val="18"/>
          <w:szCs w:val="18"/>
          <w:color w:val="auto"/>
        </w:rPr>
        <w:t>Our results of operations could be materially and adversely affected if we become subject to a significant amount of unanticipated tax liabilities. 27</w:t>
      </w:r>
    </w:p>
    <w:p>
      <w:pPr>
        <w:sectPr>
          <w:pgSz w:w="11900" w:h="16838" w:orient="portrait"/>
          <w:cols w:equalWidth="0" w:num="1">
            <w:col w:w="10980"/>
          </w:cols>
          <w:pgMar w:left="440" w:top="274" w:right="479" w:bottom="1440" w:gutter="0" w:footer="0" w:header="0"/>
        </w:sectPr>
      </w:pPr>
    </w:p>
    <w:bookmarkStart w:id="41" w:name="page42"/>
    <w:bookmarkEnd w:id="41"/>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7174865" cy="38735"/>
                    </a:xfrm>
                    <a:prstGeom prst="rect">
                      <a:avLst/>
                    </a:prstGeom>
                    <a:noFill/>
                  </pic:spPr>
                </pic:pic>
              </a:graphicData>
            </a:graphic>
          </wp:anchor>
        </w:drawing>
        <w:t>Our U.S. subsidiaries may be treated as personal holding companies for U.S. federal tax purposes now or in the future.</w:t>
      </w:r>
    </w:p>
    <w:p>
      <w:pPr>
        <w:spacing w:after="0" w:line="229" w:lineRule="exact"/>
        <w:rPr>
          <w:sz w:val="20"/>
          <w:szCs w:val="20"/>
          <w:color w:val="auto"/>
        </w:rPr>
      </w:pPr>
    </w:p>
    <w:p>
      <w:pPr>
        <w:ind w:firstLine="440"/>
        <w:spacing w:after="0" w:line="253" w:lineRule="auto"/>
        <w:rPr>
          <w:sz w:val="20"/>
          <w:szCs w:val="20"/>
          <w:color w:val="auto"/>
        </w:rPr>
      </w:pPr>
      <w:r>
        <w:rPr>
          <w:rFonts w:ascii="Arial" w:cs="Arial" w:eastAsia="Arial" w:hAnsi="Arial"/>
          <w:sz w:val="18"/>
          <w:szCs w:val="18"/>
          <w:color w:val="auto"/>
        </w:rPr>
        <w:t xml:space="preserve">Any of our direct or indirect U.S. subsidiaries could be subject to additional U.S. tax on a portion of its income if it is considered to be a personal holding company (“PHC”) for U.S. federal income tax purposes. This status depends on whether more than 50% of the subsidiary’s shares by value could be deemed to be owned (taking into account constructive ownership rules) by five or fewer individuals and whether 60% or more of the subsidiary’s adjusted ordinary gross income consists of “personal holding company income,” which includes certain forms of passive and investment income. The PHC rules do not apply to non-U.S. corporations. We believe that none of our U.S. subsidiaries should be considered PHCs. In addition, we intend to cause our U.S. subsidiaries to manage their affairs in a manner that reduces the possibility that they will meet the 60% income threshold. However, because of the lack of complete information regarding our ultimate share ownership </w:t>
      </w:r>
      <w:r>
        <w:rPr>
          <w:rFonts w:ascii="Arial" w:cs="Arial" w:eastAsia="Arial" w:hAnsi="Arial"/>
          <w:sz w:val="18"/>
          <w:szCs w:val="18"/>
          <w:i w:val="1"/>
          <w:iCs w:val="1"/>
          <w:color w:val="auto"/>
        </w:rPr>
        <w:t>(i.e.,</w:t>
      </w:r>
      <w:r>
        <w:rPr>
          <w:rFonts w:ascii="Arial" w:cs="Arial" w:eastAsia="Arial" w:hAnsi="Arial"/>
          <w:sz w:val="18"/>
          <w:szCs w:val="18"/>
          <w:color w:val="auto"/>
        </w:rPr>
        <w:t xml:space="preserve"> particularly as determined by constructive ownership rules), our U.S. subsidiaries may become PHCs in the future and, in that event, the amount of U.S. federal income tax that would be imposed could be material.</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Changes in tax laws or their application could adversely affect the results of our operations.</w:t>
      </w:r>
    </w:p>
    <w:p>
      <w:pPr>
        <w:spacing w:after="0" w:line="229" w:lineRule="exact"/>
        <w:rPr>
          <w:sz w:val="20"/>
          <w:szCs w:val="20"/>
          <w:color w:val="auto"/>
        </w:rPr>
      </w:pPr>
    </w:p>
    <w:p>
      <w:pPr>
        <w:ind w:right="120" w:firstLine="440"/>
        <w:spacing w:after="0" w:line="296" w:lineRule="auto"/>
        <w:rPr>
          <w:sz w:val="20"/>
          <w:szCs w:val="20"/>
          <w:color w:val="auto"/>
        </w:rPr>
      </w:pPr>
      <w:r>
        <w:rPr>
          <w:rFonts w:ascii="Arial" w:cs="Arial" w:eastAsia="Arial" w:hAnsi="Arial"/>
          <w:sz w:val="16"/>
          <w:szCs w:val="16"/>
          <w:color w:val="auto"/>
        </w:rPr>
        <w:t>Our worldwide operations are taxed under the laws of the jurisdictions in which we operate. However, the integrated nature of our worldwide operations can produce conflicting claims from revenue authorities in different countries as to the profits to be taxed in the individual countries, including disputes relating to transfer pricing. Some of the jurisdictions in which we operate have double tax treaties with other foreign jurisdictions, which provide a framework for mitigating the impact of double taxation on our revenues and capital gains. However, mechanisms developed to resolve such conflicting claims are largely uncertain, and can be expected to be very lengthy in coming to a final determination in the applicable jurisdictions.</w:t>
      </w:r>
    </w:p>
    <w:p>
      <w:pPr>
        <w:spacing w:after="0" w:line="161" w:lineRule="exact"/>
        <w:rPr>
          <w:sz w:val="20"/>
          <w:szCs w:val="20"/>
          <w:color w:val="auto"/>
        </w:rPr>
      </w:pPr>
    </w:p>
    <w:p>
      <w:pPr>
        <w:jc w:val="both"/>
        <w:ind w:right="220" w:firstLine="440"/>
        <w:spacing w:after="0" w:line="311" w:lineRule="auto"/>
        <w:rPr>
          <w:sz w:val="20"/>
          <w:szCs w:val="20"/>
          <w:color w:val="auto"/>
        </w:rPr>
      </w:pPr>
      <w:r>
        <w:rPr>
          <w:rFonts w:ascii="Arial" w:cs="Arial" w:eastAsia="Arial" w:hAnsi="Arial"/>
          <w:sz w:val="16"/>
          <w:szCs w:val="16"/>
          <w:color w:val="auto"/>
        </w:rPr>
        <w:t>In recent years, tax authorities around the world have increased their scrutiny of company tax filings, and have become more rigid in exercising any discretion they may have. As part of this, the Organization for Economic Cooperation and Development (“OECD”) has proposed a number of tax law changes under its Base Erosion and Profit Shifting (“BEPS”) Action Plans to address issues of transparency, coherence and substance.</w:t>
      </w:r>
    </w:p>
    <w:p>
      <w:pPr>
        <w:spacing w:after="0" w:line="149" w:lineRule="exact"/>
        <w:rPr>
          <w:sz w:val="20"/>
          <w:szCs w:val="20"/>
          <w:color w:val="auto"/>
        </w:rPr>
      </w:pPr>
    </w:p>
    <w:p>
      <w:pPr>
        <w:ind w:right="240" w:firstLine="440"/>
        <w:spacing w:after="0" w:line="272" w:lineRule="auto"/>
        <w:rPr>
          <w:sz w:val="20"/>
          <w:szCs w:val="20"/>
          <w:color w:val="auto"/>
        </w:rPr>
      </w:pPr>
      <w:r>
        <w:rPr>
          <w:rFonts w:ascii="Arial" w:cs="Arial" w:eastAsia="Arial" w:hAnsi="Arial"/>
          <w:sz w:val="17"/>
          <w:szCs w:val="17"/>
          <w:color w:val="auto"/>
        </w:rPr>
        <w:t>These OECD tax reform initiatives also need local country implementation, including in Bermuda and the U.S., which may result in significant changes to established tax principles. In response to EU efforts to investigate the tax policies of non-EU jurisdictions, effective December 31, 2018 Bermuda adopted the Economic Substance Act of 2018, which requires that Bermuda registered entities engaged in certain relevant activities (which include finance, leasing and shipping) maintain sufficient economic substance and activities in Bermuda. The failure to comply with the Economic Substance Act may result in fines and penalties and ultimately the striking off of an entity from the Bermuda corporate register. We may be unable to comply with the Economic Substance Act or compliance with the act may materially adversely impact our operations and results. Penalties for noncompliance could adversely affect our operations and results.</w:t>
      </w:r>
    </w:p>
    <w:p>
      <w:pPr>
        <w:spacing w:after="0" w:line="177" w:lineRule="exact"/>
        <w:rPr>
          <w:sz w:val="20"/>
          <w:szCs w:val="20"/>
          <w:color w:val="auto"/>
        </w:rPr>
      </w:pPr>
    </w:p>
    <w:p>
      <w:pPr>
        <w:ind w:right="120" w:firstLine="440"/>
        <w:spacing w:after="0" w:line="254" w:lineRule="auto"/>
        <w:rPr>
          <w:sz w:val="20"/>
          <w:szCs w:val="20"/>
          <w:color w:val="auto"/>
        </w:rPr>
      </w:pPr>
      <w:r>
        <w:rPr>
          <w:rFonts w:ascii="Arial" w:cs="Arial" w:eastAsia="Arial" w:hAnsi="Arial"/>
          <w:sz w:val="18"/>
          <w:szCs w:val="18"/>
          <w:color w:val="auto"/>
        </w:rPr>
        <w:t>On March 27, 2020, the US Coronavirus Aid, Relief, and Economic Security Act (“CARES”) of 2020 was signed into law. For applicable impacted years, the CARES Act introduced measures such as (1) additional carryback years as well as the elimination of the 80% taxable income limitation on net operating losses (“NOL”) usage; (2) enhanced interest deductibility on 163(j) business interest expense (raising adjusted taxable income deduction limit threshold from 30% to 50%); (3) accelerated AMT credit refunds; (4) retroactive technical correction of qualified improvement property costs recovery period; (5) enhanced deductibility of charitable contributions from 10% taxable income limitation to 25%; and (6) introduced payroll tax deferral programs and loan forgiveness programs (Paycheck Protection Program). None of these measures have a material impact on the Company’s tax situation.</w:t>
      </w:r>
    </w:p>
    <w:p>
      <w:pPr>
        <w:spacing w:after="0" w:line="195" w:lineRule="exact"/>
        <w:rPr>
          <w:sz w:val="20"/>
          <w:szCs w:val="20"/>
          <w:color w:val="auto"/>
        </w:rPr>
      </w:pPr>
    </w:p>
    <w:p>
      <w:pPr>
        <w:ind w:right="160" w:firstLine="440"/>
        <w:spacing w:after="0" w:line="259" w:lineRule="auto"/>
        <w:rPr>
          <w:sz w:val="20"/>
          <w:szCs w:val="20"/>
          <w:color w:val="auto"/>
        </w:rPr>
      </w:pPr>
      <w:r>
        <w:rPr>
          <w:rFonts w:ascii="Arial" w:cs="Arial" w:eastAsia="Arial" w:hAnsi="Arial"/>
          <w:sz w:val="18"/>
          <w:szCs w:val="18"/>
          <w:color w:val="auto"/>
        </w:rPr>
        <w:t>In general, such tax reform efforts, including with respect to tax base or rate, transfer pricing, intercompany dividends, cross border transactions, controlled corporations, and limitations on tax relief allowed on the interest on intercompany debt, will require us to continually assess our organizational structure against tax policy trends, and could lead to an increased risk of international tax disputes and an increase in our effective tax rate, and could adversely affect our financial results.</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28</w:t>
      </w:r>
    </w:p>
    <w:p>
      <w:pPr>
        <w:sectPr>
          <w:pgSz w:w="11900" w:h="16838" w:orient="portrait"/>
          <w:cols w:equalWidth="0" w:num="1">
            <w:col w:w="11000"/>
          </w:cols>
          <w:pgMar w:left="440" w:top="270" w:right="459" w:bottom="1440" w:gutter="0" w:footer="0" w:header="0"/>
        </w:sectPr>
      </w:pPr>
    </w:p>
    <w:bookmarkStart w:id="42" w:name="page43"/>
    <w:bookmarkEnd w:id="42"/>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174865" cy="38735"/>
                    </a:xfrm>
                    <a:prstGeom prst="rect">
                      <a:avLst/>
                    </a:prstGeom>
                    <a:noFill/>
                  </pic:spPr>
                </pic:pic>
              </a:graphicData>
            </a:graphic>
          </wp:anchor>
        </w:drawing>
        <w:t>Our ability to use our net operating losses to offset future taxable income may be subject to certain limitations.</w:t>
      </w:r>
    </w:p>
    <w:p>
      <w:pPr>
        <w:spacing w:after="0" w:line="229" w:lineRule="exact"/>
        <w:rPr>
          <w:sz w:val="20"/>
          <w:szCs w:val="20"/>
          <w:color w:val="auto"/>
        </w:rPr>
      </w:pPr>
    </w:p>
    <w:p>
      <w:pPr>
        <w:ind w:right="280" w:firstLine="440"/>
        <w:spacing w:after="0" w:line="263" w:lineRule="auto"/>
        <w:rPr>
          <w:sz w:val="20"/>
          <w:szCs w:val="20"/>
          <w:color w:val="auto"/>
        </w:rPr>
      </w:pPr>
      <w:r>
        <w:rPr>
          <w:rFonts w:ascii="Arial" w:cs="Arial" w:eastAsia="Arial" w:hAnsi="Arial"/>
          <w:sz w:val="18"/>
          <w:szCs w:val="18"/>
          <w:color w:val="auto"/>
        </w:rPr>
        <w:t>We have significant net operating loss carry-forwards in the United States. As of December 31, 2020, we had net operating loss carry-forwards relating to U.S. federal income taxes; $106,151 which will begin to expire from December 31, 2021 through December 31, 2037 if not utilized and $25,279 has no expiration date.</w:t>
      </w:r>
    </w:p>
    <w:p>
      <w:pPr>
        <w:spacing w:after="0" w:line="184" w:lineRule="exact"/>
        <w:rPr>
          <w:sz w:val="20"/>
          <w:szCs w:val="20"/>
          <w:color w:val="auto"/>
        </w:rPr>
      </w:pPr>
    </w:p>
    <w:p>
      <w:pPr>
        <w:ind w:right="20" w:firstLine="440"/>
        <w:spacing w:after="0" w:line="289" w:lineRule="auto"/>
        <w:rPr>
          <w:sz w:val="20"/>
          <w:szCs w:val="20"/>
          <w:color w:val="auto"/>
        </w:rPr>
      </w:pPr>
      <w:r>
        <w:rPr>
          <w:rFonts w:ascii="Arial" w:cs="Arial" w:eastAsia="Arial" w:hAnsi="Arial"/>
          <w:sz w:val="16"/>
          <w:szCs w:val="16"/>
          <w:color w:val="auto"/>
        </w:rPr>
        <w:t>In the United States, utilization of these net operating loss carry-forwards for federal income tax purposes may be subject to an annual limitation if there is an ownership change within the meaning of Section 382 of the Internal Revenue Code (“Section 382”). In general, an ownership change within the meaning of Section 382 occurs if a transaction or series of transactions over a three-year period result in a cumulative change of more than 50% in the beneficial ownership of a company’s stock. We do not believe we have a limitation on the ability to utilize our net operating loss carry-forwards under Section 382 as of December 31, 2020. However, issuances, sales and/or exchanges of our stock (including, potentially, relatively small transactions and transactions beyond our control) occurring after December 31, 2020, taken together with prior transactions with respect to our stock over a three-year period, could trigger an ownership change under Section 382 in the future and therefore a limitation on our ability to utilize our net operating loss carryforwards. Any such limitation could cause some loss carryforwards to expire before we would be able to utilize them to reduce taxable income in future periods, possibly resulting in a substantial income tax expense or write down of our tax assets or both.</w:t>
      </w:r>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The calculation of our income tax expense requires judgment and the use of estimates.</w:t>
      </w:r>
    </w:p>
    <w:p>
      <w:pPr>
        <w:spacing w:after="0" w:line="229" w:lineRule="exact"/>
        <w:rPr>
          <w:sz w:val="20"/>
          <w:szCs w:val="20"/>
          <w:color w:val="auto"/>
        </w:rPr>
      </w:pPr>
    </w:p>
    <w:p>
      <w:pPr>
        <w:ind w:right="40" w:firstLine="440"/>
        <w:spacing w:after="0" w:line="272" w:lineRule="auto"/>
        <w:rPr>
          <w:sz w:val="20"/>
          <w:szCs w:val="20"/>
          <w:color w:val="auto"/>
        </w:rPr>
      </w:pPr>
      <w:r>
        <w:rPr>
          <w:rFonts w:ascii="Arial" w:cs="Arial" w:eastAsia="Arial" w:hAnsi="Arial"/>
          <w:sz w:val="17"/>
          <w:szCs w:val="17"/>
          <w:color w:val="auto"/>
        </w:rPr>
        <w:t>We periodically assess tax positions based on current tax developments, including enacted statutory, judicial, and regulatory guidance. In analyzing our overall tax position, consideration is given to the amount and timing of recognizing income tax liabilities and benefits. In applying the tax and accounting guidance to the facts and circumstances, income tax balances are adjusted appropriately through the income tax provision. We account for income tax positions on uncertainties by recognizing the effect of income tax positions only if those positions are more likely than not of being sustained and maintain reserves for income tax positions we believe are not more likely than not of being sustained. Recognized income tax positions are measured at the largest amount that is greater than 50% likely of being realized. However, due to the judgment required in estimating those reserves, actual amounts paid, if any, could differ from these estimates.</w:t>
      </w:r>
    </w:p>
    <w:p>
      <w:pPr>
        <w:spacing w:after="0" w:line="393" w:lineRule="exact"/>
        <w:rPr>
          <w:sz w:val="20"/>
          <w:szCs w:val="20"/>
          <w:color w:val="auto"/>
        </w:rPr>
      </w:pPr>
    </w:p>
    <w:p>
      <w:pPr>
        <w:jc w:val="center"/>
        <w:spacing w:after="0"/>
        <w:rPr>
          <w:sz w:val="20"/>
          <w:szCs w:val="20"/>
          <w:color w:val="auto"/>
        </w:rPr>
      </w:pPr>
      <w:r>
        <w:rPr>
          <w:rFonts w:ascii="Arial" w:cs="Arial" w:eastAsia="Arial" w:hAnsi="Arial"/>
          <w:sz w:val="18"/>
          <w:szCs w:val="18"/>
          <w:b w:val="1"/>
          <w:bCs w:val="1"/>
          <w:i w:val="1"/>
          <w:iCs w:val="1"/>
          <w:color w:val="auto"/>
        </w:rPr>
        <w:t>Risks Related to Our Common Shares and Public Listings</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We may not be able to resume paying a dividend and any dividends paid in the future could be reduced or eliminated.</w:t>
      </w:r>
    </w:p>
    <w:p>
      <w:pPr>
        <w:spacing w:after="0" w:line="229" w:lineRule="exact"/>
        <w:rPr>
          <w:sz w:val="20"/>
          <w:szCs w:val="20"/>
          <w:color w:val="auto"/>
        </w:rPr>
      </w:pPr>
    </w:p>
    <w:p>
      <w:pPr>
        <w:ind w:firstLine="440"/>
        <w:spacing w:after="0" w:line="287" w:lineRule="auto"/>
        <w:rPr>
          <w:sz w:val="20"/>
          <w:szCs w:val="20"/>
          <w:color w:val="auto"/>
        </w:rPr>
      </w:pPr>
      <w:r>
        <w:rPr>
          <w:rFonts w:ascii="Arial" w:cs="Arial" w:eastAsia="Arial" w:hAnsi="Arial"/>
          <w:sz w:val="16"/>
          <w:szCs w:val="16"/>
          <w:color w:val="auto"/>
        </w:rPr>
        <w:t>We eliminated our dividend payment in the fourth quarter of 2016. We may not be able or may choose not to reinstate our dividend program and pay future dividends, and if reinstated any future dividend could again be eliminated or reduced. The declaration, amount and payment of future dividends are at the discretion of our board of directors and will be dependent on our future operating results and the cash requirements of our business. There are a number of factors that can affect our ability to pay dividends and there is no guarantee that we will pay dividends in any given year, in each quarter of a year, or pay any specific amount of dividends. In addition, we will not pay dividends in the event we are not allowed to do so under Bermuda law, are in default under (or such payment would cause a default under) TL’s revolving credit facilities or term loan, or if such payment would cause us to breach any of our covenants. These covenants include certain financial covenants, which would be directly affected by the payment of dividends, such as a maximum ratio of consolidated funded debt to consolidated tangible net worth (which amount would decrease by the amount of any dividend paid). The reduction, suspension or elimination of dividends may negatively affect the market price of our common shares. Furthermore, since we are a holding company, substantially all of the assets shown on our consolidated balance sheet are held by our subsidiaries. Accordingly, our earnings and cash flow and our ability to pay dividends are largely dependent upon the earnings and cash flows of our subsidiaries and the distribution or other payment of such earnings to us in the form of dividends as permitted under our lending agreements.</w:t>
      </w:r>
    </w:p>
    <w:p>
      <w:pPr>
        <w:spacing w:after="0" w:line="10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29</w:t>
      </w:r>
    </w:p>
    <w:p>
      <w:pPr>
        <w:sectPr>
          <w:pgSz w:w="11900" w:h="16838" w:orient="portrait"/>
          <w:cols w:equalWidth="0" w:num="1">
            <w:col w:w="11000"/>
          </w:cols>
          <w:pgMar w:left="440" w:top="270" w:right="459" w:bottom="1440" w:gutter="0" w:footer="0" w:header="0"/>
        </w:sectPr>
      </w:pPr>
    </w:p>
    <w:bookmarkStart w:id="43" w:name="page44"/>
    <w:bookmarkEnd w:id="43"/>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We face risks from our share repurchase program.</w:t>
      </w:r>
    </w:p>
    <w:p>
      <w:pPr>
        <w:spacing w:after="0" w:line="229" w:lineRule="exact"/>
        <w:rPr>
          <w:sz w:val="20"/>
          <w:szCs w:val="20"/>
          <w:color w:val="auto"/>
        </w:rPr>
      </w:pPr>
    </w:p>
    <w:p>
      <w:pPr>
        <w:ind w:firstLine="440"/>
        <w:spacing w:after="0" w:line="289" w:lineRule="auto"/>
        <w:rPr>
          <w:sz w:val="20"/>
          <w:szCs w:val="20"/>
          <w:color w:val="auto"/>
        </w:rPr>
      </w:pPr>
      <w:r>
        <w:rPr>
          <w:rFonts w:ascii="Arial" w:cs="Arial" w:eastAsia="Arial" w:hAnsi="Arial"/>
          <w:sz w:val="16"/>
          <w:szCs w:val="16"/>
          <w:color w:val="auto"/>
        </w:rPr>
        <w:t>In September 2019 we announced a share repurchase program to repurchase up to $25 million of our shares, in March 2020 we announced an increase by another $25 million to this program and in September 2020 we further increased the program by $50 million. Purchases under this program are at our discretion and we may not purchase all $100 million of shares under the program. This program may be increased, reduced, or terminated at any time by us. Share repurchases may reduce our financial flexibility, limit our ability to reduce debt, limit our ability to resume a dividend program and may reduce our funds available for container investments. Using funds to repurchase shares could cause our debt to equity ratio to increase and may impair our ability to comply with the financial covenants in our debt agreements. Share repurchases may also reduce the number of shares available for other investors to purchase in the market which could add to share price volatility for our stock. We face these and other risks related to share repurchases. During 2020 and 2019, the Company repurchased approximately 6,736,493 and 879,000 shares, respectively, for a total amount of approximately $68.5 million and $8.6 million, respectively. The Company did not repurchase any of its common shares during 2018.</w:t>
      </w:r>
    </w:p>
    <w:p>
      <w:pPr>
        <w:spacing w:after="0" w:line="162" w:lineRule="exact"/>
        <w:rPr>
          <w:sz w:val="20"/>
          <w:szCs w:val="20"/>
          <w:color w:val="auto"/>
        </w:rPr>
      </w:pPr>
    </w:p>
    <w:p>
      <w:pPr>
        <w:ind w:right="200"/>
        <w:spacing w:after="0" w:line="282" w:lineRule="auto"/>
        <w:rPr>
          <w:sz w:val="20"/>
          <w:szCs w:val="20"/>
          <w:color w:val="auto"/>
        </w:rPr>
      </w:pPr>
      <w:r>
        <w:rPr>
          <w:rFonts w:ascii="Arial" w:cs="Arial" w:eastAsia="Arial" w:hAnsi="Arial"/>
          <w:sz w:val="18"/>
          <w:szCs w:val="18"/>
          <w:b w:val="1"/>
          <w:bCs w:val="1"/>
          <w:color w:val="auto"/>
        </w:rPr>
        <w:t>Future changes in accounting rules could significantly impact how we, our managed fleet container investors, and our customers account for our leases.</w:t>
      </w:r>
    </w:p>
    <w:p>
      <w:pPr>
        <w:spacing w:after="0" w:line="166" w:lineRule="exact"/>
        <w:rPr>
          <w:sz w:val="20"/>
          <w:szCs w:val="20"/>
          <w:color w:val="auto"/>
        </w:rPr>
      </w:pPr>
    </w:p>
    <w:p>
      <w:pPr>
        <w:ind w:right="40" w:firstLine="440"/>
        <w:spacing w:after="0" w:line="268" w:lineRule="auto"/>
        <w:rPr>
          <w:sz w:val="20"/>
          <w:szCs w:val="20"/>
          <w:color w:val="auto"/>
        </w:rPr>
      </w:pPr>
      <w:r>
        <w:rPr>
          <w:rFonts w:ascii="Arial" w:cs="Arial" w:eastAsia="Arial" w:hAnsi="Arial"/>
          <w:sz w:val="17"/>
          <w:szCs w:val="17"/>
          <w:color w:val="auto"/>
        </w:rPr>
        <w:t xml:space="preserve">Our consolidated financial statements are prepared in accordance with U.S. GAAP. In February 2016, the Financial Accounting Standards Board (“FASB”) issued Accounting Standards Update No. 2016-02, </w:t>
      </w:r>
      <w:r>
        <w:rPr>
          <w:rFonts w:ascii="Arial" w:cs="Arial" w:eastAsia="Arial" w:hAnsi="Arial"/>
          <w:sz w:val="17"/>
          <w:szCs w:val="17"/>
          <w:i w:val="1"/>
          <w:iCs w:val="1"/>
          <w:color w:val="auto"/>
        </w:rPr>
        <w:t>Leases (Topic 842)</w:t>
      </w:r>
      <w:r>
        <w:rPr>
          <w:rFonts w:ascii="Arial" w:cs="Arial" w:eastAsia="Arial" w:hAnsi="Arial"/>
          <w:sz w:val="17"/>
          <w:szCs w:val="17"/>
          <w:color w:val="auto"/>
        </w:rPr>
        <w:t xml:space="preserve"> (“ASU 2016-02”) which was adopted by the Company on January 1, 2019. Under this new guidance, lessor accounting is largely unchanged. Certain targeted improvements were made to align, where necessary, lessor accounting with the lessee accounting model and Topic 606, </w:t>
      </w:r>
      <w:r>
        <w:rPr>
          <w:rFonts w:ascii="Arial" w:cs="Arial" w:eastAsia="Arial" w:hAnsi="Arial"/>
          <w:sz w:val="17"/>
          <w:szCs w:val="17"/>
          <w:i w:val="1"/>
          <w:iCs w:val="1"/>
          <w:color w:val="auto"/>
        </w:rPr>
        <w:t>Revenue from Contracts with Customers.</w:t>
      </w:r>
      <w:r>
        <w:rPr>
          <w:rFonts w:ascii="Arial" w:cs="Arial" w:eastAsia="Arial" w:hAnsi="Arial"/>
          <w:sz w:val="17"/>
          <w:szCs w:val="17"/>
          <w:color w:val="auto"/>
        </w:rPr>
        <w:t xml:space="preserve"> Lessees were required to recognize the following for all leases (with the exception of short-term leases) at the commencement date: (1) a lease liability, which is a lessee’s obligation to make lease payments arising from a lease, measured on a discounted basis; and (2) a right-of-use asset, which is an asset that represents the lessee’s right to use, or control the use of, a specified asset for the lease term. The new lease guidance also simplified the accounting for sale and leaseback transactions primarily because lessees must recognize lease assets and lease liabilities. Lessees will no longer be provided with a source of off-balance sheet financing. Additionally, IFRS has issued similar changes to lease accounting under IFRS 16 Leases. Because the new leasing guidance virtually eliminates for lessees the financial statement benefit of entering into operating leases, it could change the way we and our customers conduct our businesses. Future changes in accounting rules will also impact container investors whose containers are managed by us. The accounting of these changes could make it more difficult for such container investors to raise funding and may also make managed container programs less attractive to container investors.</w:t>
      </w:r>
    </w:p>
    <w:p>
      <w:pPr>
        <w:spacing w:after="0" w:line="182" w:lineRule="exact"/>
        <w:rPr>
          <w:sz w:val="20"/>
          <w:szCs w:val="20"/>
          <w:color w:val="auto"/>
        </w:rPr>
      </w:pPr>
    </w:p>
    <w:p>
      <w:pPr>
        <w:ind w:right="480"/>
        <w:spacing w:after="0" w:line="282" w:lineRule="auto"/>
        <w:rPr>
          <w:sz w:val="20"/>
          <w:szCs w:val="20"/>
          <w:color w:val="auto"/>
        </w:rPr>
      </w:pPr>
      <w:r>
        <w:rPr>
          <w:rFonts w:ascii="Arial" w:cs="Arial" w:eastAsia="Arial" w:hAnsi="Arial"/>
          <w:sz w:val="18"/>
          <w:szCs w:val="18"/>
          <w:b w:val="1"/>
          <w:bCs w:val="1"/>
          <w:color w:val="auto"/>
        </w:rPr>
        <w:t>The market price and trading volume of our common shares, which may be affected by market conditions beyond our control, have been volatile and could continue to remain volatile.</w:t>
      </w:r>
    </w:p>
    <w:p>
      <w:pPr>
        <w:spacing w:after="0" w:line="166" w:lineRule="exact"/>
        <w:rPr>
          <w:sz w:val="20"/>
          <w:szCs w:val="20"/>
          <w:color w:val="auto"/>
        </w:rPr>
      </w:pPr>
    </w:p>
    <w:p>
      <w:pPr>
        <w:ind w:firstLine="440"/>
        <w:spacing w:after="0" w:line="255" w:lineRule="auto"/>
        <w:rPr>
          <w:sz w:val="20"/>
          <w:szCs w:val="20"/>
          <w:color w:val="auto"/>
        </w:rPr>
      </w:pPr>
      <w:r>
        <w:rPr>
          <w:rFonts w:ascii="Arial" w:cs="Arial" w:eastAsia="Arial" w:hAnsi="Arial"/>
          <w:sz w:val="18"/>
          <w:szCs w:val="18"/>
          <w:color w:val="auto"/>
        </w:rPr>
        <w:t>The market price of our common shares has been and may continue to be highly volatile and subject to wide fluctuations. In addition, the trading volume in our common shares has fluctuated and may continue to fluctuate, causing significant price variations to occur. Since our initial public offering, our common shares have fluctuated from an intra-day low of $4.23 per share to an intra-day high of $43.96 per share. If the market price of the shares declines significantly, the value of an investment in our common shares would decline. The market price of our common shares may fluctuate or decline significantly in the future. Some of the factors that could negatively affect the price of our common shares or result in fluctuations in the price or trading volume of our common shares include:</w:t>
      </w:r>
    </w:p>
    <w:p>
      <w:pPr>
        <w:spacing w:after="0" w:line="98" w:lineRule="exact"/>
        <w:rPr>
          <w:sz w:val="20"/>
          <w:szCs w:val="20"/>
          <w:color w:val="auto"/>
        </w:rPr>
      </w:pPr>
    </w:p>
    <w:p>
      <w:pPr>
        <w:ind w:left="960" w:hanging="532"/>
        <w:spacing w:after="0"/>
        <w:tabs>
          <w:tab w:leader="none" w:pos="960" w:val="left"/>
        </w:tabs>
        <w:numPr>
          <w:ilvl w:val="0"/>
          <w:numId w:val="28"/>
        </w:numPr>
        <w:rPr>
          <w:rFonts w:ascii="Arial" w:cs="Arial" w:eastAsia="Arial" w:hAnsi="Arial"/>
          <w:sz w:val="18"/>
          <w:szCs w:val="18"/>
          <w:color w:val="auto"/>
        </w:rPr>
      </w:pPr>
      <w:r>
        <w:rPr>
          <w:rFonts w:ascii="Arial" w:cs="Arial" w:eastAsia="Arial" w:hAnsi="Arial"/>
          <w:sz w:val="18"/>
          <w:szCs w:val="18"/>
          <w:color w:val="auto"/>
        </w:rPr>
        <w:t>variations in our quarterly operating results;</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28"/>
        </w:numPr>
        <w:rPr>
          <w:rFonts w:ascii="Arial" w:cs="Arial" w:eastAsia="Arial" w:hAnsi="Arial"/>
          <w:sz w:val="18"/>
          <w:szCs w:val="18"/>
          <w:color w:val="auto"/>
        </w:rPr>
      </w:pPr>
      <w:r>
        <w:rPr>
          <w:rFonts w:ascii="Arial" w:cs="Arial" w:eastAsia="Arial" w:hAnsi="Arial"/>
          <w:sz w:val="18"/>
          <w:szCs w:val="18"/>
          <w:color w:val="auto"/>
        </w:rPr>
        <w:t>failure to meet analysts’ earnings estimates;</w:t>
      </w:r>
    </w:p>
    <w:p>
      <w:pPr>
        <w:spacing w:after="0" w:line="130" w:lineRule="exact"/>
        <w:rPr>
          <w:rFonts w:ascii="Arial" w:cs="Arial" w:eastAsia="Arial" w:hAnsi="Arial"/>
          <w:sz w:val="18"/>
          <w:szCs w:val="18"/>
          <w:color w:val="auto"/>
        </w:rPr>
      </w:pPr>
    </w:p>
    <w:p>
      <w:pPr>
        <w:ind w:left="960" w:right="240" w:hanging="532"/>
        <w:spacing w:after="0" w:line="277" w:lineRule="auto"/>
        <w:tabs>
          <w:tab w:leader="none" w:pos="960" w:val="left"/>
        </w:tabs>
        <w:numPr>
          <w:ilvl w:val="0"/>
          <w:numId w:val="28"/>
        </w:numPr>
        <w:rPr>
          <w:rFonts w:ascii="Arial" w:cs="Arial" w:eastAsia="Arial" w:hAnsi="Arial"/>
          <w:sz w:val="18"/>
          <w:szCs w:val="18"/>
          <w:color w:val="auto"/>
        </w:rPr>
      </w:pPr>
      <w:r>
        <w:rPr>
          <w:rFonts w:ascii="Arial" w:cs="Arial" w:eastAsia="Arial" w:hAnsi="Arial"/>
          <w:sz w:val="18"/>
          <w:szCs w:val="18"/>
          <w:color w:val="auto"/>
        </w:rPr>
        <w:t>publication of research reports about us, other intermodal container lessors or the container shipping industry or the failure of securities analysts to cover our common shares or our industry;</w:t>
      </w:r>
    </w:p>
    <w:p>
      <w:pPr>
        <w:spacing w:after="0" w:line="75" w:lineRule="exact"/>
        <w:rPr>
          <w:rFonts w:ascii="Arial" w:cs="Arial" w:eastAsia="Arial" w:hAnsi="Arial"/>
          <w:sz w:val="18"/>
          <w:szCs w:val="18"/>
          <w:color w:val="auto"/>
        </w:rPr>
      </w:pPr>
    </w:p>
    <w:p>
      <w:pPr>
        <w:ind w:left="960" w:hanging="532"/>
        <w:spacing w:after="0"/>
        <w:tabs>
          <w:tab w:leader="none" w:pos="960" w:val="left"/>
        </w:tabs>
        <w:numPr>
          <w:ilvl w:val="0"/>
          <w:numId w:val="28"/>
        </w:numPr>
        <w:rPr>
          <w:rFonts w:ascii="Arial" w:cs="Arial" w:eastAsia="Arial" w:hAnsi="Arial"/>
          <w:sz w:val="18"/>
          <w:szCs w:val="18"/>
          <w:color w:val="auto"/>
        </w:rPr>
      </w:pPr>
      <w:r>
        <w:rPr>
          <w:rFonts w:ascii="Arial" w:cs="Arial" w:eastAsia="Arial" w:hAnsi="Arial"/>
          <w:sz w:val="18"/>
          <w:szCs w:val="18"/>
          <w:color w:val="auto"/>
        </w:rPr>
        <w:t>additions or departures of key management personnel;</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28"/>
        </w:numPr>
        <w:rPr>
          <w:rFonts w:ascii="Arial" w:cs="Arial" w:eastAsia="Arial" w:hAnsi="Arial"/>
          <w:sz w:val="18"/>
          <w:szCs w:val="18"/>
          <w:color w:val="auto"/>
        </w:rPr>
      </w:pPr>
      <w:r>
        <w:rPr>
          <w:rFonts w:ascii="Arial" w:cs="Arial" w:eastAsia="Arial" w:hAnsi="Arial"/>
          <w:sz w:val="18"/>
          <w:szCs w:val="18"/>
          <w:color w:val="auto"/>
        </w:rPr>
        <w:t>adverse market reaction to any indebtedness we may incur or preference or common shares we may issue in the future;</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28"/>
        </w:numPr>
        <w:rPr>
          <w:rFonts w:ascii="Arial" w:cs="Arial" w:eastAsia="Arial" w:hAnsi="Arial"/>
          <w:sz w:val="18"/>
          <w:szCs w:val="18"/>
          <w:color w:val="auto"/>
        </w:rPr>
      </w:pPr>
      <w:r>
        <w:rPr>
          <w:rFonts w:ascii="Arial" w:cs="Arial" w:eastAsia="Arial" w:hAnsi="Arial"/>
          <w:sz w:val="18"/>
          <w:szCs w:val="18"/>
          <w:color w:val="auto"/>
        </w:rPr>
        <w:t>changes in our dividend payment or share repurchase policies or failure to execute our existing policies;</w:t>
      </w:r>
    </w:p>
    <w:p>
      <w:pPr>
        <w:spacing w:after="0" w:line="15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30</w:t>
      </w:r>
    </w:p>
    <w:p>
      <w:pPr>
        <w:sectPr>
          <w:pgSz w:w="11900" w:h="16838" w:orient="portrait"/>
          <w:cols w:equalWidth="0" w:num="1">
            <w:col w:w="10960"/>
          </w:cols>
          <w:pgMar w:left="440" w:top="270" w:right="499" w:bottom="1440" w:gutter="0" w:footer="0" w:header="0"/>
        </w:sectPr>
      </w:pPr>
    </w:p>
    <w:bookmarkStart w:id="44" w:name="page45"/>
    <w:bookmarkEnd w:id="44"/>
    <w:p>
      <w:pPr>
        <w:ind w:left="960" w:hanging="532"/>
        <w:spacing w:after="0"/>
        <w:tabs>
          <w:tab w:leader="none" w:pos="960" w:val="left"/>
        </w:tabs>
        <w:numPr>
          <w:ilvl w:val="0"/>
          <w:numId w:val="29"/>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actions by shareholders;</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29"/>
        </w:numPr>
        <w:rPr>
          <w:rFonts w:ascii="Arial" w:cs="Arial" w:eastAsia="Arial" w:hAnsi="Arial"/>
          <w:sz w:val="18"/>
          <w:szCs w:val="18"/>
          <w:color w:val="auto"/>
        </w:rPr>
      </w:pPr>
      <w:r>
        <w:rPr>
          <w:rFonts w:ascii="Arial" w:cs="Arial" w:eastAsia="Arial" w:hAnsi="Arial"/>
          <w:sz w:val="18"/>
          <w:szCs w:val="18"/>
          <w:color w:val="auto"/>
        </w:rPr>
        <w:t>changes in market valuations of similar companies;</w:t>
      </w:r>
    </w:p>
    <w:p>
      <w:pPr>
        <w:spacing w:after="0" w:line="130" w:lineRule="exact"/>
        <w:rPr>
          <w:rFonts w:ascii="Arial" w:cs="Arial" w:eastAsia="Arial" w:hAnsi="Arial"/>
          <w:sz w:val="18"/>
          <w:szCs w:val="18"/>
          <w:color w:val="auto"/>
        </w:rPr>
      </w:pPr>
    </w:p>
    <w:p>
      <w:pPr>
        <w:ind w:left="960" w:right="100" w:hanging="532"/>
        <w:spacing w:after="0" w:line="277" w:lineRule="auto"/>
        <w:tabs>
          <w:tab w:leader="none" w:pos="960" w:val="left"/>
        </w:tabs>
        <w:numPr>
          <w:ilvl w:val="0"/>
          <w:numId w:val="29"/>
        </w:numPr>
        <w:rPr>
          <w:rFonts w:ascii="Arial" w:cs="Arial" w:eastAsia="Arial" w:hAnsi="Arial"/>
          <w:sz w:val="18"/>
          <w:szCs w:val="18"/>
          <w:color w:val="auto"/>
        </w:rPr>
      </w:pPr>
      <w:r>
        <w:rPr>
          <w:rFonts w:ascii="Arial" w:cs="Arial" w:eastAsia="Arial" w:hAnsi="Arial"/>
          <w:sz w:val="18"/>
          <w:szCs w:val="18"/>
          <w:color w:val="auto"/>
        </w:rPr>
        <w:t>announcements by us or our competitors of significant contracts, acquisitions, dispositions, strategic partnerships, joint ventures or capital commitments;</w:t>
      </w:r>
    </w:p>
    <w:p>
      <w:pPr>
        <w:spacing w:after="0" w:line="75" w:lineRule="exact"/>
        <w:rPr>
          <w:rFonts w:ascii="Arial" w:cs="Arial" w:eastAsia="Arial" w:hAnsi="Arial"/>
          <w:sz w:val="18"/>
          <w:szCs w:val="18"/>
          <w:color w:val="auto"/>
        </w:rPr>
      </w:pPr>
    </w:p>
    <w:p>
      <w:pPr>
        <w:ind w:left="960" w:hanging="532"/>
        <w:spacing w:after="0"/>
        <w:tabs>
          <w:tab w:leader="none" w:pos="960" w:val="left"/>
        </w:tabs>
        <w:numPr>
          <w:ilvl w:val="0"/>
          <w:numId w:val="29"/>
        </w:numPr>
        <w:rPr>
          <w:rFonts w:ascii="Arial" w:cs="Arial" w:eastAsia="Arial" w:hAnsi="Arial"/>
          <w:sz w:val="18"/>
          <w:szCs w:val="18"/>
          <w:color w:val="auto"/>
        </w:rPr>
      </w:pPr>
      <w:r>
        <w:rPr>
          <w:rFonts w:ascii="Arial" w:cs="Arial" w:eastAsia="Arial" w:hAnsi="Arial"/>
          <w:sz w:val="18"/>
          <w:szCs w:val="18"/>
          <w:color w:val="auto"/>
        </w:rPr>
        <w:t>speculation in the press or investment community;</w:t>
      </w:r>
    </w:p>
    <w:p>
      <w:pPr>
        <w:spacing w:after="0" w:line="130" w:lineRule="exact"/>
        <w:rPr>
          <w:rFonts w:ascii="Arial" w:cs="Arial" w:eastAsia="Arial" w:hAnsi="Arial"/>
          <w:sz w:val="18"/>
          <w:szCs w:val="18"/>
          <w:color w:val="auto"/>
        </w:rPr>
      </w:pPr>
    </w:p>
    <w:p>
      <w:pPr>
        <w:ind w:left="960" w:right="60" w:hanging="532"/>
        <w:spacing w:after="0" w:line="277" w:lineRule="auto"/>
        <w:tabs>
          <w:tab w:leader="none" w:pos="960" w:val="left"/>
        </w:tabs>
        <w:numPr>
          <w:ilvl w:val="0"/>
          <w:numId w:val="29"/>
        </w:numPr>
        <w:rPr>
          <w:rFonts w:ascii="Arial" w:cs="Arial" w:eastAsia="Arial" w:hAnsi="Arial"/>
          <w:sz w:val="18"/>
          <w:szCs w:val="18"/>
          <w:color w:val="auto"/>
        </w:rPr>
      </w:pPr>
      <w:r>
        <w:rPr>
          <w:rFonts w:ascii="Arial" w:cs="Arial" w:eastAsia="Arial" w:hAnsi="Arial"/>
          <w:sz w:val="18"/>
          <w:szCs w:val="18"/>
          <w:color w:val="auto"/>
        </w:rPr>
        <w:t>changes or proposed changes in laws or regulations affecting the container shipping industry or enforcement of these laws and regulations, or announcements relating to these matters; and</w:t>
      </w:r>
    </w:p>
    <w:p>
      <w:pPr>
        <w:spacing w:after="0" w:line="75" w:lineRule="exact"/>
        <w:rPr>
          <w:rFonts w:ascii="Arial" w:cs="Arial" w:eastAsia="Arial" w:hAnsi="Arial"/>
          <w:sz w:val="18"/>
          <w:szCs w:val="18"/>
          <w:color w:val="auto"/>
        </w:rPr>
      </w:pPr>
    </w:p>
    <w:p>
      <w:pPr>
        <w:ind w:left="960" w:hanging="532"/>
        <w:spacing w:after="0"/>
        <w:tabs>
          <w:tab w:leader="none" w:pos="960" w:val="left"/>
        </w:tabs>
        <w:numPr>
          <w:ilvl w:val="0"/>
          <w:numId w:val="29"/>
        </w:numPr>
        <w:rPr>
          <w:rFonts w:ascii="Arial" w:cs="Arial" w:eastAsia="Arial" w:hAnsi="Arial"/>
          <w:sz w:val="18"/>
          <w:szCs w:val="18"/>
          <w:color w:val="auto"/>
        </w:rPr>
      </w:pPr>
      <w:r>
        <w:rPr>
          <w:rFonts w:ascii="Arial" w:cs="Arial" w:eastAsia="Arial" w:hAnsi="Arial"/>
          <w:sz w:val="18"/>
          <w:szCs w:val="18"/>
          <w:color w:val="auto"/>
        </w:rPr>
        <w:t>impact of global financial crises or stock market disruptions.</w:t>
      </w:r>
    </w:p>
    <w:p>
      <w:pPr>
        <w:spacing w:after="0" w:line="225" w:lineRule="exact"/>
        <w:rPr>
          <w:sz w:val="20"/>
          <w:szCs w:val="20"/>
          <w:color w:val="auto"/>
        </w:rPr>
      </w:pPr>
    </w:p>
    <w:p>
      <w:pPr>
        <w:ind w:right="120" w:firstLine="440"/>
        <w:spacing w:after="0" w:line="257" w:lineRule="auto"/>
        <w:rPr>
          <w:sz w:val="20"/>
          <w:szCs w:val="20"/>
          <w:color w:val="auto"/>
        </w:rPr>
      </w:pPr>
      <w:r>
        <w:rPr>
          <w:rFonts w:ascii="Arial" w:cs="Arial" w:eastAsia="Arial" w:hAnsi="Arial"/>
          <w:sz w:val="18"/>
          <w:szCs w:val="18"/>
          <w:color w:val="auto"/>
        </w:rPr>
        <w:t>Recently and in the past, the stock market has experienced extreme price and volume fluctuations. These market fluctuations could result in extreme volatility in the trading price of our common shares, which could cause a decline in the value of your investment in our common shares. In addition, the trading price of our common shares could decline for reasons unrelated to our business or financial results, including in reaction to events that affect other companies in our industry even if those events do not directly affect us. You should also be aware that price volatility may be greater if the public float and trading volume of our common shares are low.</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We face risks related to our dual listing on the Johannesburg Stock Exchange and our relationship with Trencor.</w:t>
      </w:r>
    </w:p>
    <w:p>
      <w:pPr>
        <w:spacing w:after="0" w:line="229" w:lineRule="exact"/>
        <w:rPr>
          <w:sz w:val="20"/>
          <w:szCs w:val="20"/>
          <w:color w:val="auto"/>
        </w:rPr>
      </w:pPr>
    </w:p>
    <w:p>
      <w:pPr>
        <w:ind w:right="80" w:firstLine="440"/>
        <w:spacing w:after="0" w:line="271" w:lineRule="auto"/>
        <w:rPr>
          <w:sz w:val="20"/>
          <w:szCs w:val="20"/>
          <w:color w:val="auto"/>
        </w:rPr>
      </w:pPr>
      <w:r>
        <w:rPr>
          <w:rFonts w:ascii="Arial" w:cs="Arial" w:eastAsia="Arial" w:hAnsi="Arial"/>
          <w:sz w:val="17"/>
          <w:szCs w:val="17"/>
          <w:color w:val="auto"/>
        </w:rPr>
        <w:t>Trencor Limited, a company traded on the Johannesburg Stock Exchange (the “JSE”) in South Africa, owned approximately 47.5% of our issued and outstanding common shares as of December 31, 2018. In December 2019 we commenced a secondary, or dual, listing of our common shares on the JSE under the symbol “TXT”. Promptly following our dual listing, Trencor distributed approximately 24.3 million of its shares in the Company to Trencor’s own shareholders and these shares are now trading on the JSE. In June 2020, Trencor distributed its remaining 3.0 million shares in the Company to Trencor’s own shareholders and those shares trade on the JSE. Following the June 2020 distribution of shares, Trencor no longer holds any shares in the Company. Two of our eight directors are also directors of Trencor. These directors owe fiduciary duties to each company and may have conflicts of interest in matters involving or affecting us as well as Trencor. Any sale or transfer of some or all of the common shares owned by large South African shareholders could adversely affect our share price.</w:t>
      </w:r>
    </w:p>
    <w:p>
      <w:pPr>
        <w:spacing w:after="0" w:line="178" w:lineRule="exact"/>
        <w:rPr>
          <w:sz w:val="20"/>
          <w:szCs w:val="20"/>
          <w:color w:val="auto"/>
        </w:rPr>
      </w:pPr>
    </w:p>
    <w:p>
      <w:pPr>
        <w:ind w:firstLine="440"/>
        <w:spacing w:after="0" w:line="254" w:lineRule="auto"/>
        <w:rPr>
          <w:sz w:val="20"/>
          <w:szCs w:val="20"/>
          <w:color w:val="auto"/>
        </w:rPr>
      </w:pPr>
      <w:r>
        <w:rPr>
          <w:rFonts w:ascii="Arial" w:cs="Arial" w:eastAsia="Arial" w:hAnsi="Arial"/>
          <w:sz w:val="18"/>
          <w:szCs w:val="18"/>
          <w:color w:val="auto"/>
        </w:rPr>
        <w:t>While our primary listing remains on the New York Stock Exchange, or NYSE, and we follow the corporate governance requirements applicable to a Bermuda company listed as a foreign private issuer on the NYSE, holders of our TXT shares on the JSE, may seek to impose on us some or all of the corporate governance practices applicable to South African companies which may result in constraints on management and may involve significant costs. These include the King IV Report on Corporate Governance, a document accepted by the JSE and promulgated by the South African Institute of Directors which, among other things, suggests that corporations in their corporate decision-making consider the following stakeholders in addition to the owners of shares: parties who contract with the enterprise; parties who have a non-contractual nexus with the enterprise (including civil society and the environment); and the state.</w:t>
      </w:r>
    </w:p>
    <w:p>
      <w:pPr>
        <w:spacing w:after="0" w:line="195" w:lineRule="exact"/>
        <w:rPr>
          <w:sz w:val="20"/>
          <w:szCs w:val="20"/>
          <w:color w:val="auto"/>
        </w:rPr>
      </w:pPr>
    </w:p>
    <w:p>
      <w:pPr>
        <w:ind w:right="40" w:firstLine="440"/>
        <w:spacing w:after="0" w:line="259" w:lineRule="auto"/>
        <w:rPr>
          <w:sz w:val="20"/>
          <w:szCs w:val="20"/>
          <w:color w:val="auto"/>
        </w:rPr>
      </w:pPr>
      <w:r>
        <w:rPr>
          <w:rFonts w:ascii="Arial" w:cs="Arial" w:eastAsia="Arial" w:hAnsi="Arial"/>
          <w:sz w:val="18"/>
          <w:szCs w:val="18"/>
          <w:color w:val="auto"/>
        </w:rPr>
        <w:t>Any future issuance of securities by us on the JSE would be subject to compliance with JSE rules and subject to review by the JSE and possibly South African exchange control regulations. These requirements could restrict or limit our ability to issue new shares in South Africa. If a significant percentage of our shares remain on the JSE, limits on our ability to issue new equity in South Africa could materially impact our ability to access capital for growth and negatively impact our business.</w:t>
      </w:r>
    </w:p>
    <w:p>
      <w:pPr>
        <w:spacing w:after="0" w:line="187" w:lineRule="exact"/>
        <w:rPr>
          <w:sz w:val="20"/>
          <w:szCs w:val="20"/>
          <w:color w:val="auto"/>
        </w:rPr>
      </w:pPr>
    </w:p>
    <w:p>
      <w:pPr>
        <w:ind w:firstLine="440"/>
        <w:spacing w:after="0" w:line="255" w:lineRule="auto"/>
        <w:rPr>
          <w:sz w:val="20"/>
          <w:szCs w:val="20"/>
          <w:color w:val="auto"/>
        </w:rPr>
      </w:pPr>
      <w:r>
        <w:rPr>
          <w:rFonts w:ascii="Arial" w:cs="Arial" w:eastAsia="Arial" w:hAnsi="Arial"/>
          <w:sz w:val="18"/>
          <w:szCs w:val="18"/>
          <w:color w:val="auto"/>
        </w:rPr>
        <w:t>If we are unwilling or unable to comply with the current or future continuing listing requirements of the JSE we may have our shares delisted from the JSE. The JSE is the primary stock exchange in South Africa and there are restrictions on South African investors holding securities outside South Africa, including on the NYSE. A delisting from the JSE might cause significant sales of our common shares and negatively impact the price of our common shares on the NYSE. If we wish to voluntarily delist our shares from the JSE we may be required to provide a cash tender offer to all holders on the JSE and we may be unwilling or financially unable to do so, which could limit our ability to avoid negative share price impacts from any delisting of our shares on the JSE.</w:t>
      </w:r>
    </w:p>
    <w:p>
      <w:pPr>
        <w:spacing w:after="0" w:line="1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31</w:t>
      </w:r>
    </w:p>
    <w:p>
      <w:pPr>
        <w:sectPr>
          <w:pgSz w:w="11900" w:h="16838" w:orient="portrait"/>
          <w:cols w:equalWidth="0" w:num="1">
            <w:col w:w="11000"/>
          </w:cols>
          <w:pgMar w:left="440" w:top="274" w:right="459" w:bottom="1440" w:gutter="0" w:footer="0" w:header="0"/>
        </w:sectPr>
      </w:pPr>
    </w:p>
    <w:bookmarkStart w:id="45" w:name="page46"/>
    <w:bookmarkEnd w:id="45"/>
    <w:p>
      <w:pPr>
        <w:ind w:right="20"/>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7174865" cy="38735"/>
                    </a:xfrm>
                    <a:prstGeom prst="rect">
                      <a:avLst/>
                    </a:prstGeom>
                    <a:noFill/>
                  </pic:spPr>
                </pic:pic>
              </a:graphicData>
            </a:graphic>
          </wp:anchor>
        </w:drawing>
        <w:t>We are a holding company with no material direct operations and rely on our operating subsidiaries to provide us with funds necessary to meet our financial obligations and to pay dividends.</w:t>
      </w:r>
    </w:p>
    <w:p>
      <w:pPr>
        <w:spacing w:after="0" w:line="166" w:lineRule="exact"/>
        <w:rPr>
          <w:sz w:val="20"/>
          <w:szCs w:val="20"/>
          <w:color w:val="auto"/>
        </w:rPr>
      </w:pPr>
    </w:p>
    <w:p>
      <w:pPr>
        <w:ind w:right="80" w:firstLine="440"/>
        <w:spacing w:after="0" w:line="255" w:lineRule="auto"/>
        <w:rPr>
          <w:sz w:val="20"/>
          <w:szCs w:val="20"/>
          <w:color w:val="auto"/>
        </w:rPr>
      </w:pPr>
      <w:r>
        <w:rPr>
          <w:rFonts w:ascii="Arial" w:cs="Arial" w:eastAsia="Arial" w:hAnsi="Arial"/>
          <w:sz w:val="18"/>
          <w:szCs w:val="18"/>
          <w:color w:val="auto"/>
        </w:rPr>
        <w:t>We are a holding company with no material direct operations. Our principal assets are the equity interests we directly or indirectly hold in our operating subsidiaries, which own our operating assets. As a result, we are dependent on loans, dividends, and other payments from our subsidiaries to generate the funds necessary to meet our financial obligations and to pay dividends on our common shares. Our subsidiaries are legally distinct from us and may be prohibited or restricted from paying dividends or otherwise making funds available to us under certain conditions or lending covenants. If we are unable to obtain funds from our subsidiaries, we may be unable to, or our board may exercise its discretion not to pay dividends on our common shares.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 may not be possible for investors to enforce U.S. judgments against us.</w:t>
      </w:r>
    </w:p>
    <w:p>
      <w:pPr>
        <w:spacing w:after="0" w:line="229" w:lineRule="exact"/>
        <w:rPr>
          <w:sz w:val="20"/>
          <w:szCs w:val="20"/>
          <w:color w:val="auto"/>
        </w:rPr>
      </w:pPr>
    </w:p>
    <w:p>
      <w:pPr>
        <w:ind w:firstLine="440"/>
        <w:spacing w:after="0" w:line="271" w:lineRule="auto"/>
        <w:rPr>
          <w:sz w:val="20"/>
          <w:szCs w:val="20"/>
          <w:color w:val="auto"/>
        </w:rPr>
      </w:pPr>
      <w:r>
        <w:rPr>
          <w:rFonts w:ascii="Arial" w:cs="Arial" w:eastAsia="Arial" w:hAnsi="Arial"/>
          <w:sz w:val="17"/>
          <w:szCs w:val="17"/>
          <w:color w:val="auto"/>
        </w:rPr>
        <w:t>We and all of our direct and indirect subsidiaries, except Textainer Equipment Management (U.S.) Limited and Textainer Equipment Management (U.S.) II LLC, are incorporated in jurisdictions outside the U.S. A substantial portion of our assets and those of our subsidiaries are located outside of the U.S. In addition, half of our directors are non-residents of the U.S., and all or a substantial portion of the assets of these non-residents are located outside the U.S. As a result, it may be difficult or impossible for U.S. investors to serve process within the U.S. upon us, our non U.S. subsidiaries, or our directors, or to enforce a judgment against us for civil liabilities in U.S. courts. In addition, you should not assume that courts in the countries in which we or our subsidiaries are incorporated or where our assets or the assets of our subsidiaries are located would enforce judgments of U.S. courts obtained in actions against us or our subsidiaries based upon the civil liability provisions of applicable U.S. federal and state securities laws, or would enforce, in original actions, liabilities against us or our subsidiaries based on those laws.</w:t>
      </w:r>
    </w:p>
    <w:p>
      <w:pPr>
        <w:spacing w:after="0" w:line="174" w:lineRule="exact"/>
        <w:rPr>
          <w:sz w:val="20"/>
          <w:szCs w:val="20"/>
          <w:color w:val="auto"/>
        </w:rPr>
      </w:pPr>
    </w:p>
    <w:p>
      <w:pPr>
        <w:ind w:right="840"/>
        <w:spacing w:after="0" w:line="282" w:lineRule="auto"/>
        <w:rPr>
          <w:sz w:val="20"/>
          <w:szCs w:val="20"/>
          <w:color w:val="auto"/>
        </w:rPr>
      </w:pPr>
      <w:r>
        <w:rPr>
          <w:rFonts w:ascii="Arial" w:cs="Arial" w:eastAsia="Arial" w:hAnsi="Arial"/>
          <w:sz w:val="18"/>
          <w:szCs w:val="18"/>
          <w:b w:val="1"/>
          <w:bCs w:val="1"/>
          <w:color w:val="auto"/>
        </w:rPr>
        <w:t>We are a foreign private issuer and, as a result, under NYSE rules, we are not required to comply with certain corporate governance requirements.</w:t>
      </w:r>
    </w:p>
    <w:p>
      <w:pPr>
        <w:spacing w:after="0" w:line="166" w:lineRule="exact"/>
        <w:rPr>
          <w:sz w:val="20"/>
          <w:szCs w:val="20"/>
          <w:color w:val="auto"/>
        </w:rPr>
      </w:pPr>
    </w:p>
    <w:p>
      <w:pPr>
        <w:ind w:right="420" w:firstLine="440"/>
        <w:spacing w:after="0" w:line="308" w:lineRule="auto"/>
        <w:rPr>
          <w:sz w:val="20"/>
          <w:szCs w:val="20"/>
          <w:color w:val="auto"/>
        </w:rPr>
      </w:pPr>
      <w:r>
        <w:rPr>
          <w:rFonts w:ascii="Arial" w:cs="Arial" w:eastAsia="Arial" w:hAnsi="Arial"/>
          <w:sz w:val="17"/>
          <w:szCs w:val="17"/>
          <w:color w:val="auto"/>
        </w:rPr>
        <w:t>As a foreign private issuer, we are permitted by the NYSE to comply with Bermuda corporate governance practice in lieu of complying with certain NYSE corporate governance requirements. This means that we are not required to comply with NYSE requirements that:</w:t>
      </w:r>
    </w:p>
    <w:p>
      <w:pPr>
        <w:spacing w:after="0" w:line="52" w:lineRule="exact"/>
        <w:rPr>
          <w:sz w:val="20"/>
          <w:szCs w:val="20"/>
          <w:color w:val="auto"/>
        </w:rPr>
      </w:pPr>
    </w:p>
    <w:p>
      <w:pPr>
        <w:ind w:left="960" w:hanging="532"/>
        <w:spacing w:after="0"/>
        <w:tabs>
          <w:tab w:leader="none" w:pos="96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board of directors consists of a majority of independent directors;</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30"/>
        </w:numPr>
        <w:rPr>
          <w:rFonts w:ascii="Arial" w:cs="Arial" w:eastAsia="Arial" w:hAnsi="Arial"/>
          <w:sz w:val="18"/>
          <w:szCs w:val="18"/>
          <w:color w:val="auto"/>
        </w:rPr>
      </w:pPr>
      <w:r>
        <w:rPr>
          <w:rFonts w:ascii="Arial" w:cs="Arial" w:eastAsia="Arial" w:hAnsi="Arial"/>
          <w:sz w:val="18"/>
          <w:szCs w:val="18"/>
          <w:color w:val="auto"/>
        </w:rPr>
        <w:t>independent directors meet in regularly scheduled executive sessions;</w:t>
      </w:r>
    </w:p>
    <w:p>
      <w:pPr>
        <w:spacing w:after="0" w:line="130" w:lineRule="exact"/>
        <w:rPr>
          <w:rFonts w:ascii="Arial" w:cs="Arial" w:eastAsia="Arial" w:hAnsi="Arial"/>
          <w:sz w:val="18"/>
          <w:szCs w:val="18"/>
          <w:color w:val="auto"/>
        </w:rPr>
      </w:pPr>
    </w:p>
    <w:p>
      <w:pPr>
        <w:ind w:left="960" w:right="520" w:hanging="532"/>
        <w:spacing w:after="0" w:line="308" w:lineRule="auto"/>
        <w:tabs>
          <w:tab w:leader="none" w:pos="960" w:val="left"/>
        </w:tabs>
        <w:numPr>
          <w:ilvl w:val="0"/>
          <w:numId w:val="30"/>
        </w:numPr>
        <w:rPr>
          <w:rFonts w:ascii="Arial" w:cs="Arial" w:eastAsia="Arial" w:hAnsi="Arial"/>
          <w:sz w:val="17"/>
          <w:szCs w:val="17"/>
          <w:color w:val="auto"/>
        </w:rPr>
      </w:pPr>
      <w:r>
        <w:rPr>
          <w:rFonts w:ascii="Arial" w:cs="Arial" w:eastAsia="Arial" w:hAnsi="Arial"/>
          <w:sz w:val="17"/>
          <w:szCs w:val="17"/>
          <w:color w:val="auto"/>
        </w:rPr>
        <w:t>the audit committee satisfy NYSE standards for director independence (although we must still comply with independence standards pursuant to Rule 10A-3 promulgated under the U.S. Securities Exchange Act of 1934, as amended);</w:t>
      </w:r>
    </w:p>
    <w:p>
      <w:pPr>
        <w:spacing w:after="0" w:line="51" w:lineRule="exact"/>
        <w:rPr>
          <w:rFonts w:ascii="Arial" w:cs="Arial" w:eastAsia="Arial" w:hAnsi="Arial"/>
          <w:sz w:val="17"/>
          <w:szCs w:val="17"/>
          <w:color w:val="auto"/>
        </w:rPr>
      </w:pPr>
    </w:p>
    <w:p>
      <w:pPr>
        <w:ind w:left="960" w:hanging="532"/>
        <w:spacing w:after="0"/>
        <w:tabs>
          <w:tab w:leader="none" w:pos="96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audit committee have a written charter addressing the committee’s purpose and responsibilities;</w:t>
      </w:r>
    </w:p>
    <w:p>
      <w:pPr>
        <w:spacing w:after="0" w:line="130" w:lineRule="exact"/>
        <w:rPr>
          <w:rFonts w:ascii="Arial" w:cs="Arial" w:eastAsia="Arial" w:hAnsi="Arial"/>
          <w:sz w:val="18"/>
          <w:szCs w:val="18"/>
          <w:color w:val="auto"/>
        </w:rPr>
      </w:pPr>
    </w:p>
    <w:p>
      <w:pPr>
        <w:ind w:left="960" w:right="480" w:hanging="532"/>
        <w:spacing w:after="0" w:line="277" w:lineRule="auto"/>
        <w:tabs>
          <w:tab w:leader="none" w:pos="960" w:val="left"/>
        </w:tabs>
        <w:numPr>
          <w:ilvl w:val="0"/>
          <w:numId w:val="30"/>
        </w:numPr>
        <w:rPr>
          <w:rFonts w:ascii="Arial" w:cs="Arial" w:eastAsia="Arial" w:hAnsi="Arial"/>
          <w:sz w:val="18"/>
          <w:szCs w:val="18"/>
          <w:color w:val="auto"/>
        </w:rPr>
      </w:pPr>
      <w:r>
        <w:rPr>
          <w:rFonts w:ascii="Arial" w:cs="Arial" w:eastAsia="Arial" w:hAnsi="Arial"/>
          <w:sz w:val="18"/>
          <w:szCs w:val="18"/>
          <w:color w:val="auto"/>
        </w:rPr>
        <w:t>we have a corporate governance and nominating committee composed of independent directors with a written charter addressing the committee’s purpose and responsibilities;</w:t>
      </w:r>
    </w:p>
    <w:p>
      <w:pPr>
        <w:spacing w:after="0" w:line="75" w:lineRule="exact"/>
        <w:rPr>
          <w:rFonts w:ascii="Arial" w:cs="Arial" w:eastAsia="Arial" w:hAnsi="Arial"/>
          <w:sz w:val="18"/>
          <w:szCs w:val="18"/>
          <w:color w:val="auto"/>
        </w:rPr>
      </w:pPr>
    </w:p>
    <w:p>
      <w:pPr>
        <w:ind w:left="960" w:right="360" w:hanging="532"/>
        <w:spacing w:after="0" w:line="277" w:lineRule="auto"/>
        <w:tabs>
          <w:tab w:leader="none" w:pos="960" w:val="left"/>
        </w:tabs>
        <w:numPr>
          <w:ilvl w:val="0"/>
          <w:numId w:val="30"/>
        </w:numPr>
        <w:rPr>
          <w:rFonts w:ascii="Arial" w:cs="Arial" w:eastAsia="Arial" w:hAnsi="Arial"/>
          <w:sz w:val="18"/>
          <w:szCs w:val="18"/>
          <w:color w:val="auto"/>
        </w:rPr>
      </w:pPr>
      <w:r>
        <w:rPr>
          <w:rFonts w:ascii="Arial" w:cs="Arial" w:eastAsia="Arial" w:hAnsi="Arial"/>
          <w:sz w:val="18"/>
          <w:szCs w:val="18"/>
          <w:color w:val="auto"/>
        </w:rPr>
        <w:t>we have a compensation committee composed of independent directors with a written charter addressing the committee’s purpose and responsibilities;</w:t>
      </w:r>
    </w:p>
    <w:p>
      <w:pPr>
        <w:spacing w:after="0" w:line="75" w:lineRule="exact"/>
        <w:rPr>
          <w:rFonts w:ascii="Arial" w:cs="Arial" w:eastAsia="Arial" w:hAnsi="Arial"/>
          <w:sz w:val="18"/>
          <w:szCs w:val="18"/>
          <w:color w:val="auto"/>
        </w:rPr>
      </w:pPr>
    </w:p>
    <w:p>
      <w:pPr>
        <w:ind w:left="960" w:hanging="532"/>
        <w:spacing w:after="0"/>
        <w:tabs>
          <w:tab w:leader="none" w:pos="960" w:val="left"/>
        </w:tabs>
        <w:numPr>
          <w:ilvl w:val="0"/>
          <w:numId w:val="30"/>
        </w:numPr>
        <w:rPr>
          <w:rFonts w:ascii="Arial" w:cs="Arial" w:eastAsia="Arial" w:hAnsi="Arial"/>
          <w:sz w:val="18"/>
          <w:szCs w:val="18"/>
          <w:color w:val="auto"/>
        </w:rPr>
      </w:pPr>
      <w:r>
        <w:rPr>
          <w:rFonts w:ascii="Arial" w:cs="Arial" w:eastAsia="Arial" w:hAnsi="Arial"/>
          <w:sz w:val="18"/>
          <w:szCs w:val="18"/>
          <w:color w:val="auto"/>
        </w:rPr>
        <w:t>we establish corporate governance guidelines and a code of business conduct;</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30"/>
        </w:numPr>
        <w:rPr>
          <w:rFonts w:ascii="Arial" w:cs="Arial" w:eastAsia="Arial" w:hAnsi="Arial"/>
          <w:sz w:val="18"/>
          <w:szCs w:val="18"/>
          <w:color w:val="auto"/>
        </w:rPr>
      </w:pPr>
      <w:r>
        <w:rPr>
          <w:rFonts w:ascii="Arial" w:cs="Arial" w:eastAsia="Arial" w:hAnsi="Arial"/>
          <w:sz w:val="18"/>
          <w:szCs w:val="18"/>
          <w:color w:val="auto"/>
        </w:rPr>
        <w:t>our shareholders approve any equity compensation plans; and</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there be an annual performance evaluation of the nominating and corporate governance and compensation committees.</w:t>
      </w:r>
    </w:p>
    <w:p>
      <w:pPr>
        <w:spacing w:after="0" w:line="225" w:lineRule="exact"/>
        <w:rPr>
          <w:sz w:val="20"/>
          <w:szCs w:val="20"/>
          <w:color w:val="auto"/>
        </w:rPr>
      </w:pPr>
    </w:p>
    <w:p>
      <w:pPr>
        <w:ind w:right="160" w:firstLine="440"/>
        <w:spacing w:after="0" w:line="273" w:lineRule="auto"/>
        <w:rPr>
          <w:sz w:val="20"/>
          <w:szCs w:val="20"/>
          <w:color w:val="auto"/>
        </w:rPr>
      </w:pPr>
      <w:r>
        <w:rPr>
          <w:rFonts w:ascii="Arial" w:cs="Arial" w:eastAsia="Arial" w:hAnsi="Arial"/>
          <w:sz w:val="17"/>
          <w:szCs w:val="17"/>
          <w:color w:val="auto"/>
        </w:rPr>
        <w:t>Our board of directors has adopted an audit committee charter, a compensation committee charter and a corporate governance and nominating committee charter. Additionally, we have a company code of conduct, corporate governance guidelines, conduct performance evaluations of our board and committees, and have obtained shareholder approval for our equity compensation plan. However, we use some of the exemptions available to a foreign private issuer. As a result, our board of directors may not consist of a majority of independent directors and our compensation committee may not consist of any or a majority of independent directors. Accordingly, our shareholders may not have the same protections afforded to shareholders of companies that are subject to all of the NYSE corporate governance requirements.</w:t>
      </w:r>
    </w:p>
    <w:p>
      <w:pPr>
        <w:spacing w:after="0" w:line="11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32</w:t>
      </w:r>
    </w:p>
    <w:p>
      <w:pPr>
        <w:sectPr>
          <w:pgSz w:w="11900" w:h="16838" w:orient="portrait"/>
          <w:cols w:equalWidth="0" w:num="1">
            <w:col w:w="10980"/>
          </w:cols>
          <w:pgMar w:left="440" w:top="270" w:right="479" w:bottom="1440" w:gutter="0" w:footer="0" w:header="0"/>
        </w:sectPr>
      </w:pPr>
    </w:p>
    <w:bookmarkStart w:id="46" w:name="page47"/>
    <w:bookmarkEnd w:id="46"/>
    <w:p>
      <w:pPr>
        <w:ind w:right="40"/>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7174865" cy="38735"/>
                    </a:xfrm>
                    <a:prstGeom prst="rect">
                      <a:avLst/>
                    </a:prstGeom>
                    <a:noFill/>
                  </pic:spPr>
                </pic:pic>
              </a:graphicData>
            </a:graphic>
          </wp:anchor>
        </w:drawing>
        <w:t>Required public company corporate governance and financial reporting practices and policies have increased our costs, and we may be unable to provide the required financial information in a timely and reliable manner.</w:t>
      </w:r>
    </w:p>
    <w:p>
      <w:pPr>
        <w:spacing w:after="0" w:line="166" w:lineRule="exact"/>
        <w:rPr>
          <w:sz w:val="20"/>
          <w:szCs w:val="20"/>
          <w:color w:val="auto"/>
        </w:rPr>
      </w:pPr>
    </w:p>
    <w:p>
      <w:pPr>
        <w:ind w:right="100" w:firstLine="440"/>
        <w:spacing w:after="0" w:line="255" w:lineRule="auto"/>
        <w:rPr>
          <w:sz w:val="20"/>
          <w:szCs w:val="20"/>
          <w:color w:val="auto"/>
        </w:rPr>
      </w:pPr>
      <w:r>
        <w:rPr>
          <w:rFonts w:ascii="Arial" w:cs="Arial" w:eastAsia="Arial" w:hAnsi="Arial"/>
          <w:sz w:val="18"/>
          <w:szCs w:val="18"/>
          <w:color w:val="auto"/>
        </w:rPr>
        <w:t>Our management may not be able to continue to meet the regulatory compliance and reporting requirements that are applicable to us as a public company. This result may subject us to adverse regulatory consequences, and could lead to a negative reaction in the financial markets due to a loss of confidence in the reliability of our financial statements. If we do not maintain compliance with the requirements of Section 404 of the Sarbanes-Oxley Act of 2002, or if we or our independent registered public accounting firm identify deficiencies in our internal controls over financial reporting that are deemed to be material weaknesses, we could suffer a loss of investor confidence in the reliability of our financial statements, which could cause the market price of our common shares to decline.</w:t>
      </w:r>
    </w:p>
    <w:p>
      <w:pPr>
        <w:spacing w:after="0" w:line="192" w:lineRule="exact"/>
        <w:rPr>
          <w:sz w:val="20"/>
          <w:szCs w:val="20"/>
          <w:color w:val="auto"/>
        </w:rPr>
      </w:pPr>
    </w:p>
    <w:p>
      <w:pPr>
        <w:ind w:right="200" w:firstLine="440"/>
        <w:spacing w:after="0" w:line="293" w:lineRule="auto"/>
        <w:rPr>
          <w:sz w:val="20"/>
          <w:szCs w:val="20"/>
          <w:color w:val="auto"/>
        </w:rPr>
      </w:pPr>
      <w:r>
        <w:rPr>
          <w:rFonts w:ascii="Arial" w:cs="Arial" w:eastAsia="Arial" w:hAnsi="Arial"/>
          <w:sz w:val="16"/>
          <w:szCs w:val="16"/>
          <w:color w:val="auto"/>
        </w:rPr>
        <w:t>In addition, if we fail to maintain effective controls and procedures, we may be unable to provide the required financial information in a timely and reliable manner or otherwise comply with the standards applicable to us as a public company. Any failure by us to timely provide the required financial information could materially and adversely impact our financial condition and the market value of our common shares. Furthermore, testing and maintaining internal controls can divert our management’s attention from other matters that are important to our business. These regulations have increased our legal and financial compliance costs, we expect the regulations to make it more difficult to attract and retain qualified officers and directors, particularly to serve on our audit committee, and make some activities more difficult, time consuming and costly.</w:t>
      </w:r>
    </w:p>
    <w:p>
      <w:pPr>
        <w:spacing w:after="0" w:line="160" w:lineRule="exact"/>
        <w:rPr>
          <w:sz w:val="20"/>
          <w:szCs w:val="20"/>
          <w:color w:val="auto"/>
        </w:rPr>
      </w:pPr>
    </w:p>
    <w:p>
      <w:pPr>
        <w:ind w:right="300"/>
        <w:spacing w:after="0" w:line="282" w:lineRule="auto"/>
        <w:rPr>
          <w:sz w:val="20"/>
          <w:szCs w:val="20"/>
          <w:color w:val="auto"/>
        </w:rPr>
      </w:pPr>
      <w:r>
        <w:rPr>
          <w:rFonts w:ascii="Arial" w:cs="Arial" w:eastAsia="Arial" w:hAnsi="Arial"/>
          <w:sz w:val="18"/>
          <w:szCs w:val="18"/>
          <w:b w:val="1"/>
          <w:bCs w:val="1"/>
          <w:color w:val="auto"/>
        </w:rPr>
        <w:t>Future sales of a large number of our securities into the public market, or the expectation of such sales, could cause the market price of our common shares to decline significantly.</w:t>
      </w:r>
    </w:p>
    <w:p>
      <w:pPr>
        <w:spacing w:after="0" w:line="166" w:lineRule="exact"/>
        <w:rPr>
          <w:sz w:val="20"/>
          <w:szCs w:val="20"/>
          <w:color w:val="auto"/>
        </w:rPr>
      </w:pPr>
    </w:p>
    <w:p>
      <w:pPr>
        <w:ind w:right="20" w:firstLine="440"/>
        <w:spacing w:after="0" w:line="271" w:lineRule="auto"/>
        <w:rPr>
          <w:sz w:val="20"/>
          <w:szCs w:val="20"/>
          <w:color w:val="auto"/>
        </w:rPr>
      </w:pPr>
      <w:r>
        <w:rPr>
          <w:rFonts w:ascii="Arial" w:cs="Arial" w:eastAsia="Arial" w:hAnsi="Arial"/>
          <w:sz w:val="17"/>
          <w:szCs w:val="17"/>
          <w:color w:val="auto"/>
        </w:rPr>
        <w:t>Sales of substantial amounts of common securities into the public market, or the perception that such sales will occur, may cause the market price of our common shares to decline significantly. In September 2012, we completed a sale of 8,625,000 common shares, including 2,500,000 common shares offered by a selling shareholder, Halco. The price of our shares could be negatively impacted if we undertake additional offerings to sell securities. In addition, at our 2019 Annual General Meeting our shareholders approved an amendment and restatement of the 2015 Share Incentive Plan as the 2019 Share Incentive Plan and to increase the maximum number of our common shares issuable pursuant to such plan by 2,500,000 shares and to extend the term of such plan for ten years from the date of the annual meeting of shareholders. The common shares to be issued pursuant to awards under our 2019 Share Incentive Plan have been registered on registration statements on Form S-8 filed with the Securities Exchange Commission and, when issued, will be freely tradable under the Securities Act of 1933.</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We have provisions in our bye-laws that may discourage a change of control.</w:t>
      </w:r>
    </w:p>
    <w:p>
      <w:pPr>
        <w:spacing w:after="0" w:line="229" w:lineRule="exact"/>
        <w:rPr>
          <w:sz w:val="20"/>
          <w:szCs w:val="20"/>
          <w:color w:val="auto"/>
        </w:rPr>
      </w:pPr>
    </w:p>
    <w:p>
      <w:pPr>
        <w:ind w:firstLine="440"/>
        <w:spacing w:after="0" w:line="277" w:lineRule="auto"/>
        <w:rPr>
          <w:sz w:val="20"/>
          <w:szCs w:val="20"/>
          <w:color w:val="auto"/>
        </w:rPr>
      </w:pPr>
      <w:r>
        <w:rPr>
          <w:rFonts w:ascii="Arial" w:cs="Arial" w:eastAsia="Arial" w:hAnsi="Arial"/>
          <w:sz w:val="18"/>
          <w:szCs w:val="18"/>
          <w:color w:val="auto"/>
        </w:rPr>
        <w:t>Bermuda law and our bye-laws contain provisions that could make it more difficult for a third party to acquire us without the consent of our board of directors. These include provisions:</w:t>
      </w:r>
    </w:p>
    <w:p>
      <w:pPr>
        <w:spacing w:after="0" w:line="76" w:lineRule="exact"/>
        <w:rPr>
          <w:sz w:val="20"/>
          <w:szCs w:val="20"/>
          <w:color w:val="auto"/>
        </w:rPr>
      </w:pPr>
    </w:p>
    <w:p>
      <w:pPr>
        <w:ind w:left="960" w:right="220" w:hanging="532"/>
        <w:spacing w:after="0" w:line="277" w:lineRule="auto"/>
        <w:tabs>
          <w:tab w:leader="none" w:pos="960" w:val="left"/>
        </w:tabs>
        <w:numPr>
          <w:ilvl w:val="0"/>
          <w:numId w:val="31"/>
        </w:numPr>
        <w:rPr>
          <w:rFonts w:ascii="Arial" w:cs="Arial" w:eastAsia="Arial" w:hAnsi="Arial"/>
          <w:sz w:val="18"/>
          <w:szCs w:val="18"/>
          <w:color w:val="auto"/>
        </w:rPr>
      </w:pPr>
      <w:r>
        <w:rPr>
          <w:rFonts w:ascii="Arial" w:cs="Arial" w:eastAsia="Arial" w:hAnsi="Arial"/>
          <w:sz w:val="18"/>
          <w:szCs w:val="18"/>
          <w:color w:val="auto"/>
        </w:rPr>
        <w:t>requiring the approval of not less than 66% of our issued and outstanding voting shares for certain merger or amalgamation transactions that have not been approved by our board of directors;</w:t>
      </w:r>
    </w:p>
    <w:p>
      <w:pPr>
        <w:spacing w:after="0" w:line="75" w:lineRule="exact"/>
        <w:rPr>
          <w:rFonts w:ascii="Arial" w:cs="Arial" w:eastAsia="Arial" w:hAnsi="Arial"/>
          <w:sz w:val="18"/>
          <w:szCs w:val="18"/>
          <w:color w:val="auto"/>
        </w:rPr>
      </w:pPr>
    </w:p>
    <w:p>
      <w:pPr>
        <w:ind w:left="960" w:right="420" w:hanging="532"/>
        <w:spacing w:after="0" w:line="277" w:lineRule="auto"/>
        <w:tabs>
          <w:tab w:leader="none" w:pos="960" w:val="left"/>
        </w:tabs>
        <w:numPr>
          <w:ilvl w:val="0"/>
          <w:numId w:val="31"/>
        </w:numPr>
        <w:rPr>
          <w:rFonts w:ascii="Arial" w:cs="Arial" w:eastAsia="Arial" w:hAnsi="Arial"/>
          <w:sz w:val="18"/>
          <w:szCs w:val="18"/>
          <w:color w:val="auto"/>
        </w:rPr>
      </w:pPr>
      <w:r>
        <w:rPr>
          <w:rFonts w:ascii="Arial" w:cs="Arial" w:eastAsia="Arial" w:hAnsi="Arial"/>
          <w:sz w:val="18"/>
          <w:szCs w:val="18"/>
          <w:color w:val="auto"/>
        </w:rPr>
        <w:t>prohibiting us from engaging in a business combination with an interested shareholder for a period of three years after the date of the transaction in which the person becomes an interested shareholder, unless certain conditions are met;</w:t>
      </w:r>
    </w:p>
    <w:p>
      <w:pPr>
        <w:spacing w:after="0" w:line="75" w:lineRule="exact"/>
        <w:rPr>
          <w:rFonts w:ascii="Arial" w:cs="Arial" w:eastAsia="Arial" w:hAnsi="Arial"/>
          <w:sz w:val="18"/>
          <w:szCs w:val="18"/>
          <w:color w:val="auto"/>
        </w:rPr>
      </w:pPr>
    </w:p>
    <w:p>
      <w:pPr>
        <w:ind w:left="960" w:hanging="532"/>
        <w:spacing w:after="0"/>
        <w:tabs>
          <w:tab w:leader="none" w:pos="960" w:val="left"/>
        </w:tabs>
        <w:numPr>
          <w:ilvl w:val="0"/>
          <w:numId w:val="31"/>
        </w:numPr>
        <w:rPr>
          <w:rFonts w:ascii="Arial" w:cs="Arial" w:eastAsia="Arial" w:hAnsi="Arial"/>
          <w:sz w:val="18"/>
          <w:szCs w:val="18"/>
          <w:color w:val="auto"/>
        </w:rPr>
      </w:pPr>
      <w:r>
        <w:rPr>
          <w:rFonts w:ascii="Arial" w:cs="Arial" w:eastAsia="Arial" w:hAnsi="Arial"/>
          <w:sz w:val="18"/>
          <w:szCs w:val="18"/>
          <w:color w:val="auto"/>
        </w:rPr>
        <w:t>authorizing our board of directors to issue blank-check preference shares without shareholder approval;</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31"/>
        </w:numPr>
        <w:rPr>
          <w:rFonts w:ascii="Arial" w:cs="Arial" w:eastAsia="Arial" w:hAnsi="Arial"/>
          <w:sz w:val="18"/>
          <w:szCs w:val="18"/>
          <w:color w:val="auto"/>
        </w:rPr>
      </w:pPr>
      <w:r>
        <w:rPr>
          <w:rFonts w:ascii="Arial" w:cs="Arial" w:eastAsia="Arial" w:hAnsi="Arial"/>
          <w:sz w:val="18"/>
          <w:szCs w:val="18"/>
          <w:color w:val="auto"/>
        </w:rPr>
        <w:t>establishing a classified board with staggered three-year terms;</w:t>
      </w:r>
    </w:p>
    <w:p>
      <w:pPr>
        <w:spacing w:after="0" w:line="15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33</w:t>
      </w:r>
    </w:p>
    <w:p>
      <w:pPr>
        <w:sectPr>
          <w:pgSz w:w="11900" w:h="16838" w:orient="portrait"/>
          <w:cols w:equalWidth="0" w:num="1">
            <w:col w:w="10960"/>
          </w:cols>
          <w:pgMar w:left="440" w:top="270" w:right="499" w:bottom="1440" w:gutter="0" w:footer="0" w:header="0"/>
        </w:sectPr>
      </w:pPr>
    </w:p>
    <w:bookmarkStart w:id="47" w:name="page48"/>
    <w:bookmarkEnd w:id="47"/>
    <w:p>
      <w:pPr>
        <w:jc w:val="both"/>
        <w:ind w:left="960" w:right="140" w:hanging="532"/>
        <w:spacing w:after="0" w:line="263" w:lineRule="auto"/>
        <w:tabs>
          <w:tab w:leader="none" w:pos="960" w:val="left"/>
        </w:tabs>
        <w:numPr>
          <w:ilvl w:val="0"/>
          <w:numId w:val="3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7174865" cy="38735"/>
                    </a:xfrm>
                    <a:prstGeom prst="rect">
                      <a:avLst/>
                    </a:prstGeom>
                    <a:noFill/>
                  </pic:spPr>
                </pic:pic>
              </a:graphicData>
            </a:graphic>
          </wp:anchor>
        </w:drawing>
        <w:t>only authorizing the removal of directors (i) for cause by the affirmative vote of the holders of a majority of the votes cast at a meeting or (ii) without cause by the affirmative vote of the holders of 66% of the common shares then issued and outstanding and entitled to vote on the resolution; and</w:t>
      </w:r>
    </w:p>
    <w:p>
      <w:pPr>
        <w:spacing w:after="0" w:line="89" w:lineRule="exact"/>
        <w:rPr>
          <w:rFonts w:ascii="Arial" w:cs="Arial" w:eastAsia="Arial" w:hAnsi="Arial"/>
          <w:sz w:val="18"/>
          <w:szCs w:val="18"/>
          <w:color w:val="auto"/>
        </w:rPr>
      </w:pPr>
    </w:p>
    <w:p>
      <w:pPr>
        <w:ind w:left="960" w:hanging="532"/>
        <w:spacing w:after="0"/>
        <w:tabs>
          <w:tab w:leader="none" w:pos="960" w:val="left"/>
        </w:tabs>
        <w:numPr>
          <w:ilvl w:val="0"/>
          <w:numId w:val="32"/>
        </w:numPr>
        <w:rPr>
          <w:rFonts w:ascii="Arial" w:cs="Arial" w:eastAsia="Arial" w:hAnsi="Arial"/>
          <w:sz w:val="18"/>
          <w:szCs w:val="18"/>
          <w:color w:val="auto"/>
        </w:rPr>
      </w:pPr>
      <w:r>
        <w:rPr>
          <w:rFonts w:ascii="Arial" w:cs="Arial" w:eastAsia="Arial" w:hAnsi="Arial"/>
          <w:sz w:val="18"/>
          <w:szCs w:val="18"/>
          <w:color w:val="auto"/>
        </w:rPr>
        <w:t>establishing advance notice requirements for nominations for election to our board of directors.</w:t>
      </w:r>
    </w:p>
    <w:p>
      <w:pPr>
        <w:spacing w:after="0" w:line="225" w:lineRule="exact"/>
        <w:rPr>
          <w:sz w:val="20"/>
          <w:szCs w:val="20"/>
          <w:color w:val="auto"/>
        </w:rPr>
      </w:pPr>
    </w:p>
    <w:p>
      <w:pPr>
        <w:ind w:right="160" w:firstLine="440"/>
        <w:spacing w:after="0" w:line="257" w:lineRule="auto"/>
        <w:rPr>
          <w:sz w:val="20"/>
          <w:szCs w:val="20"/>
          <w:color w:val="auto"/>
        </w:rPr>
      </w:pPr>
      <w:r>
        <w:rPr>
          <w:rFonts w:ascii="Arial" w:cs="Arial" w:eastAsia="Arial" w:hAnsi="Arial"/>
          <w:sz w:val="18"/>
          <w:szCs w:val="18"/>
          <w:color w:val="auto"/>
        </w:rPr>
        <w:t>These provisions may make it difficult and expensive for a third party to pursue a tender offer, change in control or takeover attempt that is opposed by our management and/or our board of directors. Public shareholders who might desire to participate in these types of transactions may not have an opportunity to do so. These provisions could substantially impede the ability of public shareholders to benefit from a change in control or change our management and board of directors and, as a result, may adversely affect the market price of our common shares and your ability to realize any potential change of control premium.</w:t>
      </w:r>
    </w:p>
    <w:p>
      <w:pPr>
        <w:spacing w:after="0" w:line="184"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As a shareholder of our company, you may have greater difficulties in protecting your interests than as a shareholder of a U.S. or South African corporation.</w:t>
      </w:r>
    </w:p>
    <w:p>
      <w:pPr>
        <w:spacing w:after="0" w:line="166" w:lineRule="exact"/>
        <w:rPr>
          <w:sz w:val="20"/>
          <w:szCs w:val="20"/>
          <w:color w:val="auto"/>
        </w:rPr>
      </w:pPr>
    </w:p>
    <w:p>
      <w:pPr>
        <w:ind w:right="80" w:firstLine="440"/>
        <w:spacing w:after="0" w:line="271" w:lineRule="auto"/>
        <w:rPr>
          <w:sz w:val="20"/>
          <w:szCs w:val="20"/>
          <w:color w:val="auto"/>
        </w:rPr>
      </w:pPr>
      <w:r>
        <w:rPr>
          <w:rFonts w:ascii="Arial" w:cs="Arial" w:eastAsia="Arial" w:hAnsi="Arial"/>
          <w:sz w:val="17"/>
          <w:szCs w:val="17"/>
          <w:color w:val="auto"/>
        </w:rPr>
        <w:t>The Companies Act 1981 of Bermuda, as amended (the “Companies Act”), applies to our company and differs in material respects from laws generally applicable to U.S. or South African corporations and their shareholders. Taken together with the provisions of our bye-laws, some of these differences may result in you having greater difficulties in protecting your interests as a shareholder of our company than you would have as a shareholder of a U.S. corporation listed on NYSE or a South Africa corporation listed on the JSE. This affects, among other things, the circumstances under which transactions involving an interested director are voidable, whether an interested director can be held accountable for any benefit realized in a transaction with our company, what approvals are required for business combinations by our company with a large shareholder or a wholly-owned subsidiary, what rights you may have as a shareholder to enforce specified provisions of the Companies Act or our bye-laws, and the circumstances under which we may indemnify our directors and officers.</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bye-laws restrict shareholders from bringing legal action against our officers and directors.</w:t>
      </w:r>
    </w:p>
    <w:p>
      <w:pPr>
        <w:spacing w:after="0" w:line="229" w:lineRule="exact"/>
        <w:rPr>
          <w:sz w:val="20"/>
          <w:szCs w:val="20"/>
          <w:color w:val="auto"/>
        </w:rPr>
      </w:pPr>
    </w:p>
    <w:p>
      <w:pPr>
        <w:ind w:right="140" w:firstLine="440"/>
        <w:spacing w:after="0" w:line="301" w:lineRule="auto"/>
        <w:rPr>
          <w:sz w:val="20"/>
          <w:szCs w:val="20"/>
          <w:color w:val="auto"/>
        </w:rPr>
      </w:pPr>
      <w:r>
        <w:rPr>
          <w:rFonts w:ascii="Arial" w:cs="Arial" w:eastAsia="Arial" w:hAnsi="Arial"/>
          <w:sz w:val="16"/>
          <w:szCs w:val="16"/>
          <w:color w:val="auto"/>
        </w:rPr>
        <w:t>Our bye-laws contain a broad waiver by our shareholders of any claims or right of action, both individually and on our behalf, against any of our officers or directors. The waiver applies to any action taken by an officer or director, or the failure of an officer or director to take any action, in the performance of his or her duties, except with respect to any matter involving any fraud or dishonesty on the part of the officer or director. This waiver limits the right of shareholders to assert claims against our officers and directors unless the act or failure to act involves fraud.</w:t>
      </w:r>
    </w:p>
    <w:p>
      <w:pPr>
        <w:spacing w:after="0" w:line="9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34</w:t>
      </w:r>
    </w:p>
    <w:p>
      <w:pPr>
        <w:sectPr>
          <w:pgSz w:w="11900" w:h="16838" w:orient="portrait"/>
          <w:cols w:equalWidth="0" w:num="1">
            <w:col w:w="11000"/>
          </w:cols>
          <w:pgMar w:left="440" w:top="274" w:right="459" w:bottom="1440" w:gutter="0" w:footer="0" w:header="0"/>
        </w:sectPr>
      </w:pPr>
    </w:p>
    <w:bookmarkStart w:id="48" w:name="page49"/>
    <w:bookmarkEnd w:id="48"/>
    <w:p>
      <w:pPr>
        <w:ind w:left="4"/>
        <w:spacing w:after="0"/>
        <w:tabs>
          <w:tab w:leader="none" w:pos="1064" w:val="left"/>
        </w:tabs>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7174865" cy="38735"/>
                    </a:xfrm>
                    <a:prstGeom prst="rect">
                      <a:avLst/>
                    </a:prstGeom>
                    <a:noFill/>
                  </pic:spPr>
                </pic:pic>
              </a:graphicData>
            </a:graphic>
          </wp:anchor>
        </w:drawing>
        <w:t>ITEM 4.</w:t>
      </w:r>
      <w:r>
        <w:rPr>
          <w:sz w:val="20"/>
          <w:szCs w:val="20"/>
          <w:color w:val="auto"/>
        </w:rPr>
        <w:tab/>
      </w:r>
      <w:r>
        <w:rPr>
          <w:rFonts w:ascii="Arial" w:cs="Arial" w:eastAsia="Arial" w:hAnsi="Arial"/>
          <w:sz w:val="18"/>
          <w:szCs w:val="18"/>
          <w:b w:val="1"/>
          <w:bCs w:val="1"/>
          <w:color w:val="auto"/>
        </w:rPr>
        <w:t>INFORMATION ON THE COMPANY</w:t>
      </w:r>
    </w:p>
    <w:p>
      <w:pPr>
        <w:spacing w:after="0" w:line="131" w:lineRule="exact"/>
        <w:rPr>
          <w:sz w:val="20"/>
          <w:szCs w:val="20"/>
          <w:color w:val="auto"/>
        </w:rPr>
      </w:pPr>
    </w:p>
    <w:p>
      <w:pPr>
        <w:ind w:left="424" w:hanging="424"/>
        <w:spacing w:after="0"/>
        <w:tabs>
          <w:tab w:leader="none" w:pos="424" w:val="left"/>
        </w:tabs>
        <w:numPr>
          <w:ilvl w:val="0"/>
          <w:numId w:val="33"/>
        </w:numPr>
        <w:rPr>
          <w:rFonts w:ascii="Arial" w:cs="Arial" w:eastAsia="Arial" w:hAnsi="Arial"/>
          <w:sz w:val="18"/>
          <w:szCs w:val="18"/>
          <w:b w:val="1"/>
          <w:bCs w:val="1"/>
          <w:color w:val="auto"/>
        </w:rPr>
      </w:pPr>
      <w:r>
        <w:rPr>
          <w:rFonts w:ascii="Arial" w:cs="Arial" w:eastAsia="Arial" w:hAnsi="Arial"/>
          <w:sz w:val="18"/>
          <w:szCs w:val="18"/>
          <w:b w:val="1"/>
          <w:bCs w:val="1"/>
          <w:color w:val="auto"/>
        </w:rPr>
        <w:t>History and Development of the Company</w:t>
      </w:r>
    </w:p>
    <w:p>
      <w:pPr>
        <w:spacing w:after="0" w:line="121" w:lineRule="exact"/>
        <w:rPr>
          <w:sz w:val="20"/>
          <w:szCs w:val="20"/>
          <w:color w:val="auto"/>
        </w:rPr>
      </w:pPr>
    </w:p>
    <w:p>
      <w:pPr>
        <w:ind w:left="4" w:right="120" w:firstLine="440"/>
        <w:spacing w:after="0" w:line="311" w:lineRule="auto"/>
        <w:rPr>
          <w:sz w:val="20"/>
          <w:szCs w:val="20"/>
          <w:color w:val="auto"/>
        </w:rPr>
      </w:pPr>
      <w:r>
        <w:rPr>
          <w:rFonts w:ascii="Arial" w:cs="Arial" w:eastAsia="Arial" w:hAnsi="Arial"/>
          <w:sz w:val="16"/>
          <w:szCs w:val="16"/>
          <w:color w:val="auto"/>
        </w:rPr>
        <w:t>Our business began operations in 1979. We reorganized our business in 1993 and incorporated Textainer Group Holdings Limited under the laws of Bermuda as a holding company of a group of corporations involved in the purchase, ownership, management, leasing and disposal of a fleet of intermodal containers. Textainer Group Holdings Limited is incorporated with an indefinite duration under registration number EC18896.</w:t>
      </w:r>
    </w:p>
    <w:p>
      <w:pPr>
        <w:spacing w:after="0" w:line="149" w:lineRule="exact"/>
        <w:rPr>
          <w:sz w:val="20"/>
          <w:szCs w:val="20"/>
          <w:color w:val="auto"/>
        </w:rPr>
      </w:pPr>
    </w:p>
    <w:p>
      <w:pPr>
        <w:ind w:left="4" w:right="120" w:firstLine="440"/>
        <w:spacing w:after="0" w:line="257" w:lineRule="auto"/>
        <w:rPr>
          <w:sz w:val="20"/>
          <w:szCs w:val="20"/>
          <w:color w:val="auto"/>
        </w:rPr>
      </w:pPr>
      <w:r>
        <w:rPr>
          <w:rFonts w:ascii="Arial" w:cs="Arial" w:eastAsia="Arial" w:hAnsi="Arial"/>
          <w:sz w:val="18"/>
          <w:szCs w:val="18"/>
          <w:color w:val="auto"/>
        </w:rPr>
        <w:t>Textainer Group Holdings Limited’s common shares are primary listed on the NYSE under the symbol “TGH”. The Company’s common shares are secondary listed on the JSE in Johannesburg, South Africa under the symbol “TXT”. Textainer Group Holdings Limited’s headquarters office is located at Century House, 16 Par-La-Ville Road, Hamilton HM 08 Bermuda and our telephone number is (441) 296-2500. Our agent in the United States is Daniel W. Cohen, Textainer Group Holdings Limited, c/o Textainer Equipment Management (U.S.) Limited, 650 California Street, 16</w:t>
      </w:r>
      <w:r>
        <w:rPr>
          <w:rFonts w:ascii="Arial" w:cs="Arial" w:eastAsia="Arial" w:hAnsi="Arial"/>
          <w:sz w:val="15"/>
          <w:szCs w:val="15"/>
          <w:color w:val="auto"/>
        </w:rPr>
        <w:t>th</w:t>
      </w:r>
      <w:r>
        <w:rPr>
          <w:rFonts w:ascii="Arial" w:cs="Arial" w:eastAsia="Arial" w:hAnsi="Arial"/>
          <w:sz w:val="18"/>
          <w:szCs w:val="18"/>
          <w:color w:val="auto"/>
        </w:rPr>
        <w:t xml:space="preserve"> Floor, San Francisco, CA 94108.</w:t>
      </w:r>
    </w:p>
    <w:p>
      <w:pPr>
        <w:spacing w:after="0" w:line="188" w:lineRule="exact"/>
        <w:rPr>
          <w:sz w:val="20"/>
          <w:szCs w:val="20"/>
          <w:color w:val="auto"/>
        </w:rPr>
      </w:pPr>
    </w:p>
    <w:p>
      <w:pPr>
        <w:ind w:left="444"/>
        <w:spacing w:after="0"/>
        <w:rPr>
          <w:sz w:val="20"/>
          <w:szCs w:val="20"/>
          <w:color w:val="auto"/>
        </w:rPr>
      </w:pPr>
      <w:r>
        <w:rPr>
          <w:rFonts w:ascii="Arial" w:cs="Arial" w:eastAsia="Arial" w:hAnsi="Arial"/>
          <w:sz w:val="18"/>
          <w:szCs w:val="18"/>
          <w:color w:val="auto"/>
        </w:rPr>
        <w:t>At December 31, 2020, Textainer Group Holdings Limited had two directly-owned subsidiaries:</w:t>
      </w:r>
    </w:p>
    <w:p>
      <w:pPr>
        <w:spacing w:after="0" w:line="131" w:lineRule="exact"/>
        <w:rPr>
          <w:sz w:val="20"/>
          <w:szCs w:val="20"/>
          <w:color w:val="auto"/>
        </w:rPr>
      </w:pPr>
    </w:p>
    <w:p>
      <w:pPr>
        <w:jc w:val="both"/>
        <w:ind w:left="964" w:right="320" w:hanging="532"/>
        <w:spacing w:after="0" w:line="263" w:lineRule="auto"/>
        <w:tabs>
          <w:tab w:leader="none" w:pos="964" w:val="left"/>
        </w:tabs>
        <w:numPr>
          <w:ilvl w:val="0"/>
          <w:numId w:val="34"/>
        </w:numPr>
        <w:rPr>
          <w:rFonts w:ascii="Arial" w:cs="Arial" w:eastAsia="Arial" w:hAnsi="Arial"/>
          <w:sz w:val="18"/>
          <w:szCs w:val="18"/>
          <w:color w:val="auto"/>
        </w:rPr>
      </w:pPr>
      <w:r>
        <w:rPr>
          <w:rFonts w:ascii="Arial" w:cs="Arial" w:eastAsia="Arial" w:hAnsi="Arial"/>
          <w:sz w:val="18"/>
          <w:szCs w:val="18"/>
          <w:color w:val="auto"/>
        </w:rPr>
        <w:t xml:space="preserve">Textainer Equipment Management Limited (“TEML”), our wholly-owned subsidiary incorporated in Bermuda, which together with its four wholly-owned subsidiaries (see Item 4 (C), </w:t>
      </w:r>
      <w:r>
        <w:rPr>
          <w:rFonts w:ascii="Arial" w:cs="Arial" w:eastAsia="Arial" w:hAnsi="Arial"/>
          <w:sz w:val="18"/>
          <w:szCs w:val="18"/>
          <w:i w:val="1"/>
          <w:iCs w:val="1"/>
          <w:color w:val="auto"/>
        </w:rPr>
        <w:t>“Organizational Structure”)</w:t>
      </w:r>
      <w:r>
        <w:rPr>
          <w:rFonts w:ascii="Arial" w:cs="Arial" w:eastAsia="Arial" w:hAnsi="Arial"/>
          <w:sz w:val="18"/>
          <w:szCs w:val="18"/>
          <w:color w:val="auto"/>
        </w:rPr>
        <w:t xml:space="preserve"> provides container management, acquisition and disposal services to affiliated and unaffiliated container investors; and</w:t>
      </w:r>
    </w:p>
    <w:p>
      <w:pPr>
        <w:spacing w:after="0" w:line="89" w:lineRule="exact"/>
        <w:rPr>
          <w:rFonts w:ascii="Arial" w:cs="Arial" w:eastAsia="Arial" w:hAnsi="Arial"/>
          <w:sz w:val="18"/>
          <w:szCs w:val="18"/>
          <w:color w:val="auto"/>
        </w:rPr>
      </w:pPr>
    </w:p>
    <w:p>
      <w:pPr>
        <w:ind w:left="964" w:hanging="532"/>
        <w:spacing w:after="0"/>
        <w:tabs>
          <w:tab w:leader="none" w:pos="964" w:val="left"/>
        </w:tabs>
        <w:numPr>
          <w:ilvl w:val="0"/>
          <w:numId w:val="34"/>
        </w:numPr>
        <w:rPr>
          <w:rFonts w:ascii="Arial" w:cs="Arial" w:eastAsia="Arial" w:hAnsi="Arial"/>
          <w:sz w:val="16"/>
          <w:szCs w:val="16"/>
          <w:color w:val="auto"/>
        </w:rPr>
      </w:pPr>
      <w:r>
        <w:rPr>
          <w:rFonts w:ascii="Arial" w:cs="Arial" w:eastAsia="Arial" w:hAnsi="Arial"/>
          <w:sz w:val="16"/>
          <w:szCs w:val="16"/>
          <w:color w:val="auto"/>
        </w:rPr>
        <w:t>Textainer Limited (“TL”), our wholly-owned subsidiary incorporated in Bermuda, which owns containers directly and via six subsidiaries:</w:t>
      </w:r>
    </w:p>
    <w:p>
      <w:pPr>
        <w:spacing w:after="0" w:line="153" w:lineRule="exact"/>
        <w:rPr>
          <w:rFonts w:ascii="Arial" w:cs="Arial" w:eastAsia="Arial" w:hAnsi="Arial"/>
          <w:sz w:val="16"/>
          <w:szCs w:val="16"/>
          <w:color w:val="auto"/>
        </w:rPr>
      </w:pPr>
    </w:p>
    <w:p>
      <w:pPr>
        <w:ind w:left="1424" w:hanging="439"/>
        <w:spacing w:after="0"/>
        <w:tabs>
          <w:tab w:leader="none" w:pos="1424" w:val="left"/>
        </w:tabs>
        <w:numPr>
          <w:ilvl w:val="1"/>
          <w:numId w:val="34"/>
        </w:numPr>
        <w:rPr>
          <w:rFonts w:ascii="Arial" w:cs="Arial" w:eastAsia="Arial" w:hAnsi="Arial"/>
          <w:sz w:val="18"/>
          <w:szCs w:val="18"/>
          <w:color w:val="auto"/>
        </w:rPr>
      </w:pPr>
      <w:r>
        <w:rPr>
          <w:rFonts w:ascii="Arial" w:cs="Arial" w:eastAsia="Arial" w:hAnsi="Arial"/>
          <w:sz w:val="18"/>
          <w:szCs w:val="18"/>
          <w:color w:val="auto"/>
        </w:rPr>
        <w:t>Textainer Marine Containers II Limited (“TMCL II”), a Bermuda company which is wholly-owned by TL;</w:t>
      </w:r>
    </w:p>
    <w:p>
      <w:pPr>
        <w:spacing w:after="0" w:line="130" w:lineRule="exact"/>
        <w:rPr>
          <w:rFonts w:ascii="Arial" w:cs="Arial" w:eastAsia="Arial" w:hAnsi="Arial"/>
          <w:sz w:val="18"/>
          <w:szCs w:val="18"/>
          <w:color w:val="auto"/>
        </w:rPr>
      </w:pPr>
    </w:p>
    <w:p>
      <w:pPr>
        <w:ind w:left="1424" w:hanging="439"/>
        <w:spacing w:after="0"/>
        <w:tabs>
          <w:tab w:leader="none" w:pos="1424" w:val="left"/>
        </w:tabs>
        <w:numPr>
          <w:ilvl w:val="1"/>
          <w:numId w:val="34"/>
        </w:numPr>
        <w:rPr>
          <w:rFonts w:ascii="Arial" w:cs="Arial" w:eastAsia="Arial" w:hAnsi="Arial"/>
          <w:sz w:val="18"/>
          <w:szCs w:val="18"/>
          <w:color w:val="auto"/>
        </w:rPr>
      </w:pPr>
      <w:r>
        <w:rPr>
          <w:rFonts w:ascii="Arial" w:cs="Arial" w:eastAsia="Arial" w:hAnsi="Arial"/>
          <w:sz w:val="18"/>
          <w:szCs w:val="18"/>
          <w:color w:val="auto"/>
        </w:rPr>
        <w:t>Textainer Marine Containers V Limited (“TMCL V”), a Bermuda company which is wholly-owned by TL;</w:t>
      </w:r>
    </w:p>
    <w:p>
      <w:pPr>
        <w:spacing w:after="0" w:line="130" w:lineRule="exact"/>
        <w:rPr>
          <w:rFonts w:ascii="Arial" w:cs="Arial" w:eastAsia="Arial" w:hAnsi="Arial"/>
          <w:sz w:val="18"/>
          <w:szCs w:val="18"/>
          <w:color w:val="auto"/>
        </w:rPr>
      </w:pPr>
    </w:p>
    <w:p>
      <w:pPr>
        <w:ind w:left="1424" w:hanging="439"/>
        <w:spacing w:after="0"/>
        <w:tabs>
          <w:tab w:leader="none" w:pos="1424" w:val="left"/>
        </w:tabs>
        <w:numPr>
          <w:ilvl w:val="1"/>
          <w:numId w:val="34"/>
        </w:numPr>
        <w:rPr>
          <w:rFonts w:ascii="Arial" w:cs="Arial" w:eastAsia="Arial" w:hAnsi="Arial"/>
          <w:sz w:val="18"/>
          <w:szCs w:val="18"/>
          <w:color w:val="auto"/>
        </w:rPr>
      </w:pPr>
      <w:r>
        <w:rPr>
          <w:rFonts w:ascii="Arial" w:cs="Arial" w:eastAsia="Arial" w:hAnsi="Arial"/>
          <w:sz w:val="18"/>
          <w:szCs w:val="18"/>
          <w:color w:val="auto"/>
        </w:rPr>
        <w:t>Textainer Marine Containers VI Limited (“TMCL VI”), a Bermuda company which is wholly-owned by TL;</w:t>
      </w:r>
    </w:p>
    <w:p>
      <w:pPr>
        <w:spacing w:after="0" w:line="130" w:lineRule="exact"/>
        <w:rPr>
          <w:rFonts w:ascii="Arial" w:cs="Arial" w:eastAsia="Arial" w:hAnsi="Arial"/>
          <w:sz w:val="18"/>
          <w:szCs w:val="18"/>
          <w:color w:val="auto"/>
        </w:rPr>
      </w:pPr>
    </w:p>
    <w:p>
      <w:pPr>
        <w:ind w:left="1424" w:hanging="439"/>
        <w:spacing w:after="0"/>
        <w:tabs>
          <w:tab w:leader="none" w:pos="1424" w:val="left"/>
        </w:tabs>
        <w:numPr>
          <w:ilvl w:val="1"/>
          <w:numId w:val="34"/>
        </w:numPr>
        <w:rPr>
          <w:rFonts w:ascii="Arial" w:cs="Arial" w:eastAsia="Arial" w:hAnsi="Arial"/>
          <w:sz w:val="18"/>
          <w:szCs w:val="18"/>
          <w:color w:val="auto"/>
        </w:rPr>
      </w:pPr>
      <w:r>
        <w:rPr>
          <w:rFonts w:ascii="Arial" w:cs="Arial" w:eastAsia="Arial" w:hAnsi="Arial"/>
          <w:sz w:val="18"/>
          <w:szCs w:val="18"/>
          <w:color w:val="auto"/>
        </w:rPr>
        <w:t>Textainer Marine Containers VII Limited (“TMCL VII”), a Bermuda company which is wholly-owned by TL;</w:t>
      </w:r>
    </w:p>
    <w:p>
      <w:pPr>
        <w:spacing w:after="0" w:line="130" w:lineRule="exact"/>
        <w:rPr>
          <w:rFonts w:ascii="Arial" w:cs="Arial" w:eastAsia="Arial" w:hAnsi="Arial"/>
          <w:sz w:val="18"/>
          <w:szCs w:val="18"/>
          <w:color w:val="auto"/>
        </w:rPr>
      </w:pPr>
    </w:p>
    <w:p>
      <w:pPr>
        <w:ind w:left="1424" w:hanging="439"/>
        <w:spacing w:after="0"/>
        <w:tabs>
          <w:tab w:leader="none" w:pos="1424" w:val="left"/>
        </w:tabs>
        <w:numPr>
          <w:ilvl w:val="1"/>
          <w:numId w:val="34"/>
        </w:numPr>
        <w:rPr>
          <w:rFonts w:ascii="Arial" w:cs="Arial" w:eastAsia="Arial" w:hAnsi="Arial"/>
          <w:sz w:val="18"/>
          <w:szCs w:val="18"/>
          <w:color w:val="auto"/>
        </w:rPr>
      </w:pPr>
      <w:r>
        <w:rPr>
          <w:rFonts w:ascii="Arial" w:cs="Arial" w:eastAsia="Arial" w:hAnsi="Arial"/>
          <w:sz w:val="18"/>
          <w:szCs w:val="18"/>
          <w:color w:val="auto"/>
        </w:rPr>
        <w:t>Leased Assets Pool Company Limited (“LAPCO”), a Bermuda company which is wholly-owned by TL; and</w:t>
      </w:r>
    </w:p>
    <w:p>
      <w:pPr>
        <w:spacing w:after="0" w:line="130" w:lineRule="exact"/>
        <w:rPr>
          <w:rFonts w:ascii="Arial" w:cs="Arial" w:eastAsia="Arial" w:hAnsi="Arial"/>
          <w:sz w:val="18"/>
          <w:szCs w:val="18"/>
          <w:color w:val="auto"/>
        </w:rPr>
      </w:pPr>
    </w:p>
    <w:p>
      <w:pPr>
        <w:ind w:left="1424" w:right="200" w:hanging="439"/>
        <w:spacing w:after="0" w:line="259" w:lineRule="auto"/>
        <w:tabs>
          <w:tab w:leader="none" w:pos="1424" w:val="left"/>
        </w:tabs>
        <w:numPr>
          <w:ilvl w:val="1"/>
          <w:numId w:val="34"/>
        </w:numPr>
        <w:rPr>
          <w:rFonts w:ascii="Arial" w:cs="Arial" w:eastAsia="Arial" w:hAnsi="Arial"/>
          <w:sz w:val="18"/>
          <w:szCs w:val="18"/>
          <w:color w:val="auto"/>
        </w:rPr>
      </w:pPr>
      <w:r>
        <w:rPr>
          <w:rFonts w:ascii="Arial" w:cs="Arial" w:eastAsia="Arial" w:hAnsi="Arial"/>
          <w:sz w:val="18"/>
          <w:szCs w:val="18"/>
          <w:color w:val="auto"/>
        </w:rPr>
        <w:t xml:space="preserve">TAP Funding Ltd. (“TAP Funding”), a Bermuda company in which TL and TAP Limited (“TAP”) hold common shares of 50.1% and 49.9%, respectively, and voting rights of 66.7% and 33.3%, respectively (see Note 1 “Nature of Business and Summary of Significant Accounting Polices” and Note 14 “Subsequent Events” to our consolidated financial statements in Item 18, </w:t>
      </w:r>
      <w:r>
        <w:rPr>
          <w:rFonts w:ascii="Arial" w:cs="Arial" w:eastAsia="Arial" w:hAnsi="Arial"/>
          <w:sz w:val="18"/>
          <w:szCs w:val="18"/>
          <w:i w:val="1"/>
          <w:iCs w:val="1"/>
          <w:color w:val="auto"/>
        </w:rPr>
        <w:t>“Financial</w:t>
      </w:r>
      <w:r>
        <w:rPr>
          <w:rFonts w:ascii="Arial" w:cs="Arial" w:eastAsia="Arial" w:hAnsi="Arial"/>
          <w:sz w:val="18"/>
          <w:szCs w:val="18"/>
          <w:color w:val="auto"/>
        </w:rPr>
        <w:t xml:space="preserve"> </w:t>
      </w:r>
      <w:r>
        <w:rPr>
          <w:rFonts w:ascii="Arial" w:cs="Arial" w:eastAsia="Arial" w:hAnsi="Arial"/>
          <w:sz w:val="18"/>
          <w:szCs w:val="18"/>
          <w:i w:val="1"/>
          <w:iCs w:val="1"/>
          <w:color w:val="auto"/>
        </w:rPr>
        <w:t xml:space="preserve">Statements” </w:t>
      </w:r>
      <w:r>
        <w:rPr>
          <w:rFonts w:ascii="Arial" w:cs="Arial" w:eastAsia="Arial" w:hAnsi="Arial"/>
          <w:sz w:val="18"/>
          <w:szCs w:val="18"/>
          <w:color w:val="auto"/>
        </w:rPr>
        <w:t>in this Annual Report on Form 20-F for further information).</w:t>
      </w:r>
    </w:p>
    <w:p>
      <w:pPr>
        <w:spacing w:after="0" w:line="187" w:lineRule="exact"/>
        <w:rPr>
          <w:sz w:val="20"/>
          <w:szCs w:val="20"/>
          <w:color w:val="auto"/>
        </w:rPr>
      </w:pPr>
    </w:p>
    <w:p>
      <w:pPr>
        <w:ind w:left="4" w:firstLine="440"/>
        <w:spacing w:after="0" w:line="277" w:lineRule="auto"/>
        <w:rPr>
          <w:sz w:val="20"/>
          <w:szCs w:val="20"/>
          <w:color w:val="auto"/>
        </w:rPr>
      </w:pPr>
      <w:r>
        <w:rPr>
          <w:rFonts w:ascii="Arial" w:cs="Arial" w:eastAsia="Arial" w:hAnsi="Arial"/>
          <w:sz w:val="18"/>
          <w:szCs w:val="18"/>
          <w:color w:val="auto"/>
        </w:rPr>
        <w:t>Our internet website address is www.textainer.com. The information contained on, or that can be accessed through, our website is not incorporated into and is not intended to be a part of this Annual Report on Form 20-F.</w:t>
      </w:r>
    </w:p>
    <w:p>
      <w:pPr>
        <w:spacing w:after="0" w:line="278" w:lineRule="exact"/>
        <w:rPr>
          <w:sz w:val="20"/>
          <w:szCs w:val="20"/>
          <w:color w:val="auto"/>
        </w:rPr>
      </w:pPr>
    </w:p>
    <w:p>
      <w:pPr>
        <w:ind w:left="4"/>
        <w:spacing w:after="0"/>
        <w:rPr>
          <w:sz w:val="20"/>
          <w:szCs w:val="20"/>
          <w:color w:val="auto"/>
        </w:rPr>
      </w:pPr>
      <w:r>
        <w:rPr>
          <w:rFonts w:ascii="Arial" w:cs="Arial" w:eastAsia="Arial" w:hAnsi="Arial"/>
          <w:sz w:val="18"/>
          <w:szCs w:val="18"/>
          <w:b w:val="1"/>
          <w:bCs w:val="1"/>
          <w:i w:val="1"/>
          <w:iCs w:val="1"/>
          <w:color w:val="auto"/>
        </w:rPr>
        <w:t>Significant Events</w:t>
      </w:r>
    </w:p>
    <w:p>
      <w:pPr>
        <w:spacing w:after="0" w:line="117" w:lineRule="exact"/>
        <w:rPr>
          <w:sz w:val="20"/>
          <w:szCs w:val="20"/>
          <w:color w:val="auto"/>
        </w:rPr>
      </w:pPr>
    </w:p>
    <w:p>
      <w:pPr>
        <w:ind w:left="4" w:right="80" w:firstLine="440"/>
        <w:spacing w:after="0" w:line="272" w:lineRule="auto"/>
        <w:rPr>
          <w:sz w:val="20"/>
          <w:szCs w:val="20"/>
          <w:color w:val="auto"/>
        </w:rPr>
      </w:pPr>
      <w:r>
        <w:rPr>
          <w:rFonts w:ascii="Arial" w:cs="Arial" w:eastAsia="Arial" w:hAnsi="Arial"/>
          <w:sz w:val="17"/>
          <w:szCs w:val="17"/>
          <w:color w:val="auto"/>
        </w:rPr>
        <w:t xml:space="preserve">In August 2016, Hanjin Shipping company Co., Ltd (“Hanjin”), filed for bankruptcy. The Company maintained insurance that covers a portion of the exposure related to the value of containers that are unlikely to be recovered from its customers, the cost to recover containers and up to 183 days of lost lease rental income. The Company entered into a final agreement with the insurance companies on December 31, 2018 and the total remaining payments of $9,814 for the Company’s owned fleet were received in January and early February 2019. In 2019, the Company received a net cash distribution of $14,881 from the Hanjin bankruptcy estate for its owned fleet. As of December 31, 2020, there is no insurance receivable for the Company’s owned fleet related to this bankrupt customer. (see Note 2 “Insurance Receivable and Impairment” to our consolidated financial statements in Item 18, </w:t>
      </w:r>
      <w:r>
        <w:rPr>
          <w:rFonts w:ascii="Arial" w:cs="Arial" w:eastAsia="Arial" w:hAnsi="Arial"/>
          <w:sz w:val="17"/>
          <w:szCs w:val="17"/>
          <w:i w:val="1"/>
          <w:iCs w:val="1"/>
          <w:color w:val="auto"/>
        </w:rPr>
        <w:t>“Financial Statements”</w:t>
      </w:r>
      <w:r>
        <w:rPr>
          <w:rFonts w:ascii="Arial" w:cs="Arial" w:eastAsia="Arial" w:hAnsi="Arial"/>
          <w:sz w:val="17"/>
          <w:szCs w:val="17"/>
          <w:color w:val="auto"/>
        </w:rPr>
        <w:t xml:space="preserve"> in this Annual Report on Form 20-F for additional information).</w:t>
      </w:r>
    </w:p>
    <w:p>
      <w:pPr>
        <w:spacing w:after="0" w:line="110"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35</w:t>
      </w:r>
    </w:p>
    <w:p>
      <w:pPr>
        <w:sectPr>
          <w:pgSz w:w="11900" w:h="16838" w:orient="portrait"/>
          <w:cols w:equalWidth="0" w:num="1">
            <w:col w:w="11004"/>
          </w:cols>
          <w:pgMar w:left="436" w:top="270" w:right="459" w:bottom="1440" w:gutter="0" w:footer="0" w:header="0"/>
        </w:sectPr>
      </w:pPr>
    </w:p>
    <w:bookmarkStart w:id="49" w:name="page50"/>
    <w:bookmarkEnd w:id="49"/>
    <w:p>
      <w:pPr>
        <w:ind w:right="160" w:firstLine="44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7174865" cy="38735"/>
                    </a:xfrm>
                    <a:prstGeom prst="rect">
                      <a:avLst/>
                    </a:prstGeom>
                    <a:noFill/>
                  </pic:spPr>
                </pic:pic>
              </a:graphicData>
            </a:graphic>
          </wp:anchor>
        </w:drawing>
        <w:t>In October 2018, TL entered into an agreement to purchase 75% of the total outstanding common shares of TW Container Leasing, Ltd. (“TW”) from Wells Fargo Container Corp. (“WFC”) for a cash consideration of $29,658. In January 2019, the Company dissolved TW, its wholly-owned subsidiary.</w:t>
      </w:r>
    </w:p>
    <w:p>
      <w:pPr>
        <w:spacing w:after="0" w:line="184" w:lineRule="exact"/>
        <w:rPr>
          <w:sz w:val="20"/>
          <w:szCs w:val="20"/>
          <w:color w:val="auto"/>
        </w:rPr>
      </w:pPr>
    </w:p>
    <w:p>
      <w:pPr>
        <w:ind w:right="20" w:firstLine="440"/>
        <w:spacing w:after="0" w:line="296" w:lineRule="auto"/>
        <w:rPr>
          <w:sz w:val="20"/>
          <w:szCs w:val="20"/>
          <w:color w:val="auto"/>
        </w:rPr>
      </w:pPr>
      <w:r>
        <w:rPr>
          <w:rFonts w:ascii="Arial" w:cs="Arial" w:eastAsia="Arial" w:hAnsi="Arial"/>
          <w:sz w:val="16"/>
          <w:szCs w:val="16"/>
          <w:color w:val="auto"/>
        </w:rPr>
        <w:t>In September 2019, the Company announced that Trencor Limited (“Trencor”), a company publicly traded on the JSE in Johannesburg, South Africa under the symbol “TRE” and the former holder of 27.2 million common shares or approximately 47.5% of the Company’s issued and outstanding common shares, filed with the JSE a circular (the “Trencor circular”) requesting that Trencor’s shareholders approve the unbundling of Trencor’s shares in Textainer. The Trencor circular was approved by Trencor’s shareholders in October 2019 and the Trencor share unbundling was implemented in December 2019. In June 2020, Trencor distributed the remaining 3.0 million shares it retained in the Company to Trencor’s own shareholders.</w:t>
      </w:r>
    </w:p>
    <w:p>
      <w:pPr>
        <w:spacing w:after="0" w:line="161" w:lineRule="exact"/>
        <w:rPr>
          <w:sz w:val="20"/>
          <w:szCs w:val="20"/>
          <w:color w:val="auto"/>
        </w:rPr>
      </w:pPr>
    </w:p>
    <w:p>
      <w:pPr>
        <w:ind w:firstLine="440"/>
        <w:spacing w:after="0" w:line="263" w:lineRule="auto"/>
        <w:rPr>
          <w:sz w:val="20"/>
          <w:szCs w:val="20"/>
          <w:color w:val="auto"/>
        </w:rPr>
      </w:pPr>
      <w:r>
        <w:rPr>
          <w:rFonts w:ascii="Arial" w:cs="Arial" w:eastAsia="Arial" w:hAnsi="Arial"/>
          <w:sz w:val="18"/>
          <w:szCs w:val="18"/>
          <w:color w:val="auto"/>
        </w:rPr>
        <w:t>In December 2019, the Company filed a Pre-Listing Announcement with the JSE to commence a secondary, or dual, listing of the Company’s common shares on the Main Board of the JSE under the share code “TXT” with commencement of trading on December 11, 2019. The secondary listing was not in connection with any current capital raising effort.</w:t>
      </w:r>
    </w:p>
    <w:p>
      <w:pPr>
        <w:spacing w:after="0" w:line="184" w:lineRule="exact"/>
        <w:rPr>
          <w:sz w:val="20"/>
          <w:szCs w:val="20"/>
          <w:color w:val="auto"/>
        </w:rPr>
      </w:pPr>
    </w:p>
    <w:p>
      <w:pPr>
        <w:ind w:right="120" w:firstLine="440"/>
        <w:spacing w:after="0" w:line="293" w:lineRule="auto"/>
        <w:rPr>
          <w:sz w:val="20"/>
          <w:szCs w:val="20"/>
          <w:color w:val="auto"/>
        </w:rPr>
      </w:pPr>
      <w:r>
        <w:rPr>
          <w:rFonts w:ascii="Arial" w:cs="Arial" w:eastAsia="Arial" w:hAnsi="Arial"/>
          <w:sz w:val="16"/>
          <w:szCs w:val="16"/>
          <w:color w:val="auto"/>
        </w:rPr>
        <w:t xml:space="preserve">In December 2019, the Company entered into a stock purchase agreement with TAC Limited, a wholly-owned subsidiary of Trencor, to purchase LAPCO. The purchase price consideration consisted of $65,527 in cash paid to TAC Limited and cash amounts paid by the Company to fully repay LAPCO’s debt facility of $126,289. The Company repaid LAPCO’s existing debt at the closing by refinancing this debt in the Company’s existing revolving credit facility. LAPCO owned a fleet of approximately 161,000 TEU of intermodal containers managed by the Company and approximately 3,000 TEU of containers managed by other container lessors (see Note 1 “Nature of Business and Summary of Significant Accounting Policies” to our consolidated financial statements in Item 18, </w:t>
      </w:r>
      <w:r>
        <w:rPr>
          <w:rFonts w:ascii="Arial" w:cs="Arial" w:eastAsia="Arial" w:hAnsi="Arial"/>
          <w:sz w:val="16"/>
          <w:szCs w:val="16"/>
          <w:i w:val="1"/>
          <w:iCs w:val="1"/>
          <w:color w:val="auto"/>
        </w:rPr>
        <w:t>“Financial Statements”</w:t>
      </w:r>
      <w:r>
        <w:rPr>
          <w:rFonts w:ascii="Arial" w:cs="Arial" w:eastAsia="Arial" w:hAnsi="Arial"/>
          <w:sz w:val="16"/>
          <w:szCs w:val="16"/>
          <w:color w:val="auto"/>
        </w:rPr>
        <w:t xml:space="preserve"> in this Annual Report on Form 20-F for additional information).</w:t>
      </w:r>
    </w:p>
    <w:p>
      <w:pPr>
        <w:spacing w:after="0" w:line="164" w:lineRule="exact"/>
        <w:rPr>
          <w:sz w:val="20"/>
          <w:szCs w:val="20"/>
          <w:color w:val="auto"/>
        </w:rPr>
      </w:pPr>
    </w:p>
    <w:p>
      <w:pPr>
        <w:ind w:right="100" w:firstLine="440"/>
        <w:spacing w:after="0" w:line="286" w:lineRule="auto"/>
        <w:rPr>
          <w:sz w:val="20"/>
          <w:szCs w:val="20"/>
          <w:color w:val="auto"/>
        </w:rPr>
      </w:pPr>
      <w:r>
        <w:rPr>
          <w:rFonts w:ascii="Arial" w:cs="Arial" w:eastAsia="Arial" w:hAnsi="Arial"/>
          <w:sz w:val="17"/>
          <w:szCs w:val="17"/>
          <w:color w:val="auto"/>
        </w:rPr>
        <w:t>In June 2020, we concluded a container purchase totaling approximately 4,200 containers that we had been managing for an institutional investor for a total purchase consideration of $12,515. The purchase of these previously managed containers resulted to the settlement of the deemed container leaseback financial liability and termination of the management agreement between the Company and the Container Investor.</w:t>
      </w:r>
    </w:p>
    <w:p>
      <w:pPr>
        <w:spacing w:after="0" w:line="165" w:lineRule="exact"/>
        <w:rPr>
          <w:sz w:val="20"/>
          <w:szCs w:val="20"/>
          <w:color w:val="auto"/>
        </w:rPr>
      </w:pPr>
    </w:p>
    <w:p>
      <w:pPr>
        <w:ind w:right="740" w:firstLine="440"/>
        <w:spacing w:after="0" w:line="277" w:lineRule="auto"/>
        <w:rPr>
          <w:sz w:val="20"/>
          <w:szCs w:val="20"/>
          <w:color w:val="auto"/>
        </w:rPr>
      </w:pPr>
      <w:r>
        <w:rPr>
          <w:rFonts w:ascii="Arial" w:cs="Arial" w:eastAsia="Arial" w:hAnsi="Arial"/>
          <w:sz w:val="18"/>
          <w:szCs w:val="18"/>
          <w:color w:val="auto"/>
        </w:rPr>
        <w:t>In July 2020, we concluded a container purchase totaling approximately 19,800 containers from a shipping company for a total purchase consideration of $29,900.</w:t>
      </w:r>
    </w:p>
    <w:p>
      <w:pPr>
        <w:spacing w:after="0" w:line="170" w:lineRule="exact"/>
        <w:rPr>
          <w:sz w:val="20"/>
          <w:szCs w:val="20"/>
          <w:color w:val="auto"/>
        </w:rPr>
      </w:pPr>
    </w:p>
    <w:p>
      <w:pPr>
        <w:ind w:right="20" w:firstLine="440"/>
        <w:spacing w:after="0" w:line="254" w:lineRule="auto"/>
        <w:rPr>
          <w:sz w:val="20"/>
          <w:szCs w:val="20"/>
          <w:color w:val="auto"/>
        </w:rPr>
      </w:pPr>
      <w:r>
        <w:rPr>
          <w:rFonts w:ascii="Arial" w:cs="Arial" w:eastAsia="Arial" w:hAnsi="Arial"/>
          <w:sz w:val="18"/>
          <w:szCs w:val="18"/>
          <w:color w:val="auto"/>
        </w:rPr>
        <w:t xml:space="preserve">In August 2020, TMCL VII issued $450,000 aggregate principal amount of Series 2020-1 Fixed Rate Asset Backed Notes (“TMCL VII 2020-1 Bonds”). In September 2020, TMCL VII issued $607,800 aggregate principal amount of Series 2020-2 Fixed Rate Asset Backed Notes (“TMCL VII 2020-2 Bonds”) and $221,000 aggregate principal amount of Series 2020-3 Fixed Rate Asset Backed Notes (“TMCL VII 2020-3 Bonds”). Proceeds from 2020-1 Bonds, 2020-2 Bonds and 2020-3 Bonds were primarily used to pay down debt in our secured debt facility and revolving credit facility and to pay off the TMCL VII Series 2018-1 (“TMCL VII 2018-1”), TMCL V Series 2017-1 (“TMCL V 2017-1”) and TMCL V Series 2017-2 Fixed Rate Asset Backed Notes (“TMCL V 2017-2”). (see Note 8 “Debt” to our consolidated financial statements in Item 18, </w:t>
      </w:r>
      <w:r>
        <w:rPr>
          <w:rFonts w:ascii="Arial" w:cs="Arial" w:eastAsia="Arial" w:hAnsi="Arial"/>
          <w:sz w:val="18"/>
          <w:szCs w:val="18"/>
          <w:i w:val="1"/>
          <w:iCs w:val="1"/>
          <w:color w:val="auto"/>
        </w:rPr>
        <w:t>“Financial Statements”</w:t>
      </w:r>
      <w:r>
        <w:rPr>
          <w:rFonts w:ascii="Arial" w:cs="Arial" w:eastAsia="Arial" w:hAnsi="Arial"/>
          <w:sz w:val="18"/>
          <w:szCs w:val="18"/>
          <w:color w:val="auto"/>
        </w:rPr>
        <w:t xml:space="preserve"> in this Annual Report on Form 20- F for additional information).</w:t>
      </w:r>
    </w:p>
    <w:p>
      <w:pPr>
        <w:spacing w:after="0" w:line="195" w:lineRule="exact"/>
        <w:rPr>
          <w:sz w:val="20"/>
          <w:szCs w:val="20"/>
          <w:color w:val="auto"/>
        </w:rPr>
      </w:pPr>
    </w:p>
    <w:p>
      <w:pPr>
        <w:ind w:right="60" w:firstLine="440"/>
        <w:spacing w:after="0" w:line="263" w:lineRule="auto"/>
        <w:rPr>
          <w:sz w:val="20"/>
          <w:szCs w:val="20"/>
          <w:color w:val="auto"/>
        </w:rPr>
      </w:pPr>
      <w:r>
        <w:rPr>
          <w:rFonts w:ascii="Arial" w:cs="Arial" w:eastAsia="Arial" w:hAnsi="Arial"/>
          <w:sz w:val="18"/>
          <w:szCs w:val="18"/>
          <w:color w:val="auto"/>
        </w:rPr>
        <w:t>In January 2021, the Company completed the acquisition of 49.9% of the common shares of TAP Funding from TAP Ltd. for a total purchase price consideration of $21.5 million. Following the acquisition, the Company owns 100% of TAP Funding which became a wholly-owned subsidiary of the Company. In February 2021, the Company terminated its TAP Funding Revolving Credit Facility.</w:t>
      </w:r>
    </w:p>
    <w:p>
      <w:pPr>
        <w:spacing w:after="0" w:line="184" w:lineRule="exact"/>
        <w:rPr>
          <w:sz w:val="20"/>
          <w:szCs w:val="20"/>
          <w:color w:val="auto"/>
        </w:rPr>
      </w:pPr>
    </w:p>
    <w:p>
      <w:pPr>
        <w:ind w:right="260" w:firstLine="440"/>
        <w:spacing w:after="0" w:line="275" w:lineRule="auto"/>
        <w:rPr>
          <w:sz w:val="20"/>
          <w:szCs w:val="20"/>
          <w:color w:val="auto"/>
        </w:rPr>
      </w:pPr>
      <w:r>
        <w:rPr>
          <w:rFonts w:ascii="Arial" w:cs="Arial" w:eastAsia="Arial" w:hAnsi="Arial"/>
          <w:sz w:val="17"/>
          <w:szCs w:val="17"/>
          <w:color w:val="auto"/>
        </w:rPr>
        <w:t>In February 2021, TMCL VII issued $523,500 of aggregate Class A and $26,500 of aggregate Class B Series 2021-1 Fixed Rate Asset Backed Notes (“the TMCL VII 2021-1 Bonds”) to qualified institutional investors pursuant to Rule 144A under the Securities Act and to non-U.S. persons in accordance with Regulation S promulgated under the Securities Act. The TMCL VII 2021-1 Bonds totaling $550,000 represent partially amortizing notes payable over an expected payment term of 7.5 years. Proceeds from the TMCL VII 2021-1 Bonds were primarily used to pay down debt in our revolving credit facilities. The TMCL VII 2021-1 Bonds are secured by a pledge of TMCL VII’s assets.</w:t>
      </w:r>
    </w:p>
    <w:p>
      <w:pPr>
        <w:spacing w:after="0" w:line="10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36</w:t>
      </w:r>
    </w:p>
    <w:p>
      <w:pPr>
        <w:sectPr>
          <w:pgSz w:w="11900" w:h="16838" w:orient="portrait"/>
          <w:cols w:equalWidth="0" w:num="1">
            <w:col w:w="11000"/>
          </w:cols>
          <w:pgMar w:left="440" w:top="274" w:right="459" w:bottom="1440" w:gutter="0" w:footer="0" w:header="0"/>
        </w:sectPr>
      </w:pPr>
    </w:p>
    <w:bookmarkStart w:id="50" w:name="page51"/>
    <w:bookmarkEnd w:id="50"/>
    <w:p>
      <w:pPr>
        <w:jc w:val="both"/>
        <w:ind w:left="4" w:right="140" w:firstLine="440"/>
        <w:spacing w:after="0" w:line="28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7174865" cy="38735"/>
                    </a:xfrm>
                    <a:prstGeom prst="rect">
                      <a:avLst/>
                    </a:prstGeom>
                    <a:noFill/>
                  </pic:spPr>
                </pic:pic>
              </a:graphicData>
            </a:graphic>
          </wp:anchor>
        </w:drawing>
        <w:t>In February 2021, TL completed a $70,270 seven-year term loan with a group of financial institutions that represents a partially amortizing term loan based on defined repayment schedules until February 2028. Interest on the outstanding amount due under this term loan is based on a fixed rate of 2.65% per annum, payable monthly in arrears. Proceeds from this term loan were used to pay down TL’s revolving credit facility.</w:t>
      </w:r>
    </w:p>
    <w:p>
      <w:pPr>
        <w:spacing w:after="0" w:line="16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In February 2021, the Company dissolved LAPCO, which was a wholly-owned subsidiary of TL.</w:t>
      </w:r>
    </w:p>
    <w:p>
      <w:pPr>
        <w:spacing w:after="0" w:line="333" w:lineRule="exact"/>
        <w:rPr>
          <w:sz w:val="20"/>
          <w:szCs w:val="20"/>
          <w:color w:val="auto"/>
        </w:rPr>
      </w:pPr>
    </w:p>
    <w:p>
      <w:pPr>
        <w:ind w:left="4"/>
        <w:spacing w:after="0"/>
        <w:rPr>
          <w:sz w:val="20"/>
          <w:szCs w:val="20"/>
          <w:color w:val="auto"/>
        </w:rPr>
      </w:pPr>
      <w:r>
        <w:rPr>
          <w:rFonts w:ascii="Arial" w:cs="Arial" w:eastAsia="Arial" w:hAnsi="Arial"/>
          <w:sz w:val="18"/>
          <w:szCs w:val="18"/>
          <w:b w:val="1"/>
          <w:bCs w:val="1"/>
          <w:i w:val="1"/>
          <w:iCs w:val="1"/>
          <w:color w:val="auto"/>
        </w:rPr>
        <w:t>Principal Capital Expenditures</w:t>
      </w:r>
    </w:p>
    <w:p>
      <w:pPr>
        <w:spacing w:after="0" w:line="117" w:lineRule="exact"/>
        <w:rPr>
          <w:sz w:val="20"/>
          <w:szCs w:val="20"/>
          <w:color w:val="auto"/>
        </w:rPr>
      </w:pPr>
    </w:p>
    <w:p>
      <w:pPr>
        <w:ind w:left="4" w:right="180" w:firstLine="440"/>
        <w:spacing w:after="0" w:line="263" w:lineRule="auto"/>
        <w:rPr>
          <w:sz w:val="20"/>
          <w:szCs w:val="20"/>
          <w:color w:val="auto"/>
        </w:rPr>
      </w:pPr>
      <w:r>
        <w:rPr>
          <w:rFonts w:ascii="Arial" w:cs="Arial" w:eastAsia="Arial" w:hAnsi="Arial"/>
          <w:sz w:val="18"/>
          <w:szCs w:val="18"/>
          <w:color w:val="auto"/>
        </w:rPr>
        <w:t>Our capital expenditures for containers in our owned fleet and fixed assets during 2020, 2019 and 2018 were $862.4 million, $748.4 million and $854.4 million, respectively. We received proceeds from the sale of containers and fixed assets during 2020, 2019 and 2018 of $151.0 million, $150.7 million and $147.3 million, respectively.</w:t>
      </w:r>
    </w:p>
    <w:p>
      <w:pPr>
        <w:spacing w:after="0" w:line="184" w:lineRule="exact"/>
        <w:rPr>
          <w:sz w:val="20"/>
          <w:szCs w:val="20"/>
          <w:color w:val="auto"/>
        </w:rPr>
      </w:pPr>
    </w:p>
    <w:p>
      <w:pPr>
        <w:ind w:left="4" w:firstLine="440"/>
        <w:spacing w:after="0" w:line="263" w:lineRule="auto"/>
        <w:rPr>
          <w:sz w:val="20"/>
          <w:szCs w:val="20"/>
          <w:color w:val="auto"/>
        </w:rPr>
      </w:pPr>
      <w:r>
        <w:rPr>
          <w:rFonts w:ascii="Arial" w:cs="Arial" w:eastAsia="Arial" w:hAnsi="Arial"/>
          <w:sz w:val="18"/>
          <w:szCs w:val="18"/>
          <w:color w:val="auto"/>
        </w:rPr>
        <w:t>As all of our containers are used internationally, where no one container is domiciled in one particular place for a prolonged period of time, all of our long-lived assets are considered to be international with no single country of use. Our capital requirements are primarily financed through cash flows from operations and our debt facilities.</w:t>
      </w:r>
    </w:p>
    <w:p>
      <w:pPr>
        <w:spacing w:after="0" w:line="328" w:lineRule="exact"/>
        <w:rPr>
          <w:sz w:val="20"/>
          <w:szCs w:val="20"/>
          <w:color w:val="auto"/>
        </w:rPr>
      </w:pPr>
    </w:p>
    <w:p>
      <w:pPr>
        <w:ind w:left="4" w:right="9120" w:hanging="4"/>
        <w:spacing w:after="0" w:line="425" w:lineRule="auto"/>
        <w:tabs>
          <w:tab w:leader="none" w:pos="436" w:val="left"/>
        </w:tabs>
        <w:numPr>
          <w:ilvl w:val="0"/>
          <w:numId w:val="35"/>
        </w:numPr>
        <w:rPr>
          <w:rFonts w:ascii="Arial" w:cs="Arial" w:eastAsia="Arial" w:hAnsi="Arial"/>
          <w:sz w:val="16"/>
          <w:szCs w:val="16"/>
          <w:b w:val="1"/>
          <w:bCs w:val="1"/>
          <w:color w:val="auto"/>
        </w:rPr>
      </w:pPr>
      <w:r>
        <w:rPr>
          <w:rFonts w:ascii="Arial" w:cs="Arial" w:eastAsia="Arial" w:hAnsi="Arial"/>
          <w:sz w:val="16"/>
          <w:szCs w:val="16"/>
          <w:b w:val="1"/>
          <w:bCs w:val="1"/>
          <w:color w:val="auto"/>
        </w:rPr>
        <w:t>Business Overview Our Company</w:t>
      </w:r>
    </w:p>
    <w:p>
      <w:pPr>
        <w:ind w:left="4" w:right="100" w:firstLine="440"/>
        <w:spacing w:after="0" w:line="259" w:lineRule="auto"/>
        <w:rPr>
          <w:sz w:val="20"/>
          <w:szCs w:val="20"/>
          <w:color w:val="auto"/>
        </w:rPr>
      </w:pPr>
      <w:r>
        <w:rPr>
          <w:rFonts w:ascii="Arial" w:cs="Arial" w:eastAsia="Arial" w:hAnsi="Arial"/>
          <w:sz w:val="18"/>
          <w:szCs w:val="18"/>
          <w:color w:val="auto"/>
        </w:rPr>
        <w:t>We are one of the world’s largest lessors of intermodal containers based on fleet size, with a total fleet of approximately 2.4 million containers, representing 3.8 million TEU. Containers are an integral component of intermodal trade, providing a secure and cost-effective method of transportation because they can be used to transport freight by ship, rail or truck, making it possible to move cargo from point of origin to final destination without repeated unpacking and repacking.</w:t>
      </w:r>
    </w:p>
    <w:p>
      <w:pPr>
        <w:spacing w:after="0" w:line="187" w:lineRule="exact"/>
        <w:rPr>
          <w:sz w:val="20"/>
          <w:szCs w:val="20"/>
          <w:color w:val="auto"/>
        </w:rPr>
      </w:pPr>
    </w:p>
    <w:p>
      <w:pPr>
        <w:ind w:left="4" w:right="100" w:firstLine="440"/>
        <w:spacing w:after="0" w:line="257" w:lineRule="auto"/>
        <w:rPr>
          <w:sz w:val="20"/>
          <w:szCs w:val="20"/>
          <w:color w:val="auto"/>
        </w:rPr>
      </w:pPr>
      <w:r>
        <w:rPr>
          <w:rFonts w:ascii="Arial" w:cs="Arial" w:eastAsia="Arial" w:hAnsi="Arial"/>
          <w:sz w:val="18"/>
          <w:szCs w:val="18"/>
          <w:color w:val="auto"/>
        </w:rPr>
        <w:t>We lease containers to approximately 250 shipping lines and other lessees, including almost all of the world’s top 20 container lines, as measured by the total TEU capacity of their container vessels. We believe that our scale, global presence, customer service, market knowledge and long history with our customers have made us one of the most reliable suppliers of leased containers. We have a long track record in the industry, operating since 1979, and have developed long-standing relationships with key industry participants. Our top 20 customers, as measured by revenues, have on average been our customers for 27 years.</w:t>
      </w:r>
    </w:p>
    <w:p>
      <w:pPr>
        <w:spacing w:after="0" w:line="188" w:lineRule="exact"/>
        <w:rPr>
          <w:sz w:val="20"/>
          <w:szCs w:val="20"/>
          <w:color w:val="auto"/>
        </w:rPr>
      </w:pPr>
    </w:p>
    <w:p>
      <w:pPr>
        <w:jc w:val="both"/>
        <w:ind w:left="4" w:right="220" w:firstLine="440"/>
        <w:spacing w:after="0" w:line="263" w:lineRule="auto"/>
        <w:rPr>
          <w:sz w:val="20"/>
          <w:szCs w:val="20"/>
          <w:color w:val="auto"/>
        </w:rPr>
      </w:pPr>
      <w:r>
        <w:rPr>
          <w:rFonts w:ascii="Arial" w:cs="Arial" w:eastAsia="Arial" w:hAnsi="Arial"/>
          <w:sz w:val="18"/>
          <w:szCs w:val="18"/>
          <w:color w:val="auto"/>
        </w:rPr>
        <w:t>We have provided an average of approximately 320,000 TEU of new containers per year for the past five years and have been one of the largest buyers of new containers over the same period. We are one of the largest sellers of used containers, having sold an average of approximately 150,000 containers per year for the last five years to more than 1,500 customers.</w:t>
      </w:r>
    </w:p>
    <w:p>
      <w:pPr>
        <w:spacing w:after="0" w:line="184"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We provide our services worldwide via an international network of 14 regional and area offices and around 400 independent depots.</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We operate our business in three core segments.</w:t>
      </w:r>
    </w:p>
    <w:p>
      <w:pPr>
        <w:spacing w:after="0" w:line="131" w:lineRule="exact"/>
        <w:rPr>
          <w:sz w:val="20"/>
          <w:szCs w:val="20"/>
          <w:color w:val="auto"/>
        </w:rPr>
      </w:pPr>
    </w:p>
    <w:p>
      <w:pPr>
        <w:ind w:left="964" w:hanging="532"/>
        <w:spacing w:after="0"/>
        <w:tabs>
          <w:tab w:leader="none" w:pos="964" w:val="left"/>
        </w:tabs>
        <w:numPr>
          <w:ilvl w:val="0"/>
          <w:numId w:val="36"/>
        </w:numPr>
        <w:rPr>
          <w:rFonts w:ascii="Arial" w:cs="Arial" w:eastAsia="Arial" w:hAnsi="Arial"/>
          <w:sz w:val="18"/>
          <w:szCs w:val="18"/>
          <w:color w:val="auto"/>
        </w:rPr>
      </w:pPr>
      <w:r>
        <w:rPr>
          <w:rFonts w:ascii="Arial" w:cs="Arial" w:eastAsia="Arial" w:hAnsi="Arial"/>
          <w:sz w:val="18"/>
          <w:szCs w:val="18"/>
          <w:i w:val="1"/>
          <w:iCs w:val="1"/>
          <w:color w:val="auto"/>
        </w:rPr>
        <w:t xml:space="preserve">Container Ownership. </w:t>
      </w:r>
      <w:r>
        <w:rPr>
          <w:rFonts w:ascii="Arial" w:cs="Arial" w:eastAsia="Arial" w:hAnsi="Arial"/>
          <w:sz w:val="18"/>
          <w:szCs w:val="18"/>
          <w:color w:val="auto"/>
        </w:rPr>
        <w:t>As of December 31, 2020, we owned containers accounting for approximately 88% of our fleet.</w:t>
      </w:r>
    </w:p>
    <w:p>
      <w:pPr>
        <w:spacing w:after="0" w:line="130" w:lineRule="exact"/>
        <w:rPr>
          <w:rFonts w:ascii="Arial" w:cs="Arial" w:eastAsia="Arial" w:hAnsi="Arial"/>
          <w:sz w:val="18"/>
          <w:szCs w:val="18"/>
          <w:color w:val="auto"/>
        </w:rPr>
      </w:pPr>
    </w:p>
    <w:p>
      <w:pPr>
        <w:ind w:left="964" w:right="160" w:hanging="532"/>
        <w:spacing w:after="0" w:line="263" w:lineRule="auto"/>
        <w:tabs>
          <w:tab w:leader="none" w:pos="964" w:val="left"/>
        </w:tabs>
        <w:numPr>
          <w:ilvl w:val="0"/>
          <w:numId w:val="36"/>
        </w:numPr>
        <w:rPr>
          <w:rFonts w:ascii="Arial" w:cs="Arial" w:eastAsia="Arial" w:hAnsi="Arial"/>
          <w:sz w:val="18"/>
          <w:szCs w:val="18"/>
          <w:color w:val="auto"/>
        </w:rPr>
      </w:pPr>
      <w:r>
        <w:rPr>
          <w:rFonts w:ascii="Arial" w:cs="Arial" w:eastAsia="Arial" w:hAnsi="Arial"/>
          <w:sz w:val="18"/>
          <w:szCs w:val="18"/>
          <w:i w:val="1"/>
          <w:iCs w:val="1"/>
          <w:color w:val="auto"/>
        </w:rPr>
        <w:t xml:space="preserve">Container Management. </w:t>
      </w:r>
      <w:r>
        <w:rPr>
          <w:rFonts w:ascii="Arial" w:cs="Arial" w:eastAsia="Arial" w:hAnsi="Arial"/>
          <w:sz w:val="18"/>
          <w:szCs w:val="18"/>
          <w:color w:val="auto"/>
        </w:rPr>
        <w:t>As of December 31, 2020, we managed containers on behalf of 13 unaffiliated container investors, providing</w:t>
      </w:r>
      <w:r>
        <w:rPr>
          <w:rFonts w:ascii="Arial" w:cs="Arial" w:eastAsia="Arial" w:hAnsi="Arial"/>
          <w:sz w:val="18"/>
          <w:szCs w:val="18"/>
          <w:i w:val="1"/>
          <w:iCs w:val="1"/>
          <w:color w:val="auto"/>
        </w:rPr>
        <w:t xml:space="preserve"> </w:t>
      </w:r>
      <w:r>
        <w:rPr>
          <w:rFonts w:ascii="Arial" w:cs="Arial" w:eastAsia="Arial" w:hAnsi="Arial"/>
          <w:sz w:val="18"/>
          <w:szCs w:val="18"/>
          <w:color w:val="auto"/>
        </w:rPr>
        <w:t>acquisition, management and disposal services. As of December 31, 2020, total managed containers accounted for approximately 12% of our fleet.</w:t>
      </w:r>
    </w:p>
    <w:p>
      <w:pPr>
        <w:spacing w:after="0" w:line="116"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37</w:t>
      </w:r>
    </w:p>
    <w:p>
      <w:pPr>
        <w:sectPr>
          <w:pgSz w:w="11900" w:h="16838" w:orient="portrait"/>
          <w:cols w:equalWidth="0" w:num="1">
            <w:col w:w="11004"/>
          </w:cols>
          <w:pgMar w:left="436" w:top="274" w:right="459" w:bottom="1440" w:gutter="0" w:footer="0" w:header="0"/>
        </w:sectPr>
      </w:pPr>
    </w:p>
    <w:bookmarkStart w:id="51" w:name="page52"/>
    <w:bookmarkEnd w:id="51"/>
    <w:p>
      <w:pPr>
        <w:jc w:val="both"/>
        <w:ind w:left="960" w:right="200" w:hanging="532"/>
        <w:spacing w:after="0" w:line="311" w:lineRule="auto"/>
        <w:tabs>
          <w:tab w:leader="none" w:pos="960" w:val="left"/>
        </w:tabs>
        <w:numPr>
          <w:ilvl w:val="0"/>
          <w:numId w:val="37"/>
        </w:numPr>
        <w:rPr>
          <w:rFonts w:ascii="Arial" w:cs="Arial" w:eastAsia="Arial" w:hAnsi="Arial"/>
          <w:sz w:val="16"/>
          <w:szCs w:val="16"/>
          <w:color w:val="auto"/>
        </w:rPr>
      </w:pPr>
      <w:r>
        <w:rPr>
          <w:rFonts w:ascii="Arial" w:cs="Arial" w:eastAsia="Arial" w:hAnsi="Arial"/>
          <w:sz w:val="16"/>
          <w:szCs w:val="16"/>
          <w:i w:val="1"/>
          <w:i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Container Resale. </w:t>
      </w:r>
      <w:r>
        <w:rPr>
          <w:rFonts w:ascii="Arial" w:cs="Arial" w:eastAsia="Arial" w:hAnsi="Arial"/>
          <w:sz w:val="16"/>
          <w:szCs w:val="16"/>
          <w:color w:val="auto"/>
        </w:rPr>
        <w:t>We generally sell containers from our fleet when they reach the end of their useful lives in marine service or when we</w:t>
      </w:r>
      <w:r>
        <w:rPr>
          <w:rFonts w:ascii="Arial" w:cs="Arial" w:eastAsia="Arial" w:hAnsi="Arial"/>
          <w:sz w:val="16"/>
          <w:szCs w:val="16"/>
          <w:i w:val="1"/>
          <w:iCs w:val="1"/>
          <w:color w:val="auto"/>
        </w:rPr>
        <w:t xml:space="preserve"> </w:t>
      </w:r>
      <w:r>
        <w:rPr>
          <w:rFonts w:ascii="Arial" w:cs="Arial" w:eastAsia="Arial" w:hAnsi="Arial"/>
          <w:sz w:val="16"/>
          <w:szCs w:val="16"/>
          <w:color w:val="auto"/>
        </w:rPr>
        <w:t>believe it is financially attractive for us to do so, considering location, sale price, the cost of repair, and possible repositioning expenses. We also purchase and lease or resell containers from shipping line customers, container traders and other sellers of containers.</w:t>
      </w:r>
    </w:p>
    <w:p>
      <w:pPr>
        <w:spacing w:after="0" w:line="149" w:lineRule="exact"/>
        <w:rPr>
          <w:sz w:val="20"/>
          <w:szCs w:val="20"/>
          <w:color w:val="auto"/>
        </w:rPr>
      </w:pPr>
    </w:p>
    <w:p>
      <w:pPr>
        <w:ind w:right="200" w:firstLine="440"/>
        <w:spacing w:after="0" w:line="275" w:lineRule="auto"/>
        <w:rPr>
          <w:sz w:val="20"/>
          <w:szCs w:val="20"/>
          <w:color w:val="auto"/>
        </w:rPr>
      </w:pPr>
      <w:r>
        <w:rPr>
          <w:rFonts w:ascii="Arial" w:cs="Arial" w:eastAsia="Arial" w:hAnsi="Arial"/>
          <w:sz w:val="17"/>
          <w:szCs w:val="17"/>
          <w:color w:val="auto"/>
        </w:rPr>
        <w:t>Our total revenues primarily consist of leasing revenues derived from the lease of owned and managed containers. The most important driver of our profitability is the extent to which revenues on our owned fleet and management fee income exceed our operating costs. The key drivers of our revenues are fleet size, rental rates, utilization and direct costs. Our operating costs primarily consist of depreciation, container impairment, interest expense, direct operating expenses and administrative expenses. Our lessees are generally responsible for loss of or damage to a container beyond ordinary wear and tear, and they are required to purchase insurance to cover any other liabilities.</w:t>
      </w:r>
    </w:p>
    <w:p>
      <w:pPr>
        <w:spacing w:after="0" w:line="176" w:lineRule="exact"/>
        <w:rPr>
          <w:sz w:val="20"/>
          <w:szCs w:val="20"/>
          <w:color w:val="auto"/>
        </w:rPr>
      </w:pPr>
    </w:p>
    <w:p>
      <w:pPr>
        <w:ind w:right="440" w:firstLine="440"/>
        <w:spacing w:after="0" w:line="342" w:lineRule="auto"/>
        <w:rPr>
          <w:sz w:val="20"/>
          <w:szCs w:val="20"/>
          <w:color w:val="auto"/>
        </w:rPr>
      </w:pPr>
      <w:r>
        <w:rPr>
          <w:rFonts w:ascii="Arial" w:cs="Arial" w:eastAsia="Arial" w:hAnsi="Arial"/>
          <w:sz w:val="16"/>
          <w:szCs w:val="16"/>
          <w:color w:val="auto"/>
        </w:rPr>
        <w:t>Our container lessees use containers for their global trade utilizing many worldwide trade routes. The Company earns its revenue from these international carriers when the containers are on lease. Substantially all of our leasing related revenues are denominated in U.S. dollars.</w:t>
      </w:r>
    </w:p>
    <w:p>
      <w:pPr>
        <w:spacing w:after="0" w:line="124" w:lineRule="exact"/>
        <w:rPr>
          <w:sz w:val="20"/>
          <w:szCs w:val="20"/>
          <w:color w:val="auto"/>
        </w:rPr>
      </w:pPr>
    </w:p>
    <w:p>
      <w:pPr>
        <w:ind w:right="80" w:firstLine="440"/>
        <w:spacing w:after="0" w:line="257" w:lineRule="auto"/>
        <w:rPr>
          <w:sz w:val="20"/>
          <w:szCs w:val="20"/>
          <w:color w:val="auto"/>
        </w:rPr>
      </w:pPr>
      <w:r>
        <w:rPr>
          <w:rFonts w:ascii="Arial" w:cs="Arial" w:eastAsia="Arial" w:hAnsi="Arial"/>
          <w:sz w:val="18"/>
          <w:szCs w:val="18"/>
          <w:color w:val="auto"/>
        </w:rPr>
        <w:t>Our total fleet consists of containers that we own, and containers owned by other container investors that we manage. In general, owning containers during periods of high demand for containers provides higher margins than managing containers, since we receive all of the net operating income for the containers that we own but only a percentage of the net operating income of the containers that we manage as a management fee. On the other hand, managing containers during periods of low demand for containers reduces the negative financial impact of such periods since the container investors bear the cost or risk of owning the containers.</w:t>
      </w:r>
    </w:p>
    <w:p>
      <w:pPr>
        <w:spacing w:after="0" w:line="188" w:lineRule="exact"/>
        <w:rPr>
          <w:sz w:val="20"/>
          <w:szCs w:val="20"/>
          <w:color w:val="auto"/>
        </w:rPr>
      </w:pPr>
    </w:p>
    <w:p>
      <w:pPr>
        <w:ind w:right="140" w:firstLine="440"/>
        <w:spacing w:after="0" w:line="286" w:lineRule="auto"/>
        <w:rPr>
          <w:sz w:val="20"/>
          <w:szCs w:val="20"/>
          <w:color w:val="auto"/>
        </w:rPr>
      </w:pPr>
      <w:r>
        <w:rPr>
          <w:rFonts w:ascii="Arial" w:cs="Arial" w:eastAsia="Arial" w:hAnsi="Arial"/>
          <w:sz w:val="17"/>
          <w:szCs w:val="17"/>
          <w:color w:val="auto"/>
        </w:rPr>
        <w:t xml:space="preserve">For 2020, our income from operations was $221.6 million and income before income tax and noncontrolling interests was $73.3 million. During 2020, the average utilization of our owned fleet was 96.6%. For geographic and financial information relating to each of our reportable operating segments, see Note 10 “Segment Information” in Item 18, </w:t>
      </w:r>
      <w:r>
        <w:rPr>
          <w:rFonts w:ascii="Arial" w:cs="Arial" w:eastAsia="Arial" w:hAnsi="Arial"/>
          <w:sz w:val="17"/>
          <w:szCs w:val="17"/>
          <w:i w:val="1"/>
          <w:iCs w:val="1"/>
          <w:color w:val="auto"/>
        </w:rPr>
        <w:t>“Financial Statements”</w:t>
      </w:r>
      <w:r>
        <w:rPr>
          <w:rFonts w:ascii="Arial" w:cs="Arial" w:eastAsia="Arial" w:hAnsi="Arial"/>
          <w:sz w:val="17"/>
          <w:szCs w:val="17"/>
          <w:color w:val="auto"/>
        </w:rPr>
        <w:t xml:space="preserve"> in this Annual Report on Form 20-F.</w:t>
      </w:r>
    </w:p>
    <w:p>
      <w:pPr>
        <w:spacing w:after="0" w:line="2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Industry Overview</w:t>
      </w:r>
    </w:p>
    <w:p>
      <w:pPr>
        <w:spacing w:after="0" w:line="121" w:lineRule="exact"/>
        <w:rPr>
          <w:sz w:val="20"/>
          <w:szCs w:val="20"/>
          <w:color w:val="auto"/>
        </w:rPr>
      </w:pPr>
    </w:p>
    <w:p>
      <w:pPr>
        <w:ind w:right="60" w:firstLine="440"/>
        <w:spacing w:after="0" w:line="257" w:lineRule="auto"/>
        <w:rPr>
          <w:sz w:val="20"/>
          <w:szCs w:val="20"/>
          <w:color w:val="auto"/>
        </w:rPr>
      </w:pPr>
      <w:r>
        <w:rPr>
          <w:rFonts w:ascii="Arial" w:cs="Arial" w:eastAsia="Arial" w:hAnsi="Arial"/>
          <w:sz w:val="18"/>
          <w:szCs w:val="18"/>
          <w:color w:val="auto"/>
        </w:rPr>
        <w:t>Containers are built in accordance with standard dimensions and weight specifications established by the International Organization for Standardization (“ISO”). The industry-standard measurement unit is the Twenty-Foot Equivalent Unit (“TEU”), which compares the length of a container to a standard 20’ container. For example, a 20’ container is equivalent to one TEU and a 40’ container is equivalent to two TEU. Standard dry freight containers are typically 8’ wide, come in lengths of 20’, 40’ or 45’ and are either 8’6” or 9’6” high. The three principal types of containers are described as follows:</w:t>
      </w:r>
    </w:p>
    <w:p>
      <w:pPr>
        <w:spacing w:after="0" w:line="93" w:lineRule="exact"/>
        <w:rPr>
          <w:sz w:val="20"/>
          <w:szCs w:val="20"/>
          <w:color w:val="auto"/>
        </w:rPr>
      </w:pPr>
    </w:p>
    <w:p>
      <w:pPr>
        <w:ind w:left="960" w:right="220" w:hanging="532"/>
        <w:spacing w:after="0" w:line="257" w:lineRule="auto"/>
        <w:tabs>
          <w:tab w:leader="none" w:pos="960" w:val="left"/>
        </w:tabs>
        <w:numPr>
          <w:ilvl w:val="0"/>
          <w:numId w:val="38"/>
        </w:numPr>
        <w:rPr>
          <w:rFonts w:ascii="Arial" w:cs="Arial" w:eastAsia="Arial" w:hAnsi="Arial"/>
          <w:sz w:val="18"/>
          <w:szCs w:val="18"/>
          <w:color w:val="auto"/>
        </w:rPr>
      </w:pPr>
      <w:r>
        <w:rPr>
          <w:rFonts w:ascii="Arial" w:cs="Arial" w:eastAsia="Arial" w:hAnsi="Arial"/>
          <w:sz w:val="18"/>
          <w:szCs w:val="18"/>
          <w:i w:val="1"/>
          <w:iCs w:val="1"/>
          <w:color w:val="auto"/>
        </w:rPr>
        <w:t xml:space="preserve">Dry freight standard containers. </w:t>
      </w:r>
      <w:r>
        <w:rPr>
          <w:rFonts w:ascii="Arial" w:cs="Arial" w:eastAsia="Arial" w:hAnsi="Arial"/>
          <w:sz w:val="18"/>
          <w:szCs w:val="18"/>
          <w:color w:val="auto"/>
        </w:rPr>
        <w:t>A dry freight standard container is constructed of steel sides, roof, an end panel on one end and a set of</w:t>
      </w:r>
      <w:r>
        <w:rPr>
          <w:rFonts w:ascii="Arial" w:cs="Arial" w:eastAsia="Arial" w:hAnsi="Arial"/>
          <w:sz w:val="18"/>
          <w:szCs w:val="18"/>
          <w:i w:val="1"/>
          <w:iCs w:val="1"/>
          <w:color w:val="auto"/>
        </w:rPr>
        <w:t xml:space="preserve"> </w:t>
      </w:r>
      <w:r>
        <w:rPr>
          <w:rFonts w:ascii="Arial" w:cs="Arial" w:eastAsia="Arial" w:hAnsi="Arial"/>
          <w:sz w:val="18"/>
          <w:szCs w:val="18"/>
          <w:color w:val="auto"/>
        </w:rPr>
        <w:t>doors on the other end, a wooden floor and a steel undercarriage. Dry freight standard containers are the least expensive and most commonly used type of container. They are used to carry general cargo, such as manufactured component parts, consumer staples, electronics and apparel. The largest portion of our fleet is comprised of dry freight containers, which are by far the most common of the three principal types of intermodal containers.</w:t>
      </w:r>
    </w:p>
    <w:p>
      <w:pPr>
        <w:spacing w:after="0" w:line="93" w:lineRule="exact"/>
        <w:rPr>
          <w:rFonts w:ascii="Arial" w:cs="Arial" w:eastAsia="Arial" w:hAnsi="Arial"/>
          <w:sz w:val="18"/>
          <w:szCs w:val="18"/>
          <w:color w:val="auto"/>
        </w:rPr>
      </w:pPr>
    </w:p>
    <w:p>
      <w:pPr>
        <w:ind w:left="960" w:hanging="532"/>
        <w:spacing w:after="0" w:line="301" w:lineRule="auto"/>
        <w:tabs>
          <w:tab w:leader="none" w:pos="960" w:val="left"/>
        </w:tabs>
        <w:numPr>
          <w:ilvl w:val="0"/>
          <w:numId w:val="38"/>
        </w:numPr>
        <w:rPr>
          <w:rFonts w:ascii="Arial" w:cs="Arial" w:eastAsia="Arial" w:hAnsi="Arial"/>
          <w:sz w:val="16"/>
          <w:szCs w:val="16"/>
          <w:color w:val="auto"/>
        </w:rPr>
      </w:pPr>
      <w:r>
        <w:rPr>
          <w:rFonts w:ascii="Arial" w:cs="Arial" w:eastAsia="Arial" w:hAnsi="Arial"/>
          <w:sz w:val="16"/>
          <w:szCs w:val="16"/>
          <w:i w:val="1"/>
          <w:iCs w:val="1"/>
          <w:color w:val="auto"/>
        </w:rPr>
        <w:t xml:space="preserve">Dry freight specialized containers. </w:t>
      </w:r>
      <w:r>
        <w:rPr>
          <w:rFonts w:ascii="Arial" w:cs="Arial" w:eastAsia="Arial" w:hAnsi="Arial"/>
          <w:sz w:val="16"/>
          <w:szCs w:val="16"/>
          <w:color w:val="auto"/>
        </w:rPr>
        <w:t>Dry freight specialized containers consist of open-top and flat-rack containers. An open-top container is</w:t>
      </w:r>
      <w:r>
        <w:rPr>
          <w:rFonts w:ascii="Arial" w:cs="Arial" w:eastAsia="Arial" w:hAnsi="Arial"/>
          <w:sz w:val="16"/>
          <w:szCs w:val="16"/>
          <w:i w:val="1"/>
          <w:iCs w:val="1"/>
          <w:color w:val="auto"/>
        </w:rPr>
        <w:t xml:space="preserve"> </w:t>
      </w:r>
      <w:r>
        <w:rPr>
          <w:rFonts w:ascii="Arial" w:cs="Arial" w:eastAsia="Arial" w:hAnsi="Arial"/>
          <w:sz w:val="16"/>
          <w:szCs w:val="16"/>
          <w:color w:val="auto"/>
        </w:rPr>
        <w:t>similar in construction to a dry freight standard container except that the roof is replaced with a tarpaulin supported by removable roof bows. A flat-rack container is a heavily reinforced steel platform with a wood deck and steel end panels. Open-top and flat-rack containers are generally used to transport heavy or oversized cargo, such as marble slabs, building products or machinery.</w:t>
      </w:r>
    </w:p>
    <w:p>
      <w:pPr>
        <w:spacing w:after="0" w:line="62" w:lineRule="exact"/>
        <w:rPr>
          <w:rFonts w:ascii="Arial" w:cs="Arial" w:eastAsia="Arial" w:hAnsi="Arial"/>
          <w:sz w:val="16"/>
          <w:szCs w:val="16"/>
          <w:color w:val="auto"/>
        </w:rPr>
      </w:pPr>
    </w:p>
    <w:p>
      <w:pPr>
        <w:ind w:left="960" w:hanging="532"/>
        <w:spacing w:after="0" w:line="279" w:lineRule="auto"/>
        <w:tabs>
          <w:tab w:leader="none" w:pos="960" w:val="left"/>
        </w:tabs>
        <w:numPr>
          <w:ilvl w:val="0"/>
          <w:numId w:val="38"/>
        </w:numPr>
        <w:rPr>
          <w:rFonts w:ascii="Arial" w:cs="Arial" w:eastAsia="Arial" w:hAnsi="Arial"/>
          <w:sz w:val="17"/>
          <w:szCs w:val="17"/>
          <w:color w:val="auto"/>
        </w:rPr>
      </w:pPr>
      <w:r>
        <w:rPr>
          <w:rFonts w:ascii="Arial" w:cs="Arial" w:eastAsia="Arial" w:hAnsi="Arial"/>
          <w:sz w:val="17"/>
          <w:szCs w:val="17"/>
          <w:i w:val="1"/>
          <w:iCs w:val="1"/>
          <w:color w:val="auto"/>
        </w:rPr>
        <w:t xml:space="preserve">Other containers. </w:t>
      </w:r>
      <w:r>
        <w:rPr>
          <w:rFonts w:ascii="Arial" w:cs="Arial" w:eastAsia="Arial" w:hAnsi="Arial"/>
          <w:sz w:val="17"/>
          <w:szCs w:val="17"/>
          <w:color w:val="auto"/>
        </w:rPr>
        <w:t>Other containers include refrigerated containers, tank containers, 45’ containers, palletwide containers and other types of</w:t>
      </w:r>
      <w:r>
        <w:rPr>
          <w:rFonts w:ascii="Arial" w:cs="Arial" w:eastAsia="Arial" w:hAnsi="Arial"/>
          <w:sz w:val="17"/>
          <w:szCs w:val="17"/>
          <w:i w:val="1"/>
          <w:iCs w:val="1"/>
          <w:color w:val="auto"/>
        </w:rPr>
        <w:t xml:space="preserve"> </w:t>
      </w:r>
      <w:r>
        <w:rPr>
          <w:rFonts w:ascii="Arial" w:cs="Arial" w:eastAsia="Arial" w:hAnsi="Arial"/>
          <w:sz w:val="17"/>
          <w:szCs w:val="17"/>
          <w:color w:val="auto"/>
        </w:rPr>
        <w:t>containers. The two most prominent types of such containers are refrigerated containers and tank containers. A refrigerated container has an integral refrigeration unit on one end which plugs into an outside power source and is used to transport perishable goods. Tank containers are used to transport liquid bulk products such as chemicals, oils, and other liquids.</w:t>
      </w:r>
    </w:p>
    <w:p>
      <w:pPr>
        <w:spacing w:after="0" w:line="10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38</w:t>
      </w:r>
    </w:p>
    <w:p>
      <w:pPr>
        <w:sectPr>
          <w:pgSz w:w="11900" w:h="16838" w:orient="portrait"/>
          <w:cols w:equalWidth="0" w:num="1">
            <w:col w:w="10980"/>
          </w:cols>
          <w:pgMar w:left="440" w:top="274" w:right="479" w:bottom="1440" w:gutter="0" w:footer="0" w:header="0"/>
        </w:sectPr>
      </w:pPr>
    </w:p>
    <w:bookmarkStart w:id="52" w:name="page53"/>
    <w:bookmarkEnd w:id="52"/>
    <w:p>
      <w:pPr>
        <w:ind w:firstLine="440"/>
        <w:spacing w:after="0" w:line="272"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7174865" cy="38735"/>
                    </a:xfrm>
                    <a:prstGeom prst="rect">
                      <a:avLst/>
                    </a:prstGeom>
                    <a:noFill/>
                  </pic:spPr>
                </pic:pic>
              </a:graphicData>
            </a:graphic>
          </wp:anchor>
        </w:drawing>
        <w:t>Containers provide a secure and cost-effective method of transportation because they can be used in multiple modes of transportation, making it possible to move cargo from a point of origin to a final destination without repeated unpacking and repacking. As a result, containers reduce transit time and freight and labor costs, as they permit faster loading and unloading of shipping vessels and more efficient transportation of cargo than traditional break bulk shipping methods. The protection provided by containers also reduces damage, loss and theft of cargo during shipment. While the useful life of containers varies based upon the damage and normal wear and tear suffered by the container, we estimate that our useful life for a standard dry freight container used in intermodal transportation is on average 13 to 14 years. Some shipping lines have recently indicated that they intend to keep their containers for longer than 13 to 14 years.</w:t>
      </w:r>
    </w:p>
    <w:p>
      <w:pPr>
        <w:spacing w:after="0" w:line="177" w:lineRule="exact"/>
        <w:rPr>
          <w:sz w:val="20"/>
          <w:szCs w:val="20"/>
          <w:color w:val="auto"/>
        </w:rPr>
      </w:pPr>
    </w:p>
    <w:p>
      <w:pPr>
        <w:ind w:right="80" w:firstLine="440"/>
        <w:spacing w:after="0" w:line="255" w:lineRule="auto"/>
        <w:rPr>
          <w:sz w:val="20"/>
          <w:szCs w:val="20"/>
          <w:color w:val="auto"/>
        </w:rPr>
      </w:pPr>
      <w:r>
        <w:rPr>
          <w:rFonts w:ascii="Arial" w:cs="Arial" w:eastAsia="Arial" w:hAnsi="Arial"/>
          <w:sz w:val="18"/>
          <w:szCs w:val="18"/>
          <w:color w:val="auto"/>
        </w:rPr>
        <w:t xml:space="preserve">According to </w:t>
      </w:r>
      <w:r>
        <w:rPr>
          <w:rFonts w:ascii="Arial" w:cs="Arial" w:eastAsia="Arial" w:hAnsi="Arial"/>
          <w:sz w:val="18"/>
          <w:szCs w:val="18"/>
          <w:i w:val="1"/>
          <w:iCs w:val="1"/>
          <w:color w:val="auto"/>
        </w:rPr>
        <w:t>Drewry Maritime Research,</w:t>
      </w:r>
      <w:r>
        <w:rPr>
          <w:rFonts w:ascii="Arial" w:cs="Arial" w:eastAsia="Arial" w:hAnsi="Arial"/>
          <w:sz w:val="18"/>
          <w:szCs w:val="18"/>
          <w:color w:val="auto"/>
        </w:rPr>
        <w:t xml:space="preserve"> as of December 2019, leasing companies owned approximately 51% of the total worldwide container fleet of approximately 42.7 million TEU. We estimated that leasing companies still owned approximately 51% of the total worldwide container fleet, as of end of 2020. Given the uncertainty and variability of export volumes and the fact that shipping lines have difficulty in accurately forecasting their container requirements at different ports, the availability of containers for lease significantly reduces a shipping line’s need to purchase and maintain excess container inventory. In addition, leasing a portion of their total container fleets enables shipping lines to serve their manufacturer and retailer customers better by:</w:t>
      </w:r>
    </w:p>
    <w:p>
      <w:pPr>
        <w:spacing w:after="0" w:line="98" w:lineRule="exact"/>
        <w:rPr>
          <w:sz w:val="20"/>
          <w:szCs w:val="20"/>
          <w:color w:val="auto"/>
        </w:rPr>
      </w:pPr>
    </w:p>
    <w:p>
      <w:pPr>
        <w:ind w:left="960" w:hanging="532"/>
        <w:spacing w:after="0"/>
        <w:tabs>
          <w:tab w:leader="none" w:pos="960" w:val="left"/>
        </w:tabs>
        <w:numPr>
          <w:ilvl w:val="0"/>
          <w:numId w:val="39"/>
        </w:numPr>
        <w:rPr>
          <w:rFonts w:ascii="Arial" w:cs="Arial" w:eastAsia="Arial" w:hAnsi="Arial"/>
          <w:sz w:val="18"/>
          <w:szCs w:val="18"/>
          <w:color w:val="auto"/>
        </w:rPr>
      </w:pPr>
      <w:r>
        <w:rPr>
          <w:rFonts w:ascii="Arial" w:cs="Arial" w:eastAsia="Arial" w:hAnsi="Arial"/>
          <w:sz w:val="18"/>
          <w:szCs w:val="18"/>
          <w:color w:val="auto"/>
        </w:rPr>
        <w:t>increasing their flexibility to manage the availability and location of containers;</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39"/>
        </w:numPr>
        <w:rPr>
          <w:rFonts w:ascii="Arial" w:cs="Arial" w:eastAsia="Arial" w:hAnsi="Arial"/>
          <w:sz w:val="17"/>
          <w:szCs w:val="17"/>
          <w:color w:val="auto"/>
        </w:rPr>
      </w:pPr>
      <w:r>
        <w:rPr>
          <w:rFonts w:ascii="Arial" w:cs="Arial" w:eastAsia="Arial" w:hAnsi="Arial"/>
          <w:sz w:val="17"/>
          <w:szCs w:val="17"/>
          <w:color w:val="auto"/>
        </w:rPr>
        <w:t>increasing their ability to meet peak demand requirements, particularly prior to holidays such as Christmas and Lunar New Year; and</w:t>
      </w:r>
    </w:p>
    <w:p>
      <w:pPr>
        <w:spacing w:after="0" w:line="142" w:lineRule="exact"/>
        <w:rPr>
          <w:rFonts w:ascii="Arial" w:cs="Arial" w:eastAsia="Arial" w:hAnsi="Arial"/>
          <w:sz w:val="17"/>
          <w:szCs w:val="17"/>
          <w:color w:val="auto"/>
        </w:rPr>
      </w:pPr>
    </w:p>
    <w:p>
      <w:pPr>
        <w:ind w:left="960" w:hanging="532"/>
        <w:spacing w:after="0"/>
        <w:tabs>
          <w:tab w:leader="none" w:pos="960" w:val="left"/>
        </w:tabs>
        <w:numPr>
          <w:ilvl w:val="0"/>
          <w:numId w:val="39"/>
        </w:numPr>
        <w:rPr>
          <w:rFonts w:ascii="Arial" w:cs="Arial" w:eastAsia="Arial" w:hAnsi="Arial"/>
          <w:sz w:val="18"/>
          <w:szCs w:val="18"/>
          <w:color w:val="auto"/>
        </w:rPr>
      </w:pPr>
      <w:r>
        <w:rPr>
          <w:rFonts w:ascii="Arial" w:cs="Arial" w:eastAsia="Arial" w:hAnsi="Arial"/>
          <w:sz w:val="18"/>
          <w:szCs w:val="18"/>
          <w:color w:val="auto"/>
        </w:rPr>
        <w:t>reducing their capital expenditures.</w:t>
      </w:r>
    </w:p>
    <w:p>
      <w:pPr>
        <w:spacing w:after="0" w:line="225" w:lineRule="exact"/>
        <w:rPr>
          <w:sz w:val="20"/>
          <w:szCs w:val="20"/>
          <w:color w:val="auto"/>
        </w:rPr>
      </w:pPr>
    </w:p>
    <w:p>
      <w:pPr>
        <w:ind w:right="80" w:firstLine="440"/>
        <w:spacing w:after="0" w:line="291" w:lineRule="auto"/>
        <w:rPr>
          <w:sz w:val="20"/>
          <w:szCs w:val="20"/>
          <w:color w:val="auto"/>
        </w:rPr>
      </w:pPr>
      <w:r>
        <w:rPr>
          <w:rFonts w:ascii="Arial" w:cs="Arial" w:eastAsia="Arial" w:hAnsi="Arial"/>
          <w:sz w:val="16"/>
          <w:szCs w:val="16"/>
          <w:color w:val="auto"/>
        </w:rPr>
        <w:t>Global demand growth for shipping is expected to significantly improve in 2021 due to continued spending on consumer goods and once the COVID-19 pandemic is under control subject to successful vaccine rollout. Although manufacturers have increased production to meet market demand, additional capacity has been added gradually and further constrained by shortages of certain components. Container prices may also remain high for 2021 as manufacturers are in a strong position to protect current elevated prices while production capacity is very limited. While new production inventory is currently less than 200,000 TEU, depot inventory is also at historically low level as evidenced by the continued high utilization rates throughout the industry. Deliveries of mega ships and introduction of IMO 2020 are expected to continuously generate a positive impact on leased container demand in 2021; however, the on-going COVID-19 pandemic has added to uncertainty on trade growth and impact on our industry.</w:t>
      </w:r>
    </w:p>
    <w:p>
      <w:pPr>
        <w:spacing w:after="0" w:line="166" w:lineRule="exact"/>
        <w:rPr>
          <w:sz w:val="20"/>
          <w:szCs w:val="20"/>
          <w:color w:val="auto"/>
        </w:rPr>
      </w:pPr>
    </w:p>
    <w:p>
      <w:pPr>
        <w:ind w:right="40" w:firstLine="440"/>
        <w:spacing w:after="0" w:line="273" w:lineRule="auto"/>
        <w:rPr>
          <w:sz w:val="20"/>
          <w:szCs w:val="20"/>
          <w:color w:val="auto"/>
        </w:rPr>
      </w:pPr>
      <w:r>
        <w:rPr>
          <w:rFonts w:ascii="Arial" w:cs="Arial" w:eastAsia="Arial" w:hAnsi="Arial"/>
          <w:sz w:val="17"/>
          <w:szCs w:val="17"/>
          <w:color w:val="auto"/>
        </w:rPr>
        <w:t>The shipping business has been characterized by cyclical swings due in part to lengthy periods of excess or scarce vessel capacity. We believe that these sustained periods of vessel supply/demand imbalances are mainly a function of the multi-year ordering and production cycle associated with the manufacture of new vessels, which requires shipping lines to estimate market growth many years into the future, and the shipping line industry’s shift to the use of significantly larger vessels. Container leasing companies are partially insulated from the risks of these shipping cycles by the relatively short production time associated with the manufacture of new containers. Lead times for new container orders are typically only a few months, so the rate of new container ordering can be quickly adjusted to reflect unexpected market changes.</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39</w:t>
      </w:r>
    </w:p>
    <w:p>
      <w:pPr>
        <w:sectPr>
          <w:pgSz w:w="11900" w:h="16838" w:orient="portrait"/>
          <w:cols w:equalWidth="0" w:num="1">
            <w:col w:w="11000"/>
          </w:cols>
          <w:pgMar w:left="440" w:top="274" w:right="459" w:bottom="1440" w:gutter="0" w:footer="0" w:header="0"/>
        </w:sectPr>
      </w:pPr>
    </w:p>
    <w:bookmarkStart w:id="53" w:name="page54"/>
    <w:bookmarkEnd w:id="53"/>
    <w:p>
      <w:pPr>
        <w:ind w:left="44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According to </w:t>
      </w:r>
      <w:r>
        <w:rPr>
          <w:rFonts w:ascii="Arial" w:cs="Arial" w:eastAsia="Arial" w:hAnsi="Arial"/>
          <w:sz w:val="18"/>
          <w:szCs w:val="18"/>
          <w:i w:val="1"/>
          <w:iCs w:val="1"/>
          <w:color w:val="auto"/>
        </w:rPr>
        <w:t>Drewry Maritime Research,</w:t>
      </w:r>
      <w:r>
        <w:rPr>
          <w:rFonts w:ascii="Arial" w:cs="Arial" w:eastAsia="Arial" w:hAnsi="Arial"/>
          <w:sz w:val="18"/>
          <w:szCs w:val="18"/>
          <w:color w:val="auto"/>
        </w:rPr>
        <w:t xml:space="preserve"> intermodal leasing companies, as ranked by total TEU, are as follows (1):</w:t>
      </w:r>
    </w:p>
    <w:p>
      <w:pPr>
        <w:spacing w:after="0" w:line="231" w:lineRule="exact"/>
        <w:rPr>
          <w:sz w:val="20"/>
          <w:szCs w:val="20"/>
          <w:color w:val="auto"/>
        </w:rPr>
      </w:pPr>
    </w:p>
    <w:tbl>
      <w:tblPr>
        <w:tblLayout w:type="fixed"/>
        <w:tblInd w:w="1324" w:type="dxa"/>
        <w:tblCellMar>
          <w:top w:w="0" w:type="dxa"/>
          <w:left w:w="0" w:type="dxa"/>
          <w:bottom w:w="0" w:type="dxa"/>
          <w:right w:w="0" w:type="dxa"/>
        </w:tblCellMar>
      </w:tblPr>
      <w:tr>
        <w:trPr>
          <w:trHeight w:val="161"/>
        </w:trPr>
        <w:tc>
          <w:tcPr>
            <w:tcW w:w="600" w:type="dxa"/>
            <w:vAlign w:val="bottom"/>
            <w:vMerge w:val="restart"/>
          </w:tcPr>
          <w:p>
            <w:pPr>
              <w:spacing w:after="0"/>
              <w:rPr>
                <w:sz w:val="20"/>
                <w:szCs w:val="20"/>
                <w:color w:val="auto"/>
              </w:rPr>
            </w:pPr>
            <w:r>
              <w:rPr>
                <w:rFonts w:ascii="Arial" w:cs="Arial" w:eastAsia="Arial" w:hAnsi="Arial"/>
                <w:sz w:val="14"/>
                <w:szCs w:val="14"/>
                <w:b w:val="1"/>
                <w:bCs w:val="1"/>
                <w:color w:val="auto"/>
                <w:w w:val="90"/>
              </w:rPr>
              <w:t>Company</w:t>
            </w:r>
          </w:p>
        </w:tc>
        <w:tc>
          <w:tcPr>
            <w:tcW w:w="6020" w:type="dxa"/>
            <w:vAlign w:val="bottom"/>
            <w:vMerge w:val="restart"/>
          </w:tcPr>
          <w:p>
            <w:pPr>
              <w:spacing w:after="0"/>
              <w:rPr>
                <w:sz w:val="14"/>
                <w:szCs w:val="14"/>
                <w:color w:val="auto"/>
              </w:rPr>
            </w:pPr>
          </w:p>
        </w:tc>
        <w:tc>
          <w:tcPr>
            <w:tcW w:w="920" w:type="dxa"/>
            <w:vAlign w:val="bottom"/>
            <w:gridSpan w:val="2"/>
          </w:tcPr>
          <w:p>
            <w:pPr>
              <w:jc w:val="center"/>
              <w:ind w:right="380"/>
              <w:spacing w:after="0"/>
              <w:rPr>
                <w:sz w:val="20"/>
                <w:szCs w:val="20"/>
                <w:color w:val="auto"/>
              </w:rPr>
            </w:pPr>
            <w:r>
              <w:rPr>
                <w:rFonts w:ascii="Arial" w:cs="Arial" w:eastAsia="Arial" w:hAnsi="Arial"/>
                <w:sz w:val="14"/>
                <w:szCs w:val="14"/>
                <w:b w:val="1"/>
                <w:bCs w:val="1"/>
                <w:color w:val="auto"/>
              </w:rPr>
              <w:t>TEU</w:t>
            </w:r>
          </w:p>
        </w:tc>
        <w:tc>
          <w:tcPr>
            <w:tcW w:w="82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w w:val="87"/>
              </w:rPr>
              <w:t>Percent of</w:t>
            </w:r>
          </w:p>
        </w:tc>
        <w:tc>
          <w:tcPr>
            <w:tcW w:w="0" w:type="dxa"/>
            <w:vAlign w:val="bottom"/>
          </w:tcPr>
          <w:p>
            <w:pPr>
              <w:spacing w:after="0"/>
              <w:rPr>
                <w:sz w:val="1"/>
                <w:szCs w:val="1"/>
                <w:color w:val="auto"/>
              </w:rPr>
            </w:pPr>
          </w:p>
        </w:tc>
      </w:tr>
      <w:tr>
        <w:trPr>
          <w:trHeight w:val="163"/>
        </w:trPr>
        <w:tc>
          <w:tcPr>
            <w:tcW w:w="600" w:type="dxa"/>
            <w:vAlign w:val="bottom"/>
            <w:tcBorders>
              <w:bottom w:val="single" w:sz="8" w:color="auto"/>
            </w:tcBorders>
            <w:vMerge w:val="continue"/>
          </w:tcPr>
          <w:p>
            <w:pPr>
              <w:spacing w:after="0"/>
              <w:rPr>
                <w:sz w:val="13"/>
                <w:szCs w:val="13"/>
                <w:color w:val="auto"/>
              </w:rPr>
            </w:pPr>
          </w:p>
        </w:tc>
        <w:tc>
          <w:tcPr>
            <w:tcW w:w="6020" w:type="dxa"/>
            <w:vAlign w:val="bottom"/>
            <w:vMerge w:val="continue"/>
          </w:tcPr>
          <w:p>
            <w:pPr>
              <w:spacing w:after="0"/>
              <w:rPr>
                <w:sz w:val="13"/>
                <w:szCs w:val="13"/>
                <w:color w:val="auto"/>
              </w:rPr>
            </w:pPr>
          </w:p>
        </w:tc>
        <w:tc>
          <w:tcPr>
            <w:tcW w:w="920" w:type="dxa"/>
            <w:vAlign w:val="bottom"/>
            <w:gridSpan w:val="2"/>
          </w:tcPr>
          <w:p>
            <w:pPr>
              <w:jc w:val="center"/>
              <w:ind w:right="380"/>
              <w:spacing w:after="0" w:line="158" w:lineRule="exact"/>
              <w:rPr>
                <w:sz w:val="20"/>
                <w:szCs w:val="20"/>
                <w:color w:val="auto"/>
              </w:rPr>
            </w:pPr>
            <w:r>
              <w:rPr>
                <w:rFonts w:ascii="Arial" w:cs="Arial" w:eastAsia="Arial" w:hAnsi="Arial"/>
                <w:sz w:val="14"/>
                <w:szCs w:val="14"/>
                <w:b w:val="1"/>
                <w:bCs w:val="1"/>
                <w:color w:val="auto"/>
                <w:w w:val="94"/>
              </w:rPr>
              <w:t>(000’s)</w:t>
            </w:r>
          </w:p>
        </w:tc>
        <w:tc>
          <w:tcPr>
            <w:tcW w:w="820" w:type="dxa"/>
            <w:vAlign w:val="bottom"/>
            <w:gridSpan w:val="2"/>
          </w:tcPr>
          <w:p>
            <w:pPr>
              <w:jc w:val="right"/>
              <w:ind w:right="360"/>
              <w:spacing w:after="0" w:line="158" w:lineRule="exact"/>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20"/>
        </w:trPr>
        <w:tc>
          <w:tcPr>
            <w:tcW w:w="6620" w:type="dxa"/>
            <w:vAlign w:val="bottom"/>
            <w:gridSpan w:val="2"/>
            <w:vMerge w:val="restart"/>
            <w:shd w:val="clear" w:color="auto" w:fill="CCEEFF"/>
          </w:tcPr>
          <w:p>
            <w:pPr>
              <w:spacing w:after="0"/>
              <w:rPr>
                <w:sz w:val="20"/>
                <w:szCs w:val="20"/>
                <w:color w:val="auto"/>
              </w:rPr>
            </w:pPr>
            <w:r>
              <w:rPr>
                <w:rFonts w:ascii="Arial" w:cs="Arial" w:eastAsia="Arial" w:hAnsi="Arial"/>
                <w:sz w:val="18"/>
                <w:szCs w:val="18"/>
                <w:color w:val="auto"/>
              </w:rPr>
              <w:t>Triton International Limited (2)</w:t>
            </w:r>
          </w:p>
        </w:tc>
        <w:tc>
          <w:tcPr>
            <w:tcW w:w="540" w:type="dxa"/>
            <w:vAlign w:val="bottom"/>
            <w:shd w:val="clear" w:color="auto" w:fill="000000"/>
          </w:tcPr>
          <w:p>
            <w:pPr>
              <w:spacing w:after="0" w:line="20" w:lineRule="exact"/>
              <w:rPr>
                <w:sz w:val="1"/>
                <w:szCs w:val="1"/>
                <w:color w:val="auto"/>
              </w:rPr>
            </w:pPr>
          </w:p>
        </w:tc>
        <w:tc>
          <w:tcPr>
            <w:tcW w:w="380" w:type="dxa"/>
            <w:vAlign w:val="bottom"/>
            <w:tcBorders>
              <w:left w:val="single" w:sz="8" w:color="CCEEFF"/>
            </w:tcBorders>
            <w:shd w:val="clear" w:color="auto" w:fill="CCEEFF"/>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3"/>
        </w:trPr>
        <w:tc>
          <w:tcPr>
            <w:tcW w:w="6620" w:type="dxa"/>
            <w:vAlign w:val="bottom"/>
            <w:gridSpan w:val="2"/>
            <w:vMerge w:val="continue"/>
            <w:shd w:val="clear" w:color="auto" w:fill="CCEEFF"/>
          </w:tcPr>
          <w:p>
            <w:pPr>
              <w:spacing w:after="0"/>
              <w:rPr>
                <w:sz w:val="17"/>
                <w:szCs w:val="17"/>
                <w:color w:val="auto"/>
              </w:rPr>
            </w:pPr>
          </w:p>
        </w:tc>
        <w:tc>
          <w:tcPr>
            <w:tcW w:w="540" w:type="dxa"/>
            <w:vAlign w:val="bottom"/>
            <w:shd w:val="clear" w:color="auto" w:fill="CCEEFF"/>
          </w:tcPr>
          <w:p>
            <w:pPr>
              <w:jc w:val="right"/>
              <w:spacing w:after="0" w:line="203" w:lineRule="exact"/>
              <w:rPr>
                <w:sz w:val="20"/>
                <w:szCs w:val="20"/>
                <w:color w:val="auto"/>
              </w:rPr>
            </w:pPr>
            <w:r>
              <w:rPr>
                <w:rFonts w:ascii="Arial" w:cs="Arial" w:eastAsia="Arial" w:hAnsi="Arial"/>
                <w:sz w:val="18"/>
                <w:szCs w:val="18"/>
                <w:color w:val="auto"/>
              </w:rPr>
              <w:t>6,134</w:t>
            </w:r>
          </w:p>
        </w:tc>
        <w:tc>
          <w:tcPr>
            <w:tcW w:w="380" w:type="dxa"/>
            <w:vAlign w:val="bottom"/>
            <w:tcBorders>
              <w:left w:val="single" w:sz="8" w:color="CCEEFF"/>
            </w:tcBorders>
            <w:shd w:val="clear" w:color="auto" w:fill="CCEEFF"/>
          </w:tcPr>
          <w:p>
            <w:pPr>
              <w:spacing w:after="0"/>
              <w:rPr>
                <w:sz w:val="17"/>
                <w:szCs w:val="17"/>
                <w:color w:val="auto"/>
              </w:rPr>
            </w:pPr>
          </w:p>
        </w:tc>
        <w:tc>
          <w:tcPr>
            <w:tcW w:w="820" w:type="dxa"/>
            <w:vAlign w:val="bottom"/>
            <w:gridSpan w:val="2"/>
            <w:shd w:val="clear" w:color="auto" w:fill="CCEEFF"/>
          </w:tcPr>
          <w:p>
            <w:pPr>
              <w:jc w:val="right"/>
              <w:ind w:right="40"/>
              <w:spacing w:after="0" w:line="203" w:lineRule="exact"/>
              <w:rPr>
                <w:sz w:val="20"/>
                <w:szCs w:val="20"/>
                <w:color w:val="auto"/>
              </w:rPr>
            </w:pPr>
            <w:r>
              <w:rPr>
                <w:rFonts w:ascii="Arial" w:cs="Arial" w:eastAsia="Arial" w:hAnsi="Arial"/>
                <w:sz w:val="18"/>
                <w:szCs w:val="18"/>
                <w:color w:val="auto"/>
              </w:rPr>
              <w:t>27.5%</w:t>
            </w:r>
          </w:p>
        </w:tc>
        <w:tc>
          <w:tcPr>
            <w:tcW w:w="0" w:type="dxa"/>
            <w:vAlign w:val="bottom"/>
          </w:tcPr>
          <w:p>
            <w:pPr>
              <w:spacing w:after="0"/>
              <w:rPr>
                <w:sz w:val="1"/>
                <w:szCs w:val="1"/>
                <w:color w:val="auto"/>
              </w:rPr>
            </w:pPr>
          </w:p>
        </w:tc>
      </w:tr>
      <w:tr>
        <w:trPr>
          <w:trHeight w:val="216"/>
        </w:trPr>
        <w:tc>
          <w:tcPr>
            <w:tcW w:w="6620" w:type="dxa"/>
            <w:vAlign w:val="bottom"/>
            <w:gridSpan w:val="2"/>
          </w:tcPr>
          <w:p>
            <w:pPr>
              <w:spacing w:after="0"/>
              <w:rPr>
                <w:sz w:val="20"/>
                <w:szCs w:val="20"/>
                <w:color w:val="auto"/>
              </w:rPr>
            </w:pPr>
            <w:r>
              <w:rPr>
                <w:rFonts w:ascii="Arial" w:cs="Arial" w:eastAsia="Arial" w:hAnsi="Arial"/>
                <w:sz w:val="18"/>
                <w:szCs w:val="18"/>
                <w:color w:val="auto"/>
              </w:rPr>
              <w:t>Textainer (3)</w:t>
            </w:r>
          </w:p>
        </w:tc>
        <w:tc>
          <w:tcPr>
            <w:tcW w:w="540" w:type="dxa"/>
            <w:vAlign w:val="bottom"/>
          </w:tcPr>
          <w:p>
            <w:pPr>
              <w:jc w:val="right"/>
              <w:spacing w:after="0"/>
              <w:rPr>
                <w:sz w:val="20"/>
                <w:szCs w:val="20"/>
                <w:color w:val="auto"/>
              </w:rPr>
            </w:pPr>
            <w:r>
              <w:rPr>
                <w:rFonts w:ascii="Arial" w:cs="Arial" w:eastAsia="Arial" w:hAnsi="Arial"/>
                <w:sz w:val="18"/>
                <w:szCs w:val="18"/>
                <w:color w:val="auto"/>
              </w:rPr>
              <w:t>3,774</w:t>
            </w:r>
          </w:p>
        </w:tc>
        <w:tc>
          <w:tcPr>
            <w:tcW w:w="380" w:type="dxa"/>
            <w:vAlign w:val="bottom"/>
          </w:tcPr>
          <w:p>
            <w:pPr>
              <w:spacing w:after="0"/>
              <w:rPr>
                <w:sz w:val="18"/>
                <w:szCs w:val="18"/>
                <w:color w:val="auto"/>
              </w:rPr>
            </w:pPr>
          </w:p>
        </w:tc>
        <w:tc>
          <w:tcPr>
            <w:tcW w:w="820" w:type="dxa"/>
            <w:vAlign w:val="bottom"/>
            <w:gridSpan w:val="2"/>
          </w:tcPr>
          <w:p>
            <w:pPr>
              <w:jc w:val="right"/>
              <w:ind w:right="40"/>
              <w:spacing w:after="0"/>
              <w:rPr>
                <w:sz w:val="20"/>
                <w:szCs w:val="20"/>
                <w:color w:val="auto"/>
              </w:rPr>
            </w:pPr>
            <w:r>
              <w:rPr>
                <w:rFonts w:ascii="Arial" w:cs="Arial" w:eastAsia="Arial" w:hAnsi="Arial"/>
                <w:sz w:val="18"/>
                <w:szCs w:val="18"/>
                <w:color w:val="auto"/>
              </w:rPr>
              <w:t>16.9%</w:t>
            </w:r>
          </w:p>
        </w:tc>
        <w:tc>
          <w:tcPr>
            <w:tcW w:w="0" w:type="dxa"/>
            <w:vAlign w:val="bottom"/>
          </w:tcPr>
          <w:p>
            <w:pPr>
              <w:spacing w:after="0"/>
              <w:rPr>
                <w:sz w:val="1"/>
                <w:szCs w:val="1"/>
                <w:color w:val="auto"/>
              </w:rPr>
            </w:pPr>
          </w:p>
        </w:tc>
      </w:tr>
      <w:tr>
        <w:trPr>
          <w:trHeight w:val="216"/>
        </w:trPr>
        <w:tc>
          <w:tcPr>
            <w:tcW w:w="6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Florens Leasing</w:t>
            </w: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3,656</w:t>
            </w:r>
          </w:p>
        </w:tc>
        <w:tc>
          <w:tcPr>
            <w:tcW w:w="380" w:type="dxa"/>
            <w:vAlign w:val="bottom"/>
            <w:tcBorders>
              <w:left w:val="single" w:sz="8" w:color="CCEEFF"/>
            </w:tcBorders>
            <w:shd w:val="clear" w:color="auto" w:fill="CCEEFF"/>
          </w:tcPr>
          <w:p>
            <w:pPr>
              <w:spacing w:after="0"/>
              <w:rPr>
                <w:sz w:val="18"/>
                <w:szCs w:val="18"/>
                <w:color w:val="auto"/>
              </w:rPr>
            </w:pP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16.4%</w:t>
            </w:r>
          </w:p>
        </w:tc>
        <w:tc>
          <w:tcPr>
            <w:tcW w:w="0" w:type="dxa"/>
            <w:vAlign w:val="bottom"/>
          </w:tcPr>
          <w:p>
            <w:pPr>
              <w:spacing w:after="0"/>
              <w:rPr>
                <w:sz w:val="1"/>
                <w:szCs w:val="1"/>
                <w:color w:val="auto"/>
              </w:rPr>
            </w:pPr>
          </w:p>
        </w:tc>
      </w:tr>
      <w:tr>
        <w:trPr>
          <w:trHeight w:val="216"/>
        </w:trPr>
        <w:tc>
          <w:tcPr>
            <w:tcW w:w="6620" w:type="dxa"/>
            <w:vAlign w:val="bottom"/>
            <w:gridSpan w:val="2"/>
          </w:tcPr>
          <w:p>
            <w:pPr>
              <w:spacing w:after="0"/>
              <w:rPr>
                <w:sz w:val="20"/>
                <w:szCs w:val="20"/>
                <w:color w:val="auto"/>
              </w:rPr>
            </w:pPr>
            <w:r>
              <w:rPr>
                <w:rFonts w:ascii="Arial" w:cs="Arial" w:eastAsia="Arial" w:hAnsi="Arial"/>
                <w:sz w:val="18"/>
                <w:szCs w:val="18"/>
                <w:color w:val="auto"/>
              </w:rPr>
              <w:t>SeaCo Global</w:t>
            </w:r>
          </w:p>
        </w:tc>
        <w:tc>
          <w:tcPr>
            <w:tcW w:w="540" w:type="dxa"/>
            <w:vAlign w:val="bottom"/>
          </w:tcPr>
          <w:p>
            <w:pPr>
              <w:jc w:val="right"/>
              <w:spacing w:after="0"/>
              <w:rPr>
                <w:sz w:val="20"/>
                <w:szCs w:val="20"/>
                <w:color w:val="auto"/>
              </w:rPr>
            </w:pPr>
            <w:r>
              <w:rPr>
                <w:rFonts w:ascii="Arial" w:cs="Arial" w:eastAsia="Arial" w:hAnsi="Arial"/>
                <w:sz w:val="18"/>
                <w:szCs w:val="18"/>
                <w:color w:val="auto"/>
              </w:rPr>
              <w:t>2,305</w:t>
            </w:r>
          </w:p>
        </w:tc>
        <w:tc>
          <w:tcPr>
            <w:tcW w:w="380" w:type="dxa"/>
            <w:vAlign w:val="bottom"/>
          </w:tcPr>
          <w:p>
            <w:pPr>
              <w:spacing w:after="0"/>
              <w:rPr>
                <w:sz w:val="18"/>
                <w:szCs w:val="18"/>
                <w:color w:val="auto"/>
              </w:rPr>
            </w:pPr>
          </w:p>
        </w:tc>
        <w:tc>
          <w:tcPr>
            <w:tcW w:w="820" w:type="dxa"/>
            <w:vAlign w:val="bottom"/>
            <w:gridSpan w:val="2"/>
          </w:tcPr>
          <w:p>
            <w:pPr>
              <w:jc w:val="right"/>
              <w:ind w:right="40"/>
              <w:spacing w:after="0"/>
              <w:rPr>
                <w:sz w:val="20"/>
                <w:szCs w:val="20"/>
                <w:color w:val="auto"/>
              </w:rPr>
            </w:pPr>
            <w:r>
              <w:rPr>
                <w:rFonts w:ascii="Arial" w:cs="Arial" w:eastAsia="Arial" w:hAnsi="Arial"/>
                <w:sz w:val="18"/>
                <w:szCs w:val="18"/>
                <w:color w:val="auto"/>
              </w:rPr>
              <w:t>10.3%</w:t>
            </w:r>
          </w:p>
        </w:tc>
        <w:tc>
          <w:tcPr>
            <w:tcW w:w="0" w:type="dxa"/>
            <w:vAlign w:val="bottom"/>
          </w:tcPr>
          <w:p>
            <w:pPr>
              <w:spacing w:after="0"/>
              <w:rPr>
                <w:sz w:val="1"/>
                <w:szCs w:val="1"/>
                <w:color w:val="auto"/>
              </w:rPr>
            </w:pPr>
          </w:p>
        </w:tc>
      </w:tr>
      <w:tr>
        <w:trPr>
          <w:trHeight w:val="216"/>
        </w:trPr>
        <w:tc>
          <w:tcPr>
            <w:tcW w:w="6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CAI International, Inc. (2)</w:t>
            </w: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1,745</w:t>
            </w:r>
          </w:p>
        </w:tc>
        <w:tc>
          <w:tcPr>
            <w:tcW w:w="380" w:type="dxa"/>
            <w:vAlign w:val="bottom"/>
            <w:tcBorders>
              <w:left w:val="single" w:sz="8" w:color="CCEEFF"/>
            </w:tcBorders>
            <w:shd w:val="clear" w:color="auto" w:fill="CCEEFF"/>
          </w:tcPr>
          <w:p>
            <w:pPr>
              <w:spacing w:after="0"/>
              <w:rPr>
                <w:sz w:val="18"/>
                <w:szCs w:val="18"/>
                <w:color w:val="auto"/>
              </w:rPr>
            </w:pP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7.8%</w:t>
            </w:r>
          </w:p>
        </w:tc>
        <w:tc>
          <w:tcPr>
            <w:tcW w:w="0" w:type="dxa"/>
            <w:vAlign w:val="bottom"/>
          </w:tcPr>
          <w:p>
            <w:pPr>
              <w:spacing w:after="0"/>
              <w:rPr>
                <w:sz w:val="1"/>
                <w:szCs w:val="1"/>
                <w:color w:val="auto"/>
              </w:rPr>
            </w:pPr>
          </w:p>
        </w:tc>
      </w:tr>
      <w:tr>
        <w:trPr>
          <w:trHeight w:val="216"/>
        </w:trPr>
        <w:tc>
          <w:tcPr>
            <w:tcW w:w="6620" w:type="dxa"/>
            <w:vAlign w:val="bottom"/>
            <w:gridSpan w:val="2"/>
          </w:tcPr>
          <w:p>
            <w:pPr>
              <w:spacing w:after="0"/>
              <w:rPr>
                <w:sz w:val="20"/>
                <w:szCs w:val="20"/>
                <w:color w:val="auto"/>
              </w:rPr>
            </w:pPr>
            <w:r>
              <w:rPr>
                <w:rFonts w:ascii="Arial" w:cs="Arial" w:eastAsia="Arial" w:hAnsi="Arial"/>
                <w:sz w:val="18"/>
                <w:szCs w:val="18"/>
                <w:color w:val="auto"/>
              </w:rPr>
              <w:t>Beacon Intermodal Leasing</w:t>
            </w:r>
          </w:p>
        </w:tc>
        <w:tc>
          <w:tcPr>
            <w:tcW w:w="540" w:type="dxa"/>
            <w:vAlign w:val="bottom"/>
          </w:tcPr>
          <w:p>
            <w:pPr>
              <w:jc w:val="right"/>
              <w:spacing w:after="0"/>
              <w:rPr>
                <w:sz w:val="20"/>
                <w:szCs w:val="20"/>
                <w:color w:val="auto"/>
              </w:rPr>
            </w:pPr>
            <w:r>
              <w:rPr>
                <w:rFonts w:ascii="Arial" w:cs="Arial" w:eastAsia="Arial" w:hAnsi="Arial"/>
                <w:sz w:val="18"/>
                <w:szCs w:val="18"/>
                <w:color w:val="auto"/>
              </w:rPr>
              <w:t>1,563</w:t>
            </w:r>
          </w:p>
        </w:tc>
        <w:tc>
          <w:tcPr>
            <w:tcW w:w="380" w:type="dxa"/>
            <w:vAlign w:val="bottom"/>
          </w:tcPr>
          <w:p>
            <w:pPr>
              <w:spacing w:after="0"/>
              <w:rPr>
                <w:sz w:val="18"/>
                <w:szCs w:val="18"/>
                <w:color w:val="auto"/>
              </w:rPr>
            </w:pPr>
          </w:p>
        </w:tc>
        <w:tc>
          <w:tcPr>
            <w:tcW w:w="820" w:type="dxa"/>
            <w:vAlign w:val="bottom"/>
            <w:gridSpan w:val="2"/>
          </w:tcPr>
          <w:p>
            <w:pPr>
              <w:jc w:val="right"/>
              <w:ind w:right="40"/>
              <w:spacing w:after="0"/>
              <w:rPr>
                <w:sz w:val="20"/>
                <w:szCs w:val="20"/>
                <w:color w:val="auto"/>
              </w:rPr>
            </w:pPr>
            <w:r>
              <w:rPr>
                <w:rFonts w:ascii="Arial" w:cs="Arial" w:eastAsia="Arial" w:hAnsi="Arial"/>
                <w:sz w:val="18"/>
                <w:szCs w:val="18"/>
                <w:color w:val="auto"/>
              </w:rPr>
              <w:t>7.0%</w:t>
            </w:r>
          </w:p>
        </w:tc>
        <w:tc>
          <w:tcPr>
            <w:tcW w:w="0" w:type="dxa"/>
            <w:vAlign w:val="bottom"/>
          </w:tcPr>
          <w:p>
            <w:pPr>
              <w:spacing w:after="0"/>
              <w:rPr>
                <w:sz w:val="1"/>
                <w:szCs w:val="1"/>
                <w:color w:val="auto"/>
              </w:rPr>
            </w:pPr>
          </w:p>
        </w:tc>
      </w:tr>
      <w:tr>
        <w:trPr>
          <w:trHeight w:val="216"/>
        </w:trPr>
        <w:tc>
          <w:tcPr>
            <w:tcW w:w="6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SeaCube Container Leasing Ltd.</w:t>
            </w: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980</w:t>
            </w:r>
          </w:p>
        </w:tc>
        <w:tc>
          <w:tcPr>
            <w:tcW w:w="380" w:type="dxa"/>
            <w:vAlign w:val="bottom"/>
            <w:tcBorders>
              <w:left w:val="single" w:sz="8" w:color="CCEEFF"/>
            </w:tcBorders>
            <w:shd w:val="clear" w:color="auto" w:fill="CCEEFF"/>
          </w:tcPr>
          <w:p>
            <w:pPr>
              <w:spacing w:after="0"/>
              <w:rPr>
                <w:sz w:val="18"/>
                <w:szCs w:val="18"/>
                <w:color w:val="auto"/>
              </w:rPr>
            </w:pP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4.4%</w:t>
            </w:r>
          </w:p>
        </w:tc>
        <w:tc>
          <w:tcPr>
            <w:tcW w:w="0" w:type="dxa"/>
            <w:vAlign w:val="bottom"/>
          </w:tcPr>
          <w:p>
            <w:pPr>
              <w:spacing w:after="0"/>
              <w:rPr>
                <w:sz w:val="1"/>
                <w:szCs w:val="1"/>
                <w:color w:val="auto"/>
              </w:rPr>
            </w:pPr>
          </w:p>
        </w:tc>
      </w:tr>
      <w:tr>
        <w:trPr>
          <w:trHeight w:val="216"/>
        </w:trPr>
        <w:tc>
          <w:tcPr>
            <w:tcW w:w="6620" w:type="dxa"/>
            <w:vAlign w:val="bottom"/>
            <w:gridSpan w:val="2"/>
          </w:tcPr>
          <w:p>
            <w:pPr>
              <w:spacing w:after="0"/>
              <w:rPr>
                <w:sz w:val="20"/>
                <w:szCs w:val="20"/>
                <w:color w:val="auto"/>
              </w:rPr>
            </w:pPr>
            <w:r>
              <w:rPr>
                <w:rFonts w:ascii="Arial" w:cs="Arial" w:eastAsia="Arial" w:hAnsi="Arial"/>
                <w:sz w:val="18"/>
                <w:szCs w:val="18"/>
                <w:color w:val="auto"/>
              </w:rPr>
              <w:t>Touax Global Container Solutions</w:t>
            </w:r>
          </w:p>
        </w:tc>
        <w:tc>
          <w:tcPr>
            <w:tcW w:w="540" w:type="dxa"/>
            <w:vAlign w:val="bottom"/>
          </w:tcPr>
          <w:p>
            <w:pPr>
              <w:jc w:val="right"/>
              <w:spacing w:after="0"/>
              <w:rPr>
                <w:sz w:val="20"/>
                <w:szCs w:val="20"/>
                <w:color w:val="auto"/>
              </w:rPr>
            </w:pPr>
            <w:r>
              <w:rPr>
                <w:rFonts w:ascii="Arial" w:cs="Arial" w:eastAsia="Arial" w:hAnsi="Arial"/>
                <w:sz w:val="18"/>
                <w:szCs w:val="18"/>
                <w:color w:val="auto"/>
              </w:rPr>
              <w:t>434</w:t>
            </w:r>
          </w:p>
        </w:tc>
        <w:tc>
          <w:tcPr>
            <w:tcW w:w="380" w:type="dxa"/>
            <w:vAlign w:val="bottom"/>
          </w:tcPr>
          <w:p>
            <w:pPr>
              <w:spacing w:after="0"/>
              <w:rPr>
                <w:sz w:val="18"/>
                <w:szCs w:val="18"/>
                <w:color w:val="auto"/>
              </w:rPr>
            </w:pPr>
          </w:p>
        </w:tc>
        <w:tc>
          <w:tcPr>
            <w:tcW w:w="820" w:type="dxa"/>
            <w:vAlign w:val="bottom"/>
            <w:gridSpan w:val="2"/>
          </w:tcPr>
          <w:p>
            <w:pPr>
              <w:jc w:val="right"/>
              <w:ind w:right="40"/>
              <w:spacing w:after="0"/>
              <w:rPr>
                <w:sz w:val="20"/>
                <w:szCs w:val="20"/>
                <w:color w:val="auto"/>
              </w:rPr>
            </w:pPr>
            <w:r>
              <w:rPr>
                <w:rFonts w:ascii="Arial" w:cs="Arial" w:eastAsia="Arial" w:hAnsi="Arial"/>
                <w:sz w:val="18"/>
                <w:szCs w:val="18"/>
                <w:color w:val="auto"/>
              </w:rPr>
              <w:t>1.9%</w:t>
            </w:r>
          </w:p>
        </w:tc>
        <w:tc>
          <w:tcPr>
            <w:tcW w:w="0" w:type="dxa"/>
            <w:vAlign w:val="bottom"/>
          </w:tcPr>
          <w:p>
            <w:pPr>
              <w:spacing w:after="0"/>
              <w:rPr>
                <w:sz w:val="1"/>
                <w:szCs w:val="1"/>
                <w:color w:val="auto"/>
              </w:rPr>
            </w:pPr>
          </w:p>
        </w:tc>
      </w:tr>
      <w:tr>
        <w:trPr>
          <w:trHeight w:val="216"/>
        </w:trPr>
        <w:tc>
          <w:tcPr>
            <w:tcW w:w="6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Blue Sky Intermodal</w:t>
            </w: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384</w:t>
            </w:r>
          </w:p>
        </w:tc>
        <w:tc>
          <w:tcPr>
            <w:tcW w:w="380" w:type="dxa"/>
            <w:vAlign w:val="bottom"/>
            <w:tcBorders>
              <w:left w:val="single" w:sz="8" w:color="CCEEFF"/>
            </w:tcBorders>
            <w:shd w:val="clear" w:color="auto" w:fill="CCEEFF"/>
          </w:tcPr>
          <w:p>
            <w:pPr>
              <w:spacing w:after="0"/>
              <w:rPr>
                <w:sz w:val="18"/>
                <w:szCs w:val="18"/>
                <w:color w:val="auto"/>
              </w:rPr>
            </w:pP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1.7%</w:t>
            </w:r>
          </w:p>
        </w:tc>
        <w:tc>
          <w:tcPr>
            <w:tcW w:w="0" w:type="dxa"/>
            <w:vAlign w:val="bottom"/>
          </w:tcPr>
          <w:p>
            <w:pPr>
              <w:spacing w:after="0"/>
              <w:rPr>
                <w:sz w:val="1"/>
                <w:szCs w:val="1"/>
                <w:color w:val="auto"/>
              </w:rPr>
            </w:pPr>
          </w:p>
        </w:tc>
      </w:tr>
      <w:tr>
        <w:trPr>
          <w:trHeight w:val="216"/>
        </w:trPr>
        <w:tc>
          <w:tcPr>
            <w:tcW w:w="6620" w:type="dxa"/>
            <w:vAlign w:val="bottom"/>
            <w:gridSpan w:val="2"/>
          </w:tcPr>
          <w:p>
            <w:pPr>
              <w:spacing w:after="0"/>
              <w:rPr>
                <w:sz w:val="20"/>
                <w:szCs w:val="20"/>
                <w:color w:val="auto"/>
              </w:rPr>
            </w:pPr>
            <w:r>
              <w:rPr>
                <w:rFonts w:ascii="Arial" w:cs="Arial" w:eastAsia="Arial" w:hAnsi="Arial"/>
                <w:sz w:val="18"/>
                <w:szCs w:val="18"/>
                <w:color w:val="auto"/>
              </w:rPr>
              <w:t>UES International</w:t>
            </w:r>
          </w:p>
        </w:tc>
        <w:tc>
          <w:tcPr>
            <w:tcW w:w="540" w:type="dxa"/>
            <w:vAlign w:val="bottom"/>
          </w:tcPr>
          <w:p>
            <w:pPr>
              <w:jc w:val="right"/>
              <w:spacing w:after="0"/>
              <w:rPr>
                <w:sz w:val="20"/>
                <w:szCs w:val="20"/>
                <w:color w:val="auto"/>
              </w:rPr>
            </w:pPr>
            <w:r>
              <w:rPr>
                <w:rFonts w:ascii="Arial" w:cs="Arial" w:eastAsia="Arial" w:hAnsi="Arial"/>
                <w:sz w:val="18"/>
                <w:szCs w:val="18"/>
                <w:color w:val="auto"/>
              </w:rPr>
              <w:t>345</w:t>
            </w:r>
          </w:p>
        </w:tc>
        <w:tc>
          <w:tcPr>
            <w:tcW w:w="380" w:type="dxa"/>
            <w:vAlign w:val="bottom"/>
          </w:tcPr>
          <w:p>
            <w:pPr>
              <w:spacing w:after="0"/>
              <w:rPr>
                <w:sz w:val="18"/>
                <w:szCs w:val="18"/>
                <w:color w:val="auto"/>
              </w:rPr>
            </w:pPr>
          </w:p>
        </w:tc>
        <w:tc>
          <w:tcPr>
            <w:tcW w:w="820" w:type="dxa"/>
            <w:vAlign w:val="bottom"/>
            <w:gridSpan w:val="2"/>
          </w:tcPr>
          <w:p>
            <w:pPr>
              <w:jc w:val="right"/>
              <w:ind w:right="40"/>
              <w:spacing w:after="0"/>
              <w:rPr>
                <w:sz w:val="20"/>
                <w:szCs w:val="20"/>
                <w:color w:val="auto"/>
              </w:rPr>
            </w:pPr>
            <w:r>
              <w:rPr>
                <w:rFonts w:ascii="Arial" w:cs="Arial" w:eastAsia="Arial" w:hAnsi="Arial"/>
                <w:sz w:val="18"/>
                <w:szCs w:val="18"/>
                <w:color w:val="auto"/>
              </w:rPr>
              <w:t>1.5%</w:t>
            </w:r>
          </w:p>
        </w:tc>
        <w:tc>
          <w:tcPr>
            <w:tcW w:w="0" w:type="dxa"/>
            <w:vAlign w:val="bottom"/>
          </w:tcPr>
          <w:p>
            <w:pPr>
              <w:spacing w:after="0"/>
              <w:rPr>
                <w:sz w:val="1"/>
                <w:szCs w:val="1"/>
                <w:color w:val="auto"/>
              </w:rPr>
            </w:pPr>
          </w:p>
        </w:tc>
      </w:tr>
      <w:tr>
        <w:trPr>
          <w:trHeight w:val="216"/>
        </w:trPr>
        <w:tc>
          <w:tcPr>
            <w:tcW w:w="6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Other</w:t>
            </w: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1,015</w:t>
            </w:r>
          </w:p>
        </w:tc>
        <w:tc>
          <w:tcPr>
            <w:tcW w:w="380" w:type="dxa"/>
            <w:vAlign w:val="bottom"/>
            <w:tcBorders>
              <w:left w:val="single" w:sz="8" w:color="CCEEFF"/>
            </w:tcBorders>
            <w:shd w:val="clear" w:color="auto" w:fill="CCEEFF"/>
          </w:tcPr>
          <w:p>
            <w:pPr>
              <w:spacing w:after="0"/>
              <w:rPr>
                <w:sz w:val="18"/>
                <w:szCs w:val="18"/>
                <w:color w:val="auto"/>
              </w:rPr>
            </w:pP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4.5%</w:t>
            </w:r>
          </w:p>
        </w:tc>
        <w:tc>
          <w:tcPr>
            <w:tcW w:w="0" w:type="dxa"/>
            <w:vAlign w:val="bottom"/>
          </w:tcPr>
          <w:p>
            <w:pPr>
              <w:spacing w:after="0"/>
              <w:rPr>
                <w:sz w:val="1"/>
                <w:szCs w:val="1"/>
                <w:color w:val="auto"/>
              </w:rPr>
            </w:pPr>
          </w:p>
        </w:tc>
      </w:tr>
      <w:tr>
        <w:trPr>
          <w:trHeight w:val="20"/>
        </w:trPr>
        <w:tc>
          <w:tcPr>
            <w:tcW w:w="6620" w:type="dxa"/>
            <w:vAlign w:val="bottom"/>
            <w:gridSpan w:val="2"/>
            <w:vMerge w:val="restart"/>
          </w:tcPr>
          <w:p>
            <w:pPr>
              <w:spacing w:after="0"/>
              <w:rPr>
                <w:sz w:val="20"/>
                <w:szCs w:val="20"/>
                <w:color w:val="auto"/>
              </w:rPr>
            </w:pPr>
            <w:r>
              <w:rPr>
                <w:rFonts w:ascii="Arial" w:cs="Arial" w:eastAsia="Arial" w:hAnsi="Arial"/>
                <w:sz w:val="18"/>
                <w:szCs w:val="18"/>
                <w:color w:val="auto"/>
              </w:rPr>
              <w:t>Grand Total</w:t>
            </w:r>
          </w:p>
        </w:tc>
        <w:tc>
          <w:tcPr>
            <w:tcW w:w="540" w:type="dxa"/>
            <w:vAlign w:val="bottom"/>
            <w:shd w:val="clear" w:color="auto" w:fill="000000"/>
          </w:tcPr>
          <w:p>
            <w:pPr>
              <w:spacing w:after="0" w:line="20" w:lineRule="exact"/>
              <w:rPr>
                <w:sz w:val="1"/>
                <w:szCs w:val="1"/>
                <w:color w:val="auto"/>
              </w:rPr>
            </w:pPr>
          </w:p>
        </w:tc>
        <w:tc>
          <w:tcPr>
            <w:tcW w:w="380" w:type="dxa"/>
            <w:vAlign w:val="bottom"/>
            <w:vMerge w:val="restart"/>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6620" w:type="dxa"/>
            <w:vAlign w:val="bottom"/>
            <w:gridSpan w:val="2"/>
            <w:vMerge w:val="continue"/>
          </w:tcPr>
          <w:p>
            <w:pPr>
              <w:spacing w:after="0"/>
              <w:rPr>
                <w:sz w:val="19"/>
                <w:szCs w:val="19"/>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w w:val="94"/>
              </w:rPr>
              <w:t>22,335</w:t>
            </w:r>
          </w:p>
        </w:tc>
        <w:tc>
          <w:tcPr>
            <w:tcW w:w="380" w:type="dxa"/>
            <w:vAlign w:val="bottom"/>
            <w:vMerge w:val="continue"/>
          </w:tcPr>
          <w:p>
            <w:pPr>
              <w:spacing w:after="0"/>
              <w:rPr>
                <w:sz w:val="19"/>
                <w:szCs w:val="19"/>
                <w:color w:val="auto"/>
              </w:rPr>
            </w:pPr>
          </w:p>
        </w:tc>
        <w:tc>
          <w:tcPr>
            <w:tcW w:w="820" w:type="dxa"/>
            <w:vAlign w:val="bottom"/>
            <w:gridSpan w:val="2"/>
          </w:tcPr>
          <w:p>
            <w:pPr>
              <w:jc w:val="right"/>
              <w:ind w:right="40"/>
              <w:spacing w:after="0"/>
              <w:rPr>
                <w:sz w:val="20"/>
                <w:szCs w:val="20"/>
                <w:color w:val="auto"/>
              </w:rPr>
            </w:pPr>
            <w:r>
              <w:rPr>
                <w:rFonts w:ascii="Arial" w:cs="Arial" w:eastAsia="Arial" w:hAnsi="Arial"/>
                <w:sz w:val="18"/>
                <w:szCs w:val="18"/>
                <w:color w:val="auto"/>
              </w:rPr>
              <w:t>100.0%</w:t>
            </w:r>
          </w:p>
        </w:tc>
        <w:tc>
          <w:tcPr>
            <w:tcW w:w="0" w:type="dxa"/>
            <w:vAlign w:val="bottom"/>
          </w:tcPr>
          <w:p>
            <w:pPr>
              <w:spacing w:after="0"/>
              <w:rPr>
                <w:sz w:val="1"/>
                <w:szCs w:val="1"/>
                <w:color w:val="auto"/>
              </w:rPr>
            </w:pPr>
          </w:p>
        </w:tc>
      </w:tr>
      <w:tr>
        <w:trPr>
          <w:trHeight w:val="20"/>
        </w:trPr>
        <w:tc>
          <w:tcPr>
            <w:tcW w:w="600" w:type="dxa"/>
            <w:vAlign w:val="bottom"/>
          </w:tcPr>
          <w:p>
            <w:pPr>
              <w:spacing w:after="0" w:line="20" w:lineRule="exact"/>
              <w:rPr>
                <w:sz w:val="1"/>
                <w:szCs w:val="1"/>
                <w:color w:val="auto"/>
              </w:rPr>
            </w:pPr>
          </w:p>
        </w:tc>
        <w:tc>
          <w:tcPr>
            <w:tcW w:w="602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93980</wp:posOffset>
            </wp:positionV>
            <wp:extent cx="771525" cy="889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771525" cy="8890"/>
                    </a:xfrm>
                    <a:prstGeom prst="rect">
                      <a:avLst/>
                    </a:prstGeom>
                    <a:noFill/>
                  </pic:spPr>
                </pic:pic>
              </a:graphicData>
            </a:graphic>
          </wp:anchor>
        </w:drawing>
      </w:r>
    </w:p>
    <w:p>
      <w:pPr>
        <w:spacing w:after="0" w:line="168" w:lineRule="exact"/>
        <w:rPr>
          <w:sz w:val="20"/>
          <w:szCs w:val="20"/>
          <w:color w:val="auto"/>
        </w:rPr>
      </w:pPr>
    </w:p>
    <w:p>
      <w:pPr>
        <w:ind w:left="424" w:hanging="424"/>
        <w:spacing w:after="0"/>
        <w:tabs>
          <w:tab w:leader="none" w:pos="424" w:val="left"/>
        </w:tabs>
        <w:numPr>
          <w:ilvl w:val="0"/>
          <w:numId w:val="40"/>
        </w:numPr>
        <w:rPr>
          <w:rFonts w:ascii="Arial" w:cs="Arial" w:eastAsia="Arial" w:hAnsi="Arial"/>
          <w:sz w:val="18"/>
          <w:szCs w:val="18"/>
          <w:color w:val="auto"/>
        </w:rPr>
      </w:pPr>
      <w:r>
        <w:rPr>
          <w:rFonts w:ascii="Arial" w:cs="Arial" w:eastAsia="Arial" w:hAnsi="Arial"/>
          <w:sz w:val="18"/>
          <w:szCs w:val="18"/>
          <w:color w:val="auto"/>
        </w:rPr>
        <w:t>All companies’ information at December 2019, except as otherwise noted.</w:t>
      </w:r>
    </w:p>
    <w:p>
      <w:pPr>
        <w:spacing w:after="0" w:line="23" w:lineRule="exact"/>
        <w:rPr>
          <w:rFonts w:ascii="Arial" w:cs="Arial" w:eastAsia="Arial" w:hAnsi="Arial"/>
          <w:sz w:val="18"/>
          <w:szCs w:val="18"/>
          <w:color w:val="auto"/>
        </w:rPr>
      </w:pPr>
    </w:p>
    <w:p>
      <w:pPr>
        <w:ind w:left="424" w:hanging="424"/>
        <w:spacing w:after="0"/>
        <w:tabs>
          <w:tab w:leader="none" w:pos="424" w:val="left"/>
        </w:tabs>
        <w:numPr>
          <w:ilvl w:val="0"/>
          <w:numId w:val="40"/>
        </w:numPr>
        <w:rPr>
          <w:rFonts w:ascii="Arial" w:cs="Arial" w:eastAsia="Arial" w:hAnsi="Arial"/>
          <w:sz w:val="18"/>
          <w:szCs w:val="18"/>
          <w:color w:val="auto"/>
        </w:rPr>
      </w:pPr>
      <w:r>
        <w:rPr>
          <w:rFonts w:ascii="Arial" w:cs="Arial" w:eastAsia="Arial" w:hAnsi="Arial"/>
          <w:sz w:val="18"/>
          <w:szCs w:val="18"/>
          <w:color w:val="auto"/>
        </w:rPr>
        <w:t>Triton’s and CAI’s fleet at December 31, 2020, according to their most recent published information.</w:t>
      </w:r>
    </w:p>
    <w:p>
      <w:pPr>
        <w:spacing w:after="0" w:line="9" w:lineRule="exact"/>
        <w:rPr>
          <w:rFonts w:ascii="Arial" w:cs="Arial" w:eastAsia="Arial" w:hAnsi="Arial"/>
          <w:sz w:val="18"/>
          <w:szCs w:val="18"/>
          <w:color w:val="auto"/>
        </w:rPr>
      </w:pPr>
    </w:p>
    <w:p>
      <w:pPr>
        <w:ind w:left="424" w:hanging="424"/>
        <w:spacing w:after="0"/>
        <w:tabs>
          <w:tab w:leader="none" w:pos="424" w:val="left"/>
        </w:tabs>
        <w:numPr>
          <w:ilvl w:val="0"/>
          <w:numId w:val="40"/>
        </w:numPr>
        <w:rPr>
          <w:rFonts w:ascii="Arial" w:cs="Arial" w:eastAsia="Arial" w:hAnsi="Arial"/>
          <w:sz w:val="18"/>
          <w:szCs w:val="18"/>
          <w:color w:val="auto"/>
        </w:rPr>
      </w:pPr>
      <w:r>
        <w:rPr>
          <w:rFonts w:ascii="Arial" w:cs="Arial" w:eastAsia="Arial" w:hAnsi="Arial"/>
          <w:sz w:val="18"/>
          <w:szCs w:val="18"/>
          <w:color w:val="auto"/>
        </w:rPr>
        <w:t>Textainer Group’s owned and managed fleet at December 31, 2020.</w:t>
      </w:r>
    </w:p>
    <w:p>
      <w:pPr>
        <w:spacing w:after="0" w:line="315"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Competitive Strengths</w:t>
      </w:r>
    </w:p>
    <w:p>
      <w:pPr>
        <w:spacing w:after="0" w:line="121"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We believe that we possess a number of strengths that provide us with a competitive advantage, including:</w:t>
      </w:r>
    </w:p>
    <w:p>
      <w:pPr>
        <w:spacing w:after="0" w:line="113" w:lineRule="exact"/>
        <w:rPr>
          <w:sz w:val="20"/>
          <w:szCs w:val="20"/>
          <w:color w:val="auto"/>
        </w:rPr>
      </w:pPr>
    </w:p>
    <w:p>
      <w:pPr>
        <w:jc w:val="both"/>
        <w:ind w:left="444" w:right="60"/>
        <w:spacing w:after="0" w:line="281" w:lineRule="auto"/>
        <w:rPr>
          <w:sz w:val="20"/>
          <w:szCs w:val="20"/>
          <w:color w:val="auto"/>
        </w:rPr>
      </w:pPr>
      <w:r>
        <w:rPr>
          <w:rFonts w:ascii="Arial" w:cs="Arial" w:eastAsia="Arial" w:hAnsi="Arial"/>
          <w:sz w:val="17"/>
          <w:szCs w:val="17"/>
          <w:b w:val="1"/>
          <w:bCs w:val="1"/>
          <w:color w:val="auto"/>
        </w:rPr>
        <w:t xml:space="preserve">One of the Largest Container Lessors in the Industry. </w:t>
      </w:r>
      <w:r>
        <w:rPr>
          <w:rFonts w:ascii="Arial" w:cs="Arial" w:eastAsia="Arial" w:hAnsi="Arial"/>
          <w:sz w:val="17"/>
          <w:szCs w:val="17"/>
          <w:color w:val="auto"/>
        </w:rPr>
        <w:t>We operate one of the world’s largest fleets of leased intermodal containers, with a total</w:t>
      </w:r>
      <w:r>
        <w:rPr>
          <w:rFonts w:ascii="Arial" w:cs="Arial" w:eastAsia="Arial" w:hAnsi="Arial"/>
          <w:sz w:val="17"/>
          <w:szCs w:val="17"/>
          <w:b w:val="1"/>
          <w:bCs w:val="1"/>
          <w:color w:val="auto"/>
        </w:rPr>
        <w:t xml:space="preserve"> </w:t>
      </w:r>
      <w:r>
        <w:rPr>
          <w:rFonts w:ascii="Arial" w:cs="Arial" w:eastAsia="Arial" w:hAnsi="Arial"/>
          <w:sz w:val="17"/>
          <w:szCs w:val="17"/>
          <w:color w:val="auto"/>
        </w:rPr>
        <w:t>fleet of 3.8 million TEU as of December 31, 2020. We provide our services worldwide via a network of regional and area offices and independent depots. Our consistent presence in the market buying and selling containers provides us with broad market intelligence, and valuable insight into the demand patterns of our shipping line customers and resale container buyers.</w:t>
      </w:r>
    </w:p>
    <w:p>
      <w:pPr>
        <w:spacing w:after="0" w:line="57" w:lineRule="exact"/>
        <w:rPr>
          <w:sz w:val="20"/>
          <w:szCs w:val="20"/>
          <w:color w:val="auto"/>
        </w:rPr>
      </w:pPr>
    </w:p>
    <w:p>
      <w:pPr>
        <w:ind w:left="444" w:right="20"/>
        <w:spacing w:after="0" w:line="274" w:lineRule="auto"/>
        <w:rPr>
          <w:sz w:val="20"/>
          <w:szCs w:val="20"/>
          <w:color w:val="auto"/>
        </w:rPr>
      </w:pPr>
      <w:r>
        <w:rPr>
          <w:rFonts w:ascii="Arial" w:cs="Arial" w:eastAsia="Arial" w:hAnsi="Arial"/>
          <w:sz w:val="17"/>
          <w:szCs w:val="17"/>
          <w:b w:val="1"/>
          <w:bCs w:val="1"/>
          <w:color w:val="auto"/>
        </w:rPr>
        <w:t xml:space="preserve">Proven Ability to Grow Our Fleet Over Time. </w:t>
      </w:r>
      <w:r>
        <w:rPr>
          <w:rFonts w:ascii="Arial" w:cs="Arial" w:eastAsia="Arial" w:hAnsi="Arial"/>
          <w:sz w:val="17"/>
          <w:szCs w:val="17"/>
          <w:color w:val="auto"/>
        </w:rPr>
        <w:t>Our ability to invest in our fleet has allowed us to become one the world’s largest container</w:t>
      </w:r>
      <w:r>
        <w:rPr>
          <w:rFonts w:ascii="Arial" w:cs="Arial" w:eastAsia="Arial" w:hAnsi="Arial"/>
          <w:sz w:val="17"/>
          <w:szCs w:val="17"/>
          <w:b w:val="1"/>
          <w:bCs w:val="1"/>
          <w:color w:val="auto"/>
        </w:rPr>
        <w:t xml:space="preserve"> </w:t>
      </w:r>
      <w:r>
        <w:rPr>
          <w:rFonts w:ascii="Arial" w:cs="Arial" w:eastAsia="Arial" w:hAnsi="Arial"/>
          <w:sz w:val="17"/>
          <w:szCs w:val="17"/>
          <w:color w:val="auto"/>
        </w:rPr>
        <w:t>lessors. We have demonstrated our ability to increase the size of our container fleet by purchasing containers from manufacturers and by acquiring existing container fleets or their management rights. Over the past 22 years, we have acquired the rights to manage over 1,500,000 TEU from former competitors and we have acquired approximately 892,000 TEU of containers from our managed fleet. As one of the largest buyers of new containers, we have developed strong relationships with container manufacturers. These relationships, along with our large volume buying power and solid financial structure, enable us to reliably purchase containers during periods of high demand.</w:t>
      </w:r>
    </w:p>
    <w:p>
      <w:pPr>
        <w:spacing w:after="0" w:line="65" w:lineRule="exact"/>
        <w:rPr>
          <w:sz w:val="20"/>
          <w:szCs w:val="20"/>
          <w:color w:val="auto"/>
        </w:rPr>
      </w:pPr>
    </w:p>
    <w:p>
      <w:pPr>
        <w:ind w:left="444"/>
        <w:spacing w:after="0" w:line="291" w:lineRule="auto"/>
        <w:rPr>
          <w:sz w:val="20"/>
          <w:szCs w:val="20"/>
          <w:color w:val="auto"/>
        </w:rPr>
      </w:pPr>
      <w:r>
        <w:rPr>
          <w:rFonts w:ascii="Arial" w:cs="Arial" w:eastAsia="Arial" w:hAnsi="Arial"/>
          <w:sz w:val="16"/>
          <w:szCs w:val="16"/>
          <w:b w:val="1"/>
          <w:bCs w:val="1"/>
          <w:color w:val="auto"/>
        </w:rPr>
        <w:t xml:space="preserve">Ability to Generate Attractive Returns Throughout the Container Life-Cycle. </w:t>
      </w:r>
      <w:r>
        <w:rPr>
          <w:rFonts w:ascii="Arial" w:cs="Arial" w:eastAsia="Arial" w:hAnsi="Arial"/>
          <w:sz w:val="16"/>
          <w:szCs w:val="16"/>
          <w:color w:val="auto"/>
        </w:rPr>
        <w:t>One of our strengths is our ability to generate attractive</w:t>
      </w:r>
      <w:r>
        <w:rPr>
          <w:rFonts w:ascii="Arial" w:cs="Arial" w:eastAsia="Arial" w:hAnsi="Arial"/>
          <w:sz w:val="16"/>
          <w:szCs w:val="16"/>
          <w:b w:val="1"/>
          <w:bCs w:val="1"/>
          <w:color w:val="auto"/>
        </w:rPr>
        <w:t xml:space="preserve"> </w:t>
      </w:r>
      <w:r>
        <w:rPr>
          <w:rFonts w:ascii="Arial" w:cs="Arial" w:eastAsia="Arial" w:hAnsi="Arial"/>
          <w:sz w:val="16"/>
          <w:szCs w:val="16"/>
          <w:color w:val="auto"/>
        </w:rPr>
        <w:t>revenue streams throughout the economic life of a container in marine service and upon resale of the container at the end of its marine service life. At the end of a lease’s initial term, we generally have the ability to either negotiate an extension of the lease term or to take back the container and re-lease or sell it in order to maximize the container’s return. We focus on renewing or extending our long-term container leases beyond their expiration dates (typically three to five years from the start of the lease, but generally longer for leases entered into during 2020 and 2021). In addition, we attempt to negotiate favorable return provisions on all leases and maintain an active presence in the master and spot lease markets. This flexibility, coupled with our international coverage, organization and resources, allows us to deploy containers to those markets where we can re-lease or sell them on comparatively attractive terms in order to optimize our returns and the residual value of our fleet.</w:t>
      </w:r>
    </w:p>
    <w:p>
      <w:pPr>
        <w:spacing w:after="0" w:line="51" w:lineRule="exact"/>
        <w:rPr>
          <w:sz w:val="20"/>
          <w:szCs w:val="20"/>
          <w:color w:val="auto"/>
        </w:rPr>
      </w:pPr>
    </w:p>
    <w:p>
      <w:pPr>
        <w:ind w:left="444"/>
        <w:spacing w:after="0" w:line="314" w:lineRule="auto"/>
        <w:rPr>
          <w:sz w:val="20"/>
          <w:szCs w:val="20"/>
          <w:color w:val="auto"/>
        </w:rPr>
      </w:pPr>
      <w:r>
        <w:rPr>
          <w:rFonts w:ascii="Arial" w:cs="Arial" w:eastAsia="Arial" w:hAnsi="Arial"/>
          <w:sz w:val="16"/>
          <w:szCs w:val="16"/>
          <w:b w:val="1"/>
          <w:bCs w:val="1"/>
          <w:color w:val="auto"/>
        </w:rPr>
        <w:t xml:space="preserve">Strong Long-Standing Relationships with Customers. </w:t>
      </w:r>
      <w:r>
        <w:rPr>
          <w:rFonts w:ascii="Arial" w:cs="Arial" w:eastAsia="Arial" w:hAnsi="Arial"/>
          <w:sz w:val="16"/>
          <w:szCs w:val="16"/>
          <w:color w:val="auto"/>
        </w:rPr>
        <w:t>Our scale, long presence in the business and reliability as a supplier of containers has</w:t>
      </w:r>
      <w:r>
        <w:rPr>
          <w:rFonts w:ascii="Arial" w:cs="Arial" w:eastAsia="Arial" w:hAnsi="Arial"/>
          <w:sz w:val="16"/>
          <w:szCs w:val="16"/>
          <w:b w:val="1"/>
          <w:bCs w:val="1"/>
          <w:color w:val="auto"/>
        </w:rPr>
        <w:t xml:space="preserve"> </w:t>
      </w:r>
      <w:r>
        <w:rPr>
          <w:rFonts w:ascii="Arial" w:cs="Arial" w:eastAsia="Arial" w:hAnsi="Arial"/>
          <w:sz w:val="16"/>
          <w:szCs w:val="16"/>
          <w:color w:val="auto"/>
        </w:rPr>
        <w:t>resulted in strong relationships with our customers. We lease containers to approximately 250 shipping lines and other lessees, including almost all of the world’s top 20 container lines, as measured by vessel fleet size in TEU and we have sold containers to an average of more than 1,500 resale</w:t>
      </w:r>
    </w:p>
    <w:p>
      <w:pPr>
        <w:spacing w:after="0" w:line="78"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40</w:t>
      </w:r>
    </w:p>
    <w:p>
      <w:pPr>
        <w:sectPr>
          <w:pgSz w:w="11900" w:h="16838" w:orient="portrait"/>
          <w:cols w:equalWidth="0" w:num="1">
            <w:col w:w="11004"/>
          </w:cols>
          <w:pgMar w:left="436" w:top="274" w:right="459" w:bottom="1440" w:gutter="0" w:footer="0" w:header="0"/>
        </w:sectPr>
      </w:pPr>
    </w:p>
    <w:bookmarkStart w:id="54" w:name="page55"/>
    <w:bookmarkEnd w:id="54"/>
    <w:p>
      <w:pPr>
        <w:ind w:left="440" w:right="140"/>
        <w:spacing w:after="0" w:line="34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7174865" cy="38735"/>
                    </a:xfrm>
                    <a:prstGeom prst="rect">
                      <a:avLst/>
                    </a:prstGeom>
                    <a:noFill/>
                  </pic:spPr>
                </pic:pic>
              </a:graphicData>
            </a:graphic>
          </wp:anchor>
        </w:drawing>
        <w:t>customers for the last five years. We believe our ability to consistently supply containers in locations where our customers need them makes us a reliable lessor of containers. Our top 20 customers, as measured by revenues, have on average been our customers for 27 years.</w:t>
      </w:r>
    </w:p>
    <w:p>
      <w:pPr>
        <w:spacing w:after="0" w:line="12" w:lineRule="exact"/>
        <w:rPr>
          <w:sz w:val="20"/>
          <w:szCs w:val="20"/>
          <w:color w:val="auto"/>
        </w:rPr>
      </w:pPr>
    </w:p>
    <w:p>
      <w:pPr>
        <w:ind w:left="440" w:right="160"/>
        <w:spacing w:after="0" w:line="277" w:lineRule="auto"/>
        <w:rPr>
          <w:sz w:val="20"/>
          <w:szCs w:val="20"/>
          <w:color w:val="auto"/>
        </w:rPr>
      </w:pPr>
      <w:r>
        <w:rPr>
          <w:rFonts w:ascii="Arial" w:cs="Arial" w:eastAsia="Arial" w:hAnsi="Arial"/>
          <w:sz w:val="17"/>
          <w:szCs w:val="17"/>
          <w:b w:val="1"/>
          <w:bCs w:val="1"/>
          <w:color w:val="auto"/>
        </w:rPr>
        <w:t xml:space="preserve">Multiple Sources of Revenue. </w:t>
      </w:r>
      <w:r>
        <w:rPr>
          <w:rFonts w:ascii="Arial" w:cs="Arial" w:eastAsia="Arial" w:hAnsi="Arial"/>
          <w:sz w:val="17"/>
          <w:szCs w:val="17"/>
          <w:color w:val="auto"/>
        </w:rPr>
        <w:t>We believe that the long-term nature of our lease portfolio, as well as the presence of both owned and managed</w:t>
      </w:r>
      <w:r>
        <w:rPr>
          <w:rFonts w:ascii="Arial" w:cs="Arial" w:eastAsia="Arial" w:hAnsi="Arial"/>
          <w:sz w:val="17"/>
          <w:szCs w:val="17"/>
          <w:b w:val="1"/>
          <w:bCs w:val="1"/>
          <w:color w:val="auto"/>
        </w:rPr>
        <w:t xml:space="preserve"> </w:t>
      </w:r>
      <w:r>
        <w:rPr>
          <w:rFonts w:ascii="Arial" w:cs="Arial" w:eastAsia="Arial" w:hAnsi="Arial"/>
          <w:sz w:val="17"/>
          <w:szCs w:val="17"/>
          <w:color w:val="auto"/>
        </w:rPr>
        <w:t>containers in our fleet, provides us with a more predictable source of revenues and operating cash flow and higher operating margins over time, enabling us to manage and grow our business more effectively. We derive revenues from leasing our owned containers, managing containers owned by third parties and buying and selling containers. These multiple revenue streams provide for a diverse income base, help to mitigate the effects of our cyclical industry on profitability and allow us to optimize our use of capital.</w:t>
      </w:r>
    </w:p>
    <w:p>
      <w:pPr>
        <w:spacing w:after="0" w:line="60" w:lineRule="exact"/>
        <w:rPr>
          <w:sz w:val="20"/>
          <w:szCs w:val="20"/>
          <w:color w:val="auto"/>
        </w:rPr>
      </w:pPr>
    </w:p>
    <w:p>
      <w:pPr>
        <w:ind w:left="440" w:right="180"/>
        <w:spacing w:after="0" w:line="266" w:lineRule="auto"/>
        <w:rPr>
          <w:sz w:val="20"/>
          <w:szCs w:val="20"/>
          <w:color w:val="auto"/>
        </w:rPr>
      </w:pPr>
      <w:r>
        <w:rPr>
          <w:rFonts w:ascii="Arial" w:cs="Arial" w:eastAsia="Arial" w:hAnsi="Arial"/>
          <w:sz w:val="18"/>
          <w:szCs w:val="18"/>
          <w:b w:val="1"/>
          <w:bCs w:val="1"/>
          <w:color w:val="auto"/>
        </w:rPr>
        <w:t xml:space="preserve">Experienced Management Team. </w:t>
      </w:r>
      <w:r>
        <w:rPr>
          <w:rFonts w:ascii="Arial" w:cs="Arial" w:eastAsia="Arial" w:hAnsi="Arial"/>
          <w:sz w:val="18"/>
          <w:szCs w:val="18"/>
          <w:color w:val="auto"/>
        </w:rPr>
        <w:t>Our management team has a solid history in the industry. The management team has extensive experience in</w:t>
      </w:r>
      <w:r>
        <w:rPr>
          <w:rFonts w:ascii="Arial" w:cs="Arial" w:eastAsia="Arial" w:hAnsi="Arial"/>
          <w:sz w:val="18"/>
          <w:szCs w:val="18"/>
          <w:b w:val="1"/>
          <w:bCs w:val="1"/>
          <w:color w:val="auto"/>
        </w:rPr>
        <w:t xml:space="preserve"> </w:t>
      </w:r>
      <w:r>
        <w:rPr>
          <w:rFonts w:ascii="Arial" w:cs="Arial" w:eastAsia="Arial" w:hAnsi="Arial"/>
          <w:sz w:val="18"/>
          <w:szCs w:val="18"/>
          <w:color w:val="auto"/>
        </w:rPr>
        <w:t>sourcing, leasing, financing, selling, trading and managing containers, as well as a long track record of successfully acquiring and selling container assets.</w:t>
      </w:r>
    </w:p>
    <w:p>
      <w:pPr>
        <w:spacing w:after="0" w:line="2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Business Strategies</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We intend to grow our business profitably by pursuing the following strategies:</w:t>
      </w:r>
    </w:p>
    <w:p>
      <w:pPr>
        <w:spacing w:after="0" w:line="113" w:lineRule="exact"/>
        <w:rPr>
          <w:sz w:val="20"/>
          <w:szCs w:val="20"/>
          <w:color w:val="auto"/>
        </w:rPr>
      </w:pPr>
    </w:p>
    <w:p>
      <w:pPr>
        <w:ind w:left="440" w:right="220"/>
        <w:spacing w:after="0" w:line="261" w:lineRule="auto"/>
        <w:rPr>
          <w:sz w:val="20"/>
          <w:szCs w:val="20"/>
          <w:color w:val="auto"/>
        </w:rPr>
      </w:pPr>
      <w:r>
        <w:rPr>
          <w:rFonts w:ascii="Arial" w:cs="Arial" w:eastAsia="Arial" w:hAnsi="Arial"/>
          <w:sz w:val="18"/>
          <w:szCs w:val="18"/>
          <w:b w:val="1"/>
          <w:bCs w:val="1"/>
          <w:color w:val="auto"/>
        </w:rPr>
        <w:t xml:space="preserve">Leverage Our Status as one of the Largest Container Lessors and Consistent Purchaser and Seller of Containers. </w:t>
      </w:r>
      <w:r>
        <w:rPr>
          <w:rFonts w:ascii="Arial" w:cs="Arial" w:eastAsia="Arial" w:hAnsi="Arial"/>
          <w:sz w:val="18"/>
          <w:szCs w:val="18"/>
          <w:color w:val="auto"/>
        </w:rPr>
        <w:t>We endeavor to make</w:t>
      </w:r>
      <w:r>
        <w:rPr>
          <w:rFonts w:ascii="Arial" w:cs="Arial" w:eastAsia="Arial" w:hAnsi="Arial"/>
          <w:sz w:val="18"/>
          <w:szCs w:val="18"/>
          <w:b w:val="1"/>
          <w:bCs w:val="1"/>
          <w:color w:val="auto"/>
        </w:rPr>
        <w:t xml:space="preserve"> </w:t>
      </w:r>
      <w:r>
        <w:rPr>
          <w:rFonts w:ascii="Arial" w:cs="Arial" w:eastAsia="Arial" w:hAnsi="Arial"/>
          <w:sz w:val="18"/>
          <w:szCs w:val="18"/>
          <w:color w:val="auto"/>
        </w:rPr>
        <w:t>regular purchases of containers to replace older containers and increase the size of our fleet. We believe that this consistent purchasing behavior and the resulting scale and young fleet age profile provides us with a competitive advantage in maintaining strong relationships with manufacturers and growing our market share with our existing customers.</w:t>
      </w:r>
    </w:p>
    <w:p>
      <w:pPr>
        <w:spacing w:after="0" w:line="72" w:lineRule="exact"/>
        <w:rPr>
          <w:sz w:val="20"/>
          <w:szCs w:val="20"/>
          <w:color w:val="auto"/>
        </w:rPr>
      </w:pPr>
    </w:p>
    <w:p>
      <w:pPr>
        <w:ind w:left="440" w:right="280"/>
        <w:spacing w:after="0" w:line="266" w:lineRule="auto"/>
        <w:rPr>
          <w:sz w:val="20"/>
          <w:szCs w:val="20"/>
          <w:color w:val="auto"/>
        </w:rPr>
      </w:pPr>
      <w:r>
        <w:rPr>
          <w:rFonts w:ascii="Arial" w:cs="Arial" w:eastAsia="Arial" w:hAnsi="Arial"/>
          <w:sz w:val="18"/>
          <w:szCs w:val="18"/>
          <w:b w:val="1"/>
          <w:bCs w:val="1"/>
          <w:color w:val="auto"/>
        </w:rPr>
        <w:t xml:space="preserve">Be the Most Reliable Supplier of Quality Containers. </w:t>
      </w:r>
      <w:r>
        <w:rPr>
          <w:rFonts w:ascii="Arial" w:cs="Arial" w:eastAsia="Arial" w:hAnsi="Arial"/>
          <w:sz w:val="18"/>
          <w:szCs w:val="18"/>
          <w:color w:val="auto"/>
        </w:rPr>
        <w:t>We continue to provide superior equipment and ensure that it is available in the right</w:t>
      </w:r>
      <w:r>
        <w:rPr>
          <w:rFonts w:ascii="Arial" w:cs="Arial" w:eastAsia="Arial" w:hAnsi="Arial"/>
          <w:sz w:val="18"/>
          <w:szCs w:val="18"/>
          <w:b w:val="1"/>
          <w:bCs w:val="1"/>
          <w:color w:val="auto"/>
        </w:rPr>
        <w:t xml:space="preserve"> </w:t>
      </w:r>
      <w:r>
        <w:rPr>
          <w:rFonts w:ascii="Arial" w:cs="Arial" w:eastAsia="Arial" w:hAnsi="Arial"/>
          <w:sz w:val="18"/>
          <w:szCs w:val="18"/>
          <w:color w:val="auto"/>
        </w:rPr>
        <w:t>location and at the right time. Having one of the world’s largest owned and managed container fleets, we are in a strong position to be the most reliable supplier of dry freight containers to meet the demands of shipping lines.</w:t>
      </w:r>
    </w:p>
    <w:p>
      <w:pPr>
        <w:spacing w:after="0" w:line="68" w:lineRule="exact"/>
        <w:rPr>
          <w:sz w:val="20"/>
          <w:szCs w:val="20"/>
          <w:color w:val="auto"/>
        </w:rPr>
      </w:pPr>
    </w:p>
    <w:p>
      <w:pPr>
        <w:ind w:left="440"/>
        <w:spacing w:after="0" w:line="256" w:lineRule="auto"/>
        <w:rPr>
          <w:sz w:val="20"/>
          <w:szCs w:val="20"/>
          <w:color w:val="auto"/>
        </w:rPr>
      </w:pPr>
      <w:r>
        <w:rPr>
          <w:rFonts w:ascii="Arial" w:cs="Arial" w:eastAsia="Arial" w:hAnsi="Arial"/>
          <w:sz w:val="18"/>
          <w:szCs w:val="18"/>
          <w:b w:val="1"/>
          <w:bCs w:val="1"/>
          <w:color w:val="auto"/>
        </w:rPr>
        <w:t xml:space="preserve">Pursue Attractive Container Related Acquisition Opportunities. </w:t>
      </w:r>
      <w:r>
        <w:rPr>
          <w:rFonts w:ascii="Arial" w:cs="Arial" w:eastAsia="Arial" w:hAnsi="Arial"/>
          <w:sz w:val="18"/>
          <w:szCs w:val="18"/>
          <w:color w:val="auto"/>
        </w:rPr>
        <w:t>We will continue to seek to identify and attempt to acquire attractive</w:t>
      </w:r>
      <w:r>
        <w:rPr>
          <w:rFonts w:ascii="Arial" w:cs="Arial" w:eastAsia="Arial" w:hAnsi="Arial"/>
          <w:sz w:val="18"/>
          <w:szCs w:val="18"/>
          <w:b w:val="1"/>
          <w:bCs w:val="1"/>
          <w:color w:val="auto"/>
        </w:rPr>
        <w:t xml:space="preserve"> </w:t>
      </w:r>
      <w:r>
        <w:rPr>
          <w:rFonts w:ascii="Arial" w:cs="Arial" w:eastAsia="Arial" w:hAnsi="Arial"/>
          <w:sz w:val="18"/>
          <w:szCs w:val="18"/>
          <w:color w:val="auto"/>
        </w:rPr>
        <w:t>portfolios of containers and companies to allow us to grow our fleet profitably. We believe that the consolidation trend in our industry will continue and may offer us future growth opportunities. We also believe that current economic conditions may result in potential acquisition opportunities, including the purchase and leaseback of customer-owned containers. Purchase and leaseback transactions can be attractive to our customers because they free up cash for other capital needs. These transactions enable us to buy attractively priced containers and at the same time place them on leases for the remainder of their marine service lives.</w:t>
      </w:r>
    </w:p>
    <w:p>
      <w:pPr>
        <w:spacing w:after="0" w:line="79" w:lineRule="exact"/>
        <w:rPr>
          <w:sz w:val="20"/>
          <w:szCs w:val="20"/>
          <w:color w:val="auto"/>
        </w:rPr>
      </w:pPr>
    </w:p>
    <w:p>
      <w:pPr>
        <w:ind w:left="440"/>
        <w:spacing w:after="0" w:line="255" w:lineRule="auto"/>
        <w:rPr>
          <w:sz w:val="20"/>
          <w:szCs w:val="20"/>
          <w:color w:val="auto"/>
        </w:rPr>
      </w:pPr>
      <w:r>
        <w:rPr>
          <w:rFonts w:ascii="Arial" w:cs="Arial" w:eastAsia="Arial" w:hAnsi="Arial"/>
          <w:sz w:val="18"/>
          <w:szCs w:val="18"/>
          <w:b w:val="1"/>
          <w:bCs w:val="1"/>
          <w:color w:val="auto"/>
        </w:rPr>
        <w:t xml:space="preserve">Focus on Maintaining High Levels of Utilization, Prioritize Profitability and Operating Efficiency. </w:t>
      </w:r>
      <w:r>
        <w:rPr>
          <w:rFonts w:ascii="Arial" w:cs="Arial" w:eastAsia="Arial" w:hAnsi="Arial"/>
          <w:sz w:val="18"/>
          <w:szCs w:val="18"/>
          <w:color w:val="auto"/>
        </w:rPr>
        <w:t>We will continue to target higher</w:t>
      </w:r>
      <w:r>
        <w:rPr>
          <w:rFonts w:ascii="Arial" w:cs="Arial" w:eastAsia="Arial" w:hAnsi="Arial"/>
          <w:sz w:val="18"/>
          <w:szCs w:val="18"/>
          <w:b w:val="1"/>
          <w:bCs w:val="1"/>
          <w:color w:val="auto"/>
        </w:rPr>
        <w:t xml:space="preserve"> </w:t>
      </w:r>
      <w:r>
        <w:rPr>
          <w:rFonts w:ascii="Arial" w:cs="Arial" w:eastAsia="Arial" w:hAnsi="Arial"/>
          <w:sz w:val="18"/>
          <w:szCs w:val="18"/>
          <w:color w:val="auto"/>
        </w:rPr>
        <w:t>utilization. We will prioritize profitability with attractive yields on our assets through our disciplined focus on optimal lease pricing, longer-term leases and portfolio management. As of December 31, 2020, approximately 88% of our total on hire fleet (based on total TEU) was on long-term and finance leases, compared to approximately 77% ten years ago. We also drive operating efficiency by maintaining a low-cost structure, having brought down our fleet management cost per CEU per day by approximately 20% over the 10 years ended December 31, 2020. We believe that we can grow our fleet without a proportionate increase in our headcount, thereby improving our profitability by spreading our operating expenses over a larger revenue base.</w:t>
      </w:r>
    </w:p>
    <w:p>
      <w:pPr>
        <w:spacing w:after="0" w:line="81" w:lineRule="exact"/>
        <w:rPr>
          <w:sz w:val="20"/>
          <w:szCs w:val="20"/>
          <w:color w:val="auto"/>
        </w:rPr>
      </w:pPr>
    </w:p>
    <w:p>
      <w:pPr>
        <w:ind w:left="440" w:right="80"/>
        <w:spacing w:after="0" w:line="266" w:lineRule="auto"/>
        <w:rPr>
          <w:sz w:val="20"/>
          <w:szCs w:val="20"/>
          <w:color w:val="auto"/>
        </w:rPr>
      </w:pPr>
      <w:r>
        <w:rPr>
          <w:rFonts w:ascii="Arial" w:cs="Arial" w:eastAsia="Arial" w:hAnsi="Arial"/>
          <w:sz w:val="18"/>
          <w:szCs w:val="18"/>
          <w:b w:val="1"/>
          <w:bCs w:val="1"/>
          <w:color w:val="auto"/>
        </w:rPr>
        <w:t xml:space="preserve">Extend the Lease of In-fleet Containers. </w:t>
      </w:r>
      <w:r>
        <w:rPr>
          <w:rFonts w:ascii="Arial" w:cs="Arial" w:eastAsia="Arial" w:hAnsi="Arial"/>
          <w:sz w:val="18"/>
          <w:szCs w:val="18"/>
          <w:color w:val="auto"/>
        </w:rPr>
        <w:t>Since many shipping lines must utilize capital to finance vessels, it is possible that some will conclude</w:t>
      </w:r>
      <w:r>
        <w:rPr>
          <w:rFonts w:ascii="Arial" w:cs="Arial" w:eastAsia="Arial" w:hAnsi="Arial"/>
          <w:sz w:val="18"/>
          <w:szCs w:val="18"/>
          <w:b w:val="1"/>
          <w:bCs w:val="1"/>
          <w:color w:val="auto"/>
        </w:rPr>
        <w:t xml:space="preserve"> </w:t>
      </w:r>
      <w:r>
        <w:rPr>
          <w:rFonts w:ascii="Arial" w:cs="Arial" w:eastAsia="Arial" w:hAnsi="Arial"/>
          <w:sz w:val="18"/>
          <w:szCs w:val="18"/>
          <w:color w:val="auto"/>
        </w:rPr>
        <w:t>in 2021, as they did in prior years, that it is more cost-effective to extend leases of in-fleet containers than either buy containers or lease new containers.</w:t>
      </w:r>
    </w:p>
    <w:p>
      <w:pPr>
        <w:spacing w:after="0" w:line="11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41</w:t>
      </w:r>
    </w:p>
    <w:p>
      <w:pPr>
        <w:sectPr>
          <w:pgSz w:w="11900" w:h="16838" w:orient="portrait"/>
          <w:cols w:equalWidth="0" w:num="1">
            <w:col w:w="11000"/>
          </w:cols>
          <w:pgMar w:left="440" w:top="274" w:right="459" w:bottom="1440" w:gutter="0" w:footer="0" w:header="0"/>
        </w:sectPr>
      </w:pPr>
    </w:p>
    <w:bookmarkStart w:id="55" w:name="page56"/>
    <w:bookmarkEnd w:id="55"/>
    <w:p>
      <w:pPr>
        <w:ind w:left="440"/>
        <w:spacing w:after="0" w:line="256"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Grow Our Container Resale Business. </w:t>
      </w:r>
      <w:r>
        <w:rPr>
          <w:rFonts w:ascii="Arial" w:cs="Arial" w:eastAsia="Arial" w:hAnsi="Arial"/>
          <w:sz w:val="18"/>
          <w:szCs w:val="18"/>
          <w:color w:val="auto"/>
        </w:rPr>
        <w:t>We sell containers to optimize their residual value in multiple markets, including locations with low</w:t>
      </w:r>
      <w:r>
        <w:rPr>
          <w:rFonts w:ascii="Arial" w:cs="Arial" w:eastAsia="Arial" w:hAnsi="Arial"/>
          <w:sz w:val="18"/>
          <w:szCs w:val="18"/>
          <w:b w:val="1"/>
          <w:bCs w:val="1"/>
          <w:color w:val="auto"/>
        </w:rPr>
        <w:t xml:space="preserve"> </w:t>
      </w:r>
      <w:r>
        <w:rPr>
          <w:rFonts w:ascii="Arial" w:cs="Arial" w:eastAsia="Arial" w:hAnsi="Arial"/>
          <w:sz w:val="18"/>
          <w:szCs w:val="18"/>
          <w:color w:val="auto"/>
        </w:rPr>
        <w:t>lease-out demand. In order to improve the sales price of our containers, we often move them from the location where they are returned by the lessee to another location that has a higher market price. We benefit not only as a result of the increased sales price but also because we often receive rental revenue from a shipping line for the one-way lease of the container. We also buy and resell containers from shipping line customers, container traders and other sellers of containers. We attempt to improve the sales price of these containers in the same manner as with containers from our fleet.</w:t>
      </w:r>
    </w:p>
    <w:p>
      <w:pPr>
        <w:spacing w:after="0" w:line="79" w:lineRule="exact"/>
        <w:rPr>
          <w:sz w:val="20"/>
          <w:szCs w:val="20"/>
          <w:color w:val="auto"/>
        </w:rPr>
      </w:pPr>
    </w:p>
    <w:p>
      <w:pPr>
        <w:ind w:left="440" w:right="100"/>
        <w:spacing w:after="0" w:line="261" w:lineRule="auto"/>
        <w:rPr>
          <w:sz w:val="20"/>
          <w:szCs w:val="20"/>
          <w:color w:val="auto"/>
        </w:rPr>
      </w:pPr>
      <w:r>
        <w:rPr>
          <w:rFonts w:ascii="Arial" w:cs="Arial" w:eastAsia="Arial" w:hAnsi="Arial"/>
          <w:sz w:val="18"/>
          <w:szCs w:val="18"/>
          <w:b w:val="1"/>
          <w:bCs w:val="1"/>
          <w:color w:val="auto"/>
        </w:rPr>
        <w:t xml:space="preserve">Maintain Access to Diverse Sources of Capital. </w:t>
      </w:r>
      <w:r>
        <w:rPr>
          <w:rFonts w:ascii="Arial" w:cs="Arial" w:eastAsia="Arial" w:hAnsi="Arial"/>
          <w:sz w:val="18"/>
          <w:szCs w:val="18"/>
          <w:color w:val="auto"/>
        </w:rPr>
        <w:t>We have successfully utilized a wide variety of financing alternatives to fund our growth,</w:t>
      </w:r>
      <w:r>
        <w:rPr>
          <w:rFonts w:ascii="Arial" w:cs="Arial" w:eastAsia="Arial" w:hAnsi="Arial"/>
          <w:sz w:val="18"/>
          <w:szCs w:val="18"/>
          <w:b w:val="1"/>
          <w:bCs w:val="1"/>
          <w:color w:val="auto"/>
        </w:rPr>
        <w:t xml:space="preserve"> </w:t>
      </w:r>
      <w:r>
        <w:rPr>
          <w:rFonts w:ascii="Arial" w:cs="Arial" w:eastAsia="Arial" w:hAnsi="Arial"/>
          <w:sz w:val="18"/>
          <w:szCs w:val="18"/>
          <w:color w:val="auto"/>
        </w:rPr>
        <w:t>including secured debt financings, bank financing, and equity from third party investors in containers. We believe this diversity of funding, combined with our access to the public equity markets, provides us with an advantage in terms of both cost and availability of capital, versus our smaller competitors and also some of our shipping line customers.</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Operations</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6"/>
          <w:szCs w:val="16"/>
          <w:color w:val="auto"/>
        </w:rPr>
        <w:t>We operate our business through a network of regional and area offices and independent depots. We maintain three regional offices as follows:</w:t>
      </w:r>
    </w:p>
    <w:p>
      <w:pPr>
        <w:spacing w:after="0" w:line="154" w:lineRule="exact"/>
        <w:rPr>
          <w:sz w:val="20"/>
          <w:szCs w:val="20"/>
          <w:color w:val="auto"/>
        </w:rPr>
      </w:pPr>
    </w:p>
    <w:p>
      <w:pPr>
        <w:ind w:left="960" w:hanging="532"/>
        <w:spacing w:after="0"/>
        <w:tabs>
          <w:tab w:leader="none" w:pos="960" w:val="left"/>
        </w:tabs>
        <w:numPr>
          <w:ilvl w:val="0"/>
          <w:numId w:val="41"/>
        </w:numPr>
        <w:rPr>
          <w:rFonts w:ascii="Arial" w:cs="Arial" w:eastAsia="Arial" w:hAnsi="Arial"/>
          <w:sz w:val="18"/>
          <w:szCs w:val="18"/>
          <w:color w:val="auto"/>
        </w:rPr>
      </w:pPr>
      <w:r>
        <w:rPr>
          <w:rFonts w:ascii="Arial" w:cs="Arial" w:eastAsia="Arial" w:hAnsi="Arial"/>
          <w:sz w:val="18"/>
          <w:szCs w:val="18"/>
          <w:color w:val="auto"/>
        </w:rPr>
        <w:t>Americas Region in Cranford, New Jersey, USA responsible for North and South America;</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41"/>
        </w:numPr>
        <w:rPr>
          <w:rFonts w:ascii="Arial" w:cs="Arial" w:eastAsia="Arial" w:hAnsi="Arial"/>
          <w:sz w:val="18"/>
          <w:szCs w:val="18"/>
          <w:color w:val="auto"/>
        </w:rPr>
      </w:pPr>
      <w:r>
        <w:rPr>
          <w:rFonts w:ascii="Arial" w:cs="Arial" w:eastAsia="Arial" w:hAnsi="Arial"/>
          <w:sz w:val="18"/>
          <w:szCs w:val="18"/>
          <w:color w:val="auto"/>
        </w:rPr>
        <w:t>European Region in New Malden, UK responsible for Europe, the Mediterranean, the Middle East, and Africa; and</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41"/>
        </w:numPr>
        <w:rPr>
          <w:rFonts w:ascii="Arial" w:cs="Arial" w:eastAsia="Arial" w:hAnsi="Arial"/>
          <w:sz w:val="18"/>
          <w:szCs w:val="18"/>
          <w:color w:val="auto"/>
        </w:rPr>
      </w:pPr>
      <w:r>
        <w:rPr>
          <w:rFonts w:ascii="Arial" w:cs="Arial" w:eastAsia="Arial" w:hAnsi="Arial"/>
          <w:sz w:val="18"/>
          <w:szCs w:val="18"/>
          <w:color w:val="auto"/>
        </w:rPr>
        <w:t>Asian Pacific Region in Singapore, responsible for Asia and Australia.</w:t>
      </w:r>
    </w:p>
    <w:p>
      <w:pPr>
        <w:spacing w:after="0" w:line="225" w:lineRule="exact"/>
        <w:rPr>
          <w:sz w:val="20"/>
          <w:szCs w:val="20"/>
          <w:color w:val="auto"/>
        </w:rPr>
      </w:pPr>
    </w:p>
    <w:p>
      <w:pPr>
        <w:ind w:right="140" w:firstLine="440"/>
        <w:spacing w:after="0" w:line="311" w:lineRule="auto"/>
        <w:rPr>
          <w:sz w:val="20"/>
          <w:szCs w:val="20"/>
          <w:color w:val="auto"/>
        </w:rPr>
      </w:pPr>
      <w:r>
        <w:rPr>
          <w:rFonts w:ascii="Arial" w:cs="Arial" w:eastAsia="Arial" w:hAnsi="Arial"/>
          <w:sz w:val="16"/>
          <w:szCs w:val="16"/>
          <w:color w:val="auto"/>
        </w:rPr>
        <w:t>Regional vice presidents are in charge of regional leasing and operations. Marketing directors and assistants located in the regional and area offices handle day-to-day marketing and collection activities. Our operations include a global sales force, container operations group, container resale group and logistics services group. Our headquarters office is in Hamilton, Bermuda. Our administrative office is located in San Francisco, California.</w:t>
      </w:r>
    </w:p>
    <w:p>
      <w:pPr>
        <w:spacing w:after="0" w:line="8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42</w:t>
      </w:r>
    </w:p>
    <w:p>
      <w:pPr>
        <w:sectPr>
          <w:pgSz w:w="11900" w:h="16838" w:orient="portrait"/>
          <w:cols w:equalWidth="0" w:num="1">
            <w:col w:w="10960"/>
          </w:cols>
          <w:pgMar w:left="440" w:top="270" w:right="499" w:bottom="1440" w:gutter="0" w:footer="0" w:header="0"/>
        </w:sectPr>
      </w:pPr>
    </w:p>
    <w:bookmarkStart w:id="56" w:name="page57"/>
    <w:bookmarkEnd w:id="56"/>
    <w:p>
      <w:pPr>
        <w:spacing w:after="0"/>
        <w:rPr>
          <w:sz w:val="20"/>
          <w:szCs w:val="20"/>
          <w:color w:val="auto"/>
        </w:rPr>
      </w:pPr>
      <w:r>
        <w:rPr>
          <w:rFonts w:ascii="Arial" w:cs="Arial" w:eastAsia="Arial" w:hAnsi="Arial"/>
          <w:sz w:val="18"/>
          <w:szCs w:val="18"/>
          <w:i w:val="1"/>
          <w:i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7174865" cy="38735"/>
                    </a:xfrm>
                    <a:prstGeom prst="rect">
                      <a:avLst/>
                    </a:prstGeom>
                    <a:noFill/>
                  </pic:spPr>
                </pic:pic>
              </a:graphicData>
            </a:graphic>
          </wp:anchor>
        </w:drawing>
        <w:t>Our Container Fleet</w:t>
      </w:r>
    </w:p>
    <w:p>
      <w:pPr>
        <w:spacing w:after="0" w:line="117" w:lineRule="exact"/>
        <w:rPr>
          <w:sz w:val="20"/>
          <w:szCs w:val="20"/>
          <w:color w:val="auto"/>
        </w:rPr>
      </w:pPr>
    </w:p>
    <w:p>
      <w:pPr>
        <w:ind w:right="40" w:firstLine="440"/>
        <w:spacing w:after="0" w:line="296" w:lineRule="auto"/>
        <w:rPr>
          <w:sz w:val="20"/>
          <w:szCs w:val="20"/>
          <w:color w:val="auto"/>
        </w:rPr>
      </w:pPr>
      <w:r>
        <w:rPr>
          <w:rFonts w:ascii="Arial" w:cs="Arial" w:eastAsia="Arial" w:hAnsi="Arial"/>
          <w:sz w:val="16"/>
          <w:szCs w:val="16"/>
          <w:color w:val="auto"/>
        </w:rPr>
        <w:t>As of December 31, 2020, we operated 3,774,053 TEU. We attempt to continually invest in our container fleet each year in an effort to replace the older containers being retired from marine service and to build our fleet size. We purchased an average of approximately 320,000 TEU of new containers per year over the past five years. Our ability to invest in our fleet on a consistent basis has been instrumental in becoming one of the world’s largest container lessors. The containers that we lease are either owned outright by us or owned by third parties and managed by us. The table below summarizes the composition of our owned and managed fleets, in TEU and CEU, by type of containers as of December 31, 2020:</w:t>
      </w:r>
    </w:p>
    <w:p>
      <w:pPr>
        <w:spacing w:after="0" w:line="180"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4900" w:type="dxa"/>
            <w:vAlign w:val="bottom"/>
          </w:tcPr>
          <w:p>
            <w:pPr>
              <w:spacing w:after="0"/>
              <w:rPr>
                <w:sz w:val="14"/>
                <w:szCs w:val="14"/>
                <w:color w:val="auto"/>
              </w:rPr>
            </w:pPr>
          </w:p>
        </w:tc>
        <w:tc>
          <w:tcPr>
            <w:tcW w:w="780" w:type="dxa"/>
            <w:vAlign w:val="bottom"/>
            <w:tcBorders>
              <w:bottom w:val="single" w:sz="8" w:color="auto"/>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940" w:type="dxa"/>
            <w:vAlign w:val="bottom"/>
            <w:tcBorders>
              <w:bottom w:val="single" w:sz="8" w:color="auto"/>
            </w:tcBorders>
            <w:gridSpan w:val="2"/>
          </w:tcPr>
          <w:p>
            <w:pPr>
              <w:jc w:val="right"/>
              <w:ind w:right="480"/>
              <w:spacing w:after="0"/>
              <w:rPr>
                <w:sz w:val="20"/>
                <w:szCs w:val="20"/>
                <w:color w:val="auto"/>
              </w:rPr>
            </w:pPr>
            <w:r>
              <w:rPr>
                <w:rFonts w:ascii="Arial" w:cs="Arial" w:eastAsia="Arial" w:hAnsi="Arial"/>
                <w:sz w:val="14"/>
                <w:szCs w:val="14"/>
                <w:b w:val="1"/>
                <w:bCs w:val="1"/>
                <w:color w:val="auto"/>
              </w:rPr>
              <w:t>TEU</w:t>
            </w:r>
          </w:p>
        </w:tc>
        <w:tc>
          <w:tcPr>
            <w:tcW w:w="780" w:type="dxa"/>
            <w:vAlign w:val="bottom"/>
            <w:tcBorders>
              <w:bottom w:val="single" w:sz="8" w:color="auto"/>
            </w:tcBorders>
          </w:tcPr>
          <w:p>
            <w:pPr>
              <w:spacing w:after="0"/>
              <w:rPr>
                <w:sz w:val="14"/>
                <w:szCs w:val="14"/>
                <w:color w:val="auto"/>
              </w:rPr>
            </w:pPr>
          </w:p>
        </w:tc>
        <w:tc>
          <w:tcPr>
            <w:tcW w:w="300" w:type="dxa"/>
            <w:vAlign w:val="bottom"/>
          </w:tcPr>
          <w:p>
            <w:pPr>
              <w:spacing w:after="0"/>
              <w:rPr>
                <w:sz w:val="14"/>
                <w:szCs w:val="14"/>
                <w:color w:val="auto"/>
              </w:rPr>
            </w:pPr>
          </w:p>
        </w:tc>
        <w:tc>
          <w:tcPr>
            <w:tcW w:w="780" w:type="dxa"/>
            <w:vAlign w:val="bottom"/>
            <w:tcBorders>
              <w:bottom w:val="single" w:sz="8" w:color="auto"/>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940" w:type="dxa"/>
            <w:vAlign w:val="bottom"/>
            <w:tcBorders>
              <w:bottom w:val="single" w:sz="8" w:color="auto"/>
            </w:tcBorders>
            <w:gridSpan w:val="2"/>
          </w:tcPr>
          <w:p>
            <w:pPr>
              <w:jc w:val="right"/>
              <w:ind w:right="460"/>
              <w:spacing w:after="0"/>
              <w:rPr>
                <w:sz w:val="20"/>
                <w:szCs w:val="20"/>
                <w:color w:val="auto"/>
              </w:rPr>
            </w:pPr>
            <w:r>
              <w:rPr>
                <w:rFonts w:ascii="Arial" w:cs="Arial" w:eastAsia="Arial" w:hAnsi="Arial"/>
                <w:sz w:val="14"/>
                <w:szCs w:val="14"/>
                <w:b w:val="1"/>
                <w:bCs w:val="1"/>
                <w:color w:val="auto"/>
              </w:rPr>
              <w:t>CEU</w:t>
            </w:r>
          </w:p>
        </w:tc>
        <w:tc>
          <w:tcPr>
            <w:tcW w:w="780" w:type="dxa"/>
            <w:vAlign w:val="bottom"/>
            <w:tcBorders>
              <w:bottom w:val="single" w:sz="8" w:color="auto"/>
            </w:tcBorders>
          </w:tcPr>
          <w:p>
            <w:pPr>
              <w:spacing w:after="0"/>
              <w:rPr>
                <w:sz w:val="14"/>
                <w:szCs w:val="14"/>
                <w:color w:val="auto"/>
              </w:rPr>
            </w:pPr>
          </w:p>
        </w:tc>
        <w:tc>
          <w:tcPr>
            <w:tcW w:w="220" w:type="dxa"/>
            <w:vAlign w:val="bottom"/>
          </w:tcPr>
          <w:p>
            <w:pPr>
              <w:spacing w:after="0"/>
              <w:rPr>
                <w:sz w:val="14"/>
                <w:szCs w:val="14"/>
                <w:color w:val="auto"/>
              </w:rPr>
            </w:pPr>
          </w:p>
        </w:tc>
      </w:tr>
      <w:tr>
        <w:trPr>
          <w:trHeight w:val="142"/>
        </w:trPr>
        <w:tc>
          <w:tcPr>
            <w:tcW w:w="4900" w:type="dxa"/>
            <w:vAlign w:val="bottom"/>
          </w:tcPr>
          <w:p>
            <w:pPr>
              <w:spacing w:after="0"/>
              <w:rPr>
                <w:sz w:val="12"/>
                <w:szCs w:val="12"/>
                <w:color w:val="auto"/>
              </w:rPr>
            </w:pPr>
          </w:p>
        </w:tc>
        <w:tc>
          <w:tcPr>
            <w:tcW w:w="1080" w:type="dxa"/>
            <w:vAlign w:val="bottom"/>
            <w:gridSpan w:val="2"/>
          </w:tcPr>
          <w:p>
            <w:pPr>
              <w:jc w:val="right"/>
              <w:ind w:right="480"/>
              <w:spacing w:after="0" w:line="142" w:lineRule="exact"/>
              <w:rPr>
                <w:sz w:val="20"/>
                <w:szCs w:val="20"/>
                <w:color w:val="auto"/>
              </w:rPr>
            </w:pPr>
            <w:r>
              <w:rPr>
                <w:rFonts w:ascii="Arial" w:cs="Arial" w:eastAsia="Arial" w:hAnsi="Arial"/>
                <w:sz w:val="14"/>
                <w:szCs w:val="14"/>
                <w:b w:val="1"/>
                <w:bCs w:val="1"/>
                <w:color w:val="auto"/>
              </w:rPr>
              <w:t>Owned</w:t>
            </w:r>
          </w:p>
        </w:tc>
        <w:tc>
          <w:tcPr>
            <w:tcW w:w="940" w:type="dxa"/>
            <w:vAlign w:val="bottom"/>
            <w:gridSpan w:val="2"/>
          </w:tcPr>
          <w:p>
            <w:pPr>
              <w:jc w:val="right"/>
              <w:ind w:right="340"/>
              <w:spacing w:after="0" w:line="142" w:lineRule="exact"/>
              <w:rPr>
                <w:sz w:val="20"/>
                <w:szCs w:val="20"/>
                <w:color w:val="auto"/>
              </w:rPr>
            </w:pPr>
            <w:r>
              <w:rPr>
                <w:rFonts w:ascii="Arial" w:cs="Arial" w:eastAsia="Arial" w:hAnsi="Arial"/>
                <w:sz w:val="14"/>
                <w:szCs w:val="14"/>
                <w:b w:val="1"/>
                <w:bCs w:val="1"/>
                <w:color w:val="auto"/>
                <w:w w:val="95"/>
              </w:rPr>
              <w:t>Managed</w:t>
            </w:r>
          </w:p>
        </w:tc>
        <w:tc>
          <w:tcPr>
            <w:tcW w:w="780" w:type="dxa"/>
            <w:vAlign w:val="bottom"/>
          </w:tcPr>
          <w:p>
            <w:pPr>
              <w:jc w:val="right"/>
              <w:ind w:right="133"/>
              <w:spacing w:after="0" w:line="142" w:lineRule="exact"/>
              <w:rPr>
                <w:sz w:val="20"/>
                <w:szCs w:val="20"/>
                <w:color w:val="auto"/>
              </w:rPr>
            </w:pPr>
            <w:r>
              <w:rPr>
                <w:rFonts w:ascii="Arial" w:cs="Arial" w:eastAsia="Arial" w:hAnsi="Arial"/>
                <w:sz w:val="14"/>
                <w:szCs w:val="14"/>
                <w:b w:val="1"/>
                <w:bCs w:val="1"/>
                <w:color w:val="auto"/>
              </w:rPr>
              <w:t>Total</w:t>
            </w:r>
          </w:p>
        </w:tc>
        <w:tc>
          <w:tcPr>
            <w:tcW w:w="300" w:type="dxa"/>
            <w:vAlign w:val="bottom"/>
          </w:tcPr>
          <w:p>
            <w:pPr>
              <w:spacing w:after="0"/>
              <w:rPr>
                <w:sz w:val="12"/>
                <w:szCs w:val="12"/>
                <w:color w:val="auto"/>
              </w:rPr>
            </w:pPr>
          </w:p>
        </w:tc>
        <w:tc>
          <w:tcPr>
            <w:tcW w:w="1080" w:type="dxa"/>
            <w:vAlign w:val="bottom"/>
            <w:gridSpan w:val="2"/>
          </w:tcPr>
          <w:p>
            <w:pPr>
              <w:jc w:val="right"/>
              <w:ind w:right="460"/>
              <w:spacing w:after="0" w:line="142" w:lineRule="exact"/>
              <w:rPr>
                <w:sz w:val="20"/>
                <w:szCs w:val="20"/>
                <w:color w:val="auto"/>
              </w:rPr>
            </w:pPr>
            <w:r>
              <w:rPr>
                <w:rFonts w:ascii="Arial" w:cs="Arial" w:eastAsia="Arial" w:hAnsi="Arial"/>
                <w:sz w:val="14"/>
                <w:szCs w:val="14"/>
                <w:b w:val="1"/>
                <w:bCs w:val="1"/>
                <w:color w:val="auto"/>
              </w:rPr>
              <w:t>Owned</w:t>
            </w:r>
          </w:p>
        </w:tc>
        <w:tc>
          <w:tcPr>
            <w:tcW w:w="940" w:type="dxa"/>
            <w:vAlign w:val="bottom"/>
            <w:gridSpan w:val="2"/>
          </w:tcPr>
          <w:p>
            <w:pPr>
              <w:jc w:val="right"/>
              <w:ind w:right="320"/>
              <w:spacing w:after="0" w:line="142" w:lineRule="exact"/>
              <w:rPr>
                <w:sz w:val="20"/>
                <w:szCs w:val="20"/>
                <w:color w:val="auto"/>
              </w:rPr>
            </w:pPr>
            <w:r>
              <w:rPr>
                <w:rFonts w:ascii="Arial" w:cs="Arial" w:eastAsia="Arial" w:hAnsi="Arial"/>
                <w:sz w:val="14"/>
                <w:szCs w:val="14"/>
                <w:b w:val="1"/>
                <w:bCs w:val="1"/>
                <w:color w:val="auto"/>
                <w:w w:val="98"/>
              </w:rPr>
              <w:t>Managed</w:t>
            </w:r>
          </w:p>
        </w:tc>
        <w:tc>
          <w:tcPr>
            <w:tcW w:w="780" w:type="dxa"/>
            <w:vAlign w:val="bottom"/>
          </w:tcPr>
          <w:p>
            <w:pPr>
              <w:jc w:val="right"/>
              <w:ind w:right="133"/>
              <w:spacing w:after="0" w:line="142" w:lineRule="exact"/>
              <w:rPr>
                <w:sz w:val="20"/>
                <w:szCs w:val="20"/>
                <w:color w:val="auto"/>
              </w:rPr>
            </w:pPr>
            <w:r>
              <w:rPr>
                <w:rFonts w:ascii="Arial" w:cs="Arial" w:eastAsia="Arial" w:hAnsi="Arial"/>
                <w:sz w:val="14"/>
                <w:szCs w:val="14"/>
                <w:b w:val="1"/>
                <w:bCs w:val="1"/>
                <w:color w:val="auto"/>
              </w:rPr>
              <w:t>Total</w:t>
            </w:r>
          </w:p>
        </w:tc>
        <w:tc>
          <w:tcPr>
            <w:tcW w:w="220" w:type="dxa"/>
            <w:vAlign w:val="bottom"/>
          </w:tcPr>
          <w:p>
            <w:pPr>
              <w:spacing w:after="0"/>
              <w:rPr>
                <w:sz w:val="12"/>
                <w:szCs w:val="12"/>
                <w:color w:val="auto"/>
              </w:rPr>
            </w:pPr>
          </w:p>
        </w:tc>
      </w:tr>
      <w:tr>
        <w:trPr>
          <w:trHeight w:val="209"/>
        </w:trPr>
        <w:tc>
          <w:tcPr>
            <w:tcW w:w="49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Standard dry freight</w:t>
            </w:r>
          </w:p>
        </w:tc>
        <w:tc>
          <w:tcPr>
            <w:tcW w:w="7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4"/>
              </w:rPr>
              <w:t>3,088,396</w:t>
            </w:r>
          </w:p>
        </w:tc>
        <w:tc>
          <w:tcPr>
            <w:tcW w:w="300" w:type="dxa"/>
            <w:vAlign w:val="bottom"/>
            <w:tcBorders>
              <w:top w:val="single" w:sz="8" w:color="CCEEFF"/>
            </w:tcBorders>
            <w:shd w:val="clear" w:color="auto" w:fill="CCEEFF"/>
          </w:tcPr>
          <w:p>
            <w:pPr>
              <w:spacing w:after="0"/>
              <w:rPr>
                <w:sz w:val="18"/>
                <w:szCs w:val="18"/>
                <w:color w:val="auto"/>
              </w:rPr>
            </w:pPr>
          </w:p>
        </w:tc>
        <w:tc>
          <w:tcPr>
            <w:tcW w:w="6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5"/>
              </w:rPr>
              <w:t>434,413</w:t>
            </w:r>
          </w:p>
        </w:tc>
        <w:tc>
          <w:tcPr>
            <w:tcW w:w="300" w:type="dxa"/>
            <w:vAlign w:val="bottom"/>
            <w:tcBorders>
              <w:top w:val="single" w:sz="8" w:color="CCEEFF"/>
            </w:tcBorders>
            <w:shd w:val="clear" w:color="auto" w:fill="CCEEFF"/>
          </w:tcPr>
          <w:p>
            <w:pPr>
              <w:spacing w:after="0"/>
              <w:rPr>
                <w:sz w:val="18"/>
                <w:szCs w:val="18"/>
                <w:color w:val="auto"/>
              </w:rPr>
            </w:pPr>
          </w:p>
        </w:tc>
        <w:tc>
          <w:tcPr>
            <w:tcW w:w="7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4"/>
              </w:rPr>
              <w:t>3,522,809</w:t>
            </w:r>
          </w:p>
        </w:tc>
        <w:tc>
          <w:tcPr>
            <w:tcW w:w="300" w:type="dxa"/>
            <w:vAlign w:val="bottom"/>
            <w:tcBorders>
              <w:top w:val="single" w:sz="8" w:color="CCEEFF"/>
            </w:tcBorders>
            <w:shd w:val="clear" w:color="auto" w:fill="CCEEFF"/>
          </w:tcPr>
          <w:p>
            <w:pPr>
              <w:spacing w:after="0"/>
              <w:rPr>
                <w:sz w:val="18"/>
                <w:szCs w:val="18"/>
                <w:color w:val="auto"/>
              </w:rPr>
            </w:pPr>
          </w:p>
        </w:tc>
        <w:tc>
          <w:tcPr>
            <w:tcW w:w="7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4"/>
              </w:rPr>
              <w:t>2,752,515</w:t>
            </w:r>
          </w:p>
        </w:tc>
        <w:tc>
          <w:tcPr>
            <w:tcW w:w="300" w:type="dxa"/>
            <w:vAlign w:val="bottom"/>
            <w:tcBorders>
              <w:top w:val="single" w:sz="8" w:color="CCEEFF"/>
            </w:tcBorders>
            <w:shd w:val="clear" w:color="auto" w:fill="CCEEFF"/>
          </w:tcPr>
          <w:p>
            <w:pPr>
              <w:spacing w:after="0"/>
              <w:rPr>
                <w:sz w:val="18"/>
                <w:szCs w:val="18"/>
                <w:color w:val="auto"/>
              </w:rPr>
            </w:pPr>
          </w:p>
        </w:tc>
        <w:tc>
          <w:tcPr>
            <w:tcW w:w="6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5"/>
              </w:rPr>
              <w:t>386,972</w:t>
            </w:r>
          </w:p>
        </w:tc>
        <w:tc>
          <w:tcPr>
            <w:tcW w:w="300" w:type="dxa"/>
            <w:vAlign w:val="bottom"/>
            <w:tcBorders>
              <w:top w:val="single" w:sz="8" w:color="CCEEFF"/>
            </w:tcBorders>
            <w:shd w:val="clear" w:color="auto" w:fill="CCEEFF"/>
          </w:tcPr>
          <w:p>
            <w:pPr>
              <w:spacing w:after="0"/>
              <w:rPr>
                <w:sz w:val="18"/>
                <w:szCs w:val="18"/>
                <w:color w:val="auto"/>
              </w:rPr>
            </w:pPr>
          </w:p>
        </w:tc>
        <w:tc>
          <w:tcPr>
            <w:tcW w:w="7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4"/>
              </w:rPr>
              <w:t>3,139,487</w:t>
            </w:r>
          </w:p>
        </w:tc>
        <w:tc>
          <w:tcPr>
            <w:tcW w:w="220" w:type="dxa"/>
            <w:vAlign w:val="bottom"/>
            <w:tcBorders>
              <w:top w:val="single" w:sz="8" w:color="CCEEFF"/>
            </w:tcBorders>
            <w:shd w:val="clear" w:color="auto" w:fill="CCEEFF"/>
          </w:tcPr>
          <w:p>
            <w:pPr>
              <w:spacing w:after="0"/>
              <w:rPr>
                <w:sz w:val="18"/>
                <w:szCs w:val="18"/>
                <w:color w:val="auto"/>
              </w:rPr>
            </w:pPr>
          </w:p>
        </w:tc>
      </w:tr>
      <w:tr>
        <w:trPr>
          <w:trHeight w:val="216"/>
        </w:trPr>
        <w:tc>
          <w:tcPr>
            <w:tcW w:w="4900" w:type="dxa"/>
            <w:vAlign w:val="bottom"/>
          </w:tcPr>
          <w:p>
            <w:pPr>
              <w:spacing w:after="0"/>
              <w:rPr>
                <w:sz w:val="20"/>
                <w:szCs w:val="20"/>
                <w:color w:val="auto"/>
              </w:rPr>
            </w:pPr>
            <w:r>
              <w:rPr>
                <w:rFonts w:ascii="Arial" w:cs="Arial" w:eastAsia="Arial" w:hAnsi="Arial"/>
                <w:sz w:val="18"/>
                <w:szCs w:val="18"/>
                <w:color w:val="auto"/>
              </w:rPr>
              <w:t>Refrigerated</w:t>
            </w:r>
          </w:p>
        </w:tc>
        <w:tc>
          <w:tcPr>
            <w:tcW w:w="1080" w:type="dxa"/>
            <w:vAlign w:val="bottom"/>
            <w:gridSpan w:val="2"/>
          </w:tcPr>
          <w:p>
            <w:pPr>
              <w:jc w:val="right"/>
              <w:ind w:right="300"/>
              <w:spacing w:after="0"/>
              <w:rPr>
                <w:sz w:val="20"/>
                <w:szCs w:val="20"/>
                <w:color w:val="auto"/>
              </w:rPr>
            </w:pPr>
            <w:r>
              <w:rPr>
                <w:rFonts w:ascii="Arial" w:cs="Arial" w:eastAsia="Arial" w:hAnsi="Arial"/>
                <w:sz w:val="18"/>
                <w:szCs w:val="18"/>
                <w:color w:val="auto"/>
              </w:rPr>
              <w:t>182,673</w:t>
            </w:r>
          </w:p>
        </w:tc>
        <w:tc>
          <w:tcPr>
            <w:tcW w:w="940" w:type="dxa"/>
            <w:vAlign w:val="bottom"/>
            <w:gridSpan w:val="2"/>
          </w:tcPr>
          <w:p>
            <w:pPr>
              <w:jc w:val="right"/>
              <w:ind w:right="300"/>
              <w:spacing w:after="0"/>
              <w:rPr>
                <w:sz w:val="20"/>
                <w:szCs w:val="20"/>
                <w:color w:val="auto"/>
              </w:rPr>
            </w:pPr>
            <w:r>
              <w:rPr>
                <w:rFonts w:ascii="Arial" w:cs="Arial" w:eastAsia="Arial" w:hAnsi="Arial"/>
                <w:sz w:val="18"/>
                <w:szCs w:val="18"/>
                <w:color w:val="auto"/>
              </w:rPr>
              <w:t>8,921</w:t>
            </w:r>
          </w:p>
        </w:tc>
        <w:tc>
          <w:tcPr>
            <w:tcW w:w="1080" w:type="dxa"/>
            <w:vAlign w:val="bottom"/>
            <w:gridSpan w:val="2"/>
          </w:tcPr>
          <w:p>
            <w:pPr>
              <w:jc w:val="right"/>
              <w:ind w:right="300"/>
              <w:spacing w:after="0"/>
              <w:rPr>
                <w:sz w:val="20"/>
                <w:szCs w:val="20"/>
                <w:color w:val="auto"/>
              </w:rPr>
            </w:pPr>
            <w:r>
              <w:rPr>
                <w:rFonts w:ascii="Arial" w:cs="Arial" w:eastAsia="Arial" w:hAnsi="Arial"/>
                <w:sz w:val="18"/>
                <w:szCs w:val="18"/>
                <w:color w:val="auto"/>
              </w:rPr>
              <w:t>191,593</w:t>
            </w:r>
          </w:p>
        </w:tc>
        <w:tc>
          <w:tcPr>
            <w:tcW w:w="1080" w:type="dxa"/>
            <w:vAlign w:val="bottom"/>
            <w:gridSpan w:val="2"/>
          </w:tcPr>
          <w:p>
            <w:pPr>
              <w:jc w:val="right"/>
              <w:ind w:right="300"/>
              <w:spacing w:after="0"/>
              <w:rPr>
                <w:sz w:val="20"/>
                <w:szCs w:val="20"/>
                <w:color w:val="auto"/>
              </w:rPr>
            </w:pPr>
            <w:r>
              <w:rPr>
                <w:rFonts w:ascii="Arial" w:cs="Arial" w:eastAsia="Arial" w:hAnsi="Arial"/>
                <w:sz w:val="18"/>
                <w:szCs w:val="18"/>
                <w:color w:val="auto"/>
              </w:rPr>
              <w:t>736,353</w:t>
            </w:r>
          </w:p>
        </w:tc>
        <w:tc>
          <w:tcPr>
            <w:tcW w:w="940" w:type="dxa"/>
            <w:vAlign w:val="bottom"/>
            <w:gridSpan w:val="2"/>
          </w:tcPr>
          <w:p>
            <w:pPr>
              <w:jc w:val="right"/>
              <w:ind w:right="300"/>
              <w:spacing w:after="0"/>
              <w:rPr>
                <w:sz w:val="20"/>
                <w:szCs w:val="20"/>
                <w:color w:val="auto"/>
              </w:rPr>
            </w:pPr>
            <w:r>
              <w:rPr>
                <w:rFonts w:ascii="Arial" w:cs="Arial" w:eastAsia="Arial" w:hAnsi="Arial"/>
                <w:sz w:val="18"/>
                <w:szCs w:val="18"/>
                <w:color w:val="auto"/>
              </w:rPr>
              <w:t>36,105</w:t>
            </w:r>
          </w:p>
        </w:tc>
        <w:tc>
          <w:tcPr>
            <w:tcW w:w="1000" w:type="dxa"/>
            <w:vAlign w:val="bottom"/>
            <w:gridSpan w:val="2"/>
          </w:tcPr>
          <w:p>
            <w:pPr>
              <w:jc w:val="right"/>
              <w:ind w:right="220"/>
              <w:spacing w:after="0"/>
              <w:rPr>
                <w:sz w:val="20"/>
                <w:szCs w:val="20"/>
                <w:color w:val="auto"/>
              </w:rPr>
            </w:pPr>
            <w:r>
              <w:rPr>
                <w:rFonts w:ascii="Arial" w:cs="Arial" w:eastAsia="Arial" w:hAnsi="Arial"/>
                <w:sz w:val="18"/>
                <w:szCs w:val="18"/>
                <w:color w:val="auto"/>
              </w:rPr>
              <w:t>772,458</w:t>
            </w:r>
          </w:p>
        </w:tc>
      </w:tr>
      <w:tr>
        <w:trPr>
          <w:trHeight w:val="216"/>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Other specialized</w:t>
            </w:r>
          </w:p>
        </w:tc>
        <w:tc>
          <w:tcPr>
            <w:tcW w:w="108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50,677</w:t>
            </w:r>
          </w:p>
        </w:tc>
        <w:tc>
          <w:tcPr>
            <w:tcW w:w="94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8,973</w:t>
            </w:r>
          </w:p>
        </w:tc>
        <w:tc>
          <w:tcPr>
            <w:tcW w:w="108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59,650</w:t>
            </w:r>
          </w:p>
        </w:tc>
        <w:tc>
          <w:tcPr>
            <w:tcW w:w="108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79,677</w:t>
            </w:r>
          </w:p>
        </w:tc>
        <w:tc>
          <w:tcPr>
            <w:tcW w:w="94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13,338</w:t>
            </w:r>
          </w:p>
        </w:tc>
        <w:tc>
          <w:tcPr>
            <w:tcW w:w="10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93,015</w:t>
            </w:r>
          </w:p>
        </w:tc>
      </w:tr>
      <w:tr>
        <w:trPr>
          <w:trHeight w:val="223"/>
        </w:trPr>
        <w:tc>
          <w:tcPr>
            <w:tcW w:w="4900" w:type="dxa"/>
            <w:vAlign w:val="bottom"/>
          </w:tcPr>
          <w:p>
            <w:pPr>
              <w:spacing w:after="0"/>
              <w:rPr>
                <w:sz w:val="20"/>
                <w:szCs w:val="20"/>
                <w:color w:val="auto"/>
              </w:rPr>
            </w:pPr>
            <w:r>
              <w:rPr>
                <w:rFonts w:ascii="Arial" w:cs="Arial" w:eastAsia="Arial" w:hAnsi="Arial"/>
                <w:sz w:val="18"/>
                <w:szCs w:val="18"/>
                <w:color w:val="auto"/>
              </w:rPr>
              <w:t>Total fleet</w:t>
            </w: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4"/>
              </w:rPr>
              <w:t>3,321,746</w:t>
            </w:r>
          </w:p>
        </w:tc>
        <w:tc>
          <w:tcPr>
            <w:tcW w:w="300" w:type="dxa"/>
            <w:vAlign w:val="bottom"/>
          </w:tcPr>
          <w:p>
            <w:pPr>
              <w:spacing w:after="0"/>
              <w:rPr>
                <w:sz w:val="19"/>
                <w:szCs w:val="19"/>
                <w:color w:val="auto"/>
              </w:rPr>
            </w:pP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5"/>
              </w:rPr>
              <w:t>452,307</w:t>
            </w:r>
          </w:p>
        </w:tc>
        <w:tc>
          <w:tcPr>
            <w:tcW w:w="300" w:type="dxa"/>
            <w:vAlign w:val="bottom"/>
          </w:tcPr>
          <w:p>
            <w:pPr>
              <w:spacing w:after="0"/>
              <w:rPr>
                <w:sz w:val="19"/>
                <w:szCs w:val="19"/>
                <w:color w:val="auto"/>
              </w:rPr>
            </w:pP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4"/>
              </w:rPr>
              <w:t>3,774,053</w:t>
            </w:r>
          </w:p>
        </w:tc>
        <w:tc>
          <w:tcPr>
            <w:tcW w:w="300" w:type="dxa"/>
            <w:vAlign w:val="bottom"/>
          </w:tcPr>
          <w:p>
            <w:pPr>
              <w:spacing w:after="0"/>
              <w:rPr>
                <w:sz w:val="19"/>
                <w:szCs w:val="19"/>
                <w:color w:val="auto"/>
              </w:rPr>
            </w:pP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4"/>
              </w:rPr>
              <w:t>3,568,545</w:t>
            </w:r>
          </w:p>
        </w:tc>
        <w:tc>
          <w:tcPr>
            <w:tcW w:w="300" w:type="dxa"/>
            <w:vAlign w:val="bottom"/>
          </w:tcPr>
          <w:p>
            <w:pPr>
              <w:spacing w:after="0"/>
              <w:rPr>
                <w:sz w:val="19"/>
                <w:szCs w:val="19"/>
                <w:color w:val="auto"/>
              </w:rPr>
            </w:pP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5"/>
              </w:rPr>
              <w:t>436,415</w:t>
            </w:r>
          </w:p>
        </w:tc>
        <w:tc>
          <w:tcPr>
            <w:tcW w:w="300" w:type="dxa"/>
            <w:vAlign w:val="bottom"/>
          </w:tcPr>
          <w:p>
            <w:pPr>
              <w:spacing w:after="0"/>
              <w:rPr>
                <w:sz w:val="19"/>
                <w:szCs w:val="19"/>
                <w:color w:val="auto"/>
              </w:rPr>
            </w:pP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4"/>
              </w:rPr>
              <w:t>4,004,960</w:t>
            </w:r>
          </w:p>
        </w:tc>
        <w:tc>
          <w:tcPr>
            <w:tcW w:w="220" w:type="dxa"/>
            <w:vAlign w:val="bottom"/>
          </w:tcPr>
          <w:p>
            <w:pPr>
              <w:spacing w:after="0"/>
              <w:rPr>
                <w:sz w:val="19"/>
                <w:szCs w:val="19"/>
                <w:color w:val="auto"/>
              </w:rPr>
            </w:pPr>
          </w:p>
        </w:tc>
      </w:tr>
      <w:tr>
        <w:trPr>
          <w:trHeight w:val="20"/>
        </w:trPr>
        <w:tc>
          <w:tcPr>
            <w:tcW w:w="4900" w:type="dxa"/>
            <w:vAlign w:val="bottom"/>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r>
      <w:tr>
        <w:trPr>
          <w:trHeight w:val="210"/>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Percent of total fleet</w:t>
            </w:r>
          </w:p>
        </w:tc>
        <w:tc>
          <w:tcPr>
            <w:tcW w:w="10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88.0%</w:t>
            </w:r>
          </w:p>
        </w:tc>
        <w:tc>
          <w:tcPr>
            <w:tcW w:w="94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12.0%</w:t>
            </w:r>
          </w:p>
        </w:tc>
        <w:tc>
          <w:tcPr>
            <w:tcW w:w="10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100.0%</w:t>
            </w:r>
          </w:p>
        </w:tc>
        <w:tc>
          <w:tcPr>
            <w:tcW w:w="10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89.1%</w:t>
            </w:r>
          </w:p>
        </w:tc>
        <w:tc>
          <w:tcPr>
            <w:tcW w:w="94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10.9%</w:t>
            </w:r>
          </w:p>
        </w:tc>
        <w:tc>
          <w:tcPr>
            <w:tcW w:w="10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100.0%</w:t>
            </w:r>
          </w:p>
        </w:tc>
      </w:tr>
    </w:tbl>
    <w:p>
      <w:pPr>
        <w:spacing w:after="0" w:line="202" w:lineRule="exact"/>
        <w:rPr>
          <w:sz w:val="20"/>
          <w:szCs w:val="20"/>
          <w:color w:val="auto"/>
        </w:rPr>
      </w:pPr>
    </w:p>
    <w:p>
      <w:pPr>
        <w:ind w:left="440"/>
        <w:spacing w:after="0"/>
        <w:rPr>
          <w:sz w:val="20"/>
          <w:szCs w:val="20"/>
          <w:color w:val="auto"/>
        </w:rPr>
      </w:pPr>
      <w:r>
        <w:rPr>
          <w:rFonts w:ascii="Arial" w:cs="Arial" w:eastAsia="Arial" w:hAnsi="Arial"/>
          <w:sz w:val="17"/>
          <w:szCs w:val="17"/>
          <w:color w:val="auto"/>
        </w:rPr>
        <w:t>The amounts in the table above did not change significantly from December 31, 2020 to the date of this Annual Report on Form 20-F.</w:t>
      </w:r>
    </w:p>
    <w:p>
      <w:pPr>
        <w:spacing w:after="0" w:line="237" w:lineRule="exact"/>
        <w:rPr>
          <w:sz w:val="20"/>
          <w:szCs w:val="20"/>
          <w:color w:val="auto"/>
        </w:rPr>
      </w:pPr>
    </w:p>
    <w:p>
      <w:pPr>
        <w:jc w:val="both"/>
        <w:ind w:right="60" w:firstLine="440"/>
        <w:spacing w:after="0" w:line="259" w:lineRule="auto"/>
        <w:rPr>
          <w:sz w:val="20"/>
          <w:szCs w:val="20"/>
          <w:color w:val="auto"/>
        </w:rPr>
      </w:pPr>
      <w:r>
        <w:rPr>
          <w:rFonts w:ascii="Arial" w:cs="Arial" w:eastAsia="Arial" w:hAnsi="Arial"/>
          <w:sz w:val="18"/>
          <w:szCs w:val="18"/>
          <w:color w:val="auto"/>
        </w:rPr>
        <w:t>Our containers are designed to meet a number of criteria outlined by the ISO. The standard criteria include the size of the container and the gross weight rating of the container. This standardization ensures that the widest possible number of transporters can use containers and it facilitates container and vessel sharing by the shipping lines. The standardization of the container is also an important element of the container leasing business since we can operate one fleet of containers that can be used by all of our customers.</w:t>
      </w:r>
    </w:p>
    <w:p>
      <w:pPr>
        <w:spacing w:after="0" w:line="187" w:lineRule="exact"/>
        <w:rPr>
          <w:sz w:val="20"/>
          <w:szCs w:val="20"/>
          <w:color w:val="auto"/>
        </w:rPr>
      </w:pPr>
    </w:p>
    <w:p>
      <w:pPr>
        <w:ind w:right="120" w:firstLine="440"/>
        <w:spacing w:after="0" w:line="308" w:lineRule="auto"/>
        <w:rPr>
          <w:sz w:val="20"/>
          <w:szCs w:val="20"/>
          <w:color w:val="auto"/>
        </w:rPr>
      </w:pPr>
      <w:r>
        <w:rPr>
          <w:rFonts w:ascii="Arial" w:cs="Arial" w:eastAsia="Arial" w:hAnsi="Arial"/>
          <w:sz w:val="17"/>
          <w:szCs w:val="17"/>
          <w:color w:val="auto"/>
        </w:rPr>
        <w:t>Maintenance and repair of our containers is performed by independent depots that we retain in major port areas and inland locations. Such depots also handle and inspect containers that are either picked up or redelivered by lessees, and store containers that are not leased.</w:t>
      </w:r>
    </w:p>
    <w:p>
      <w:pPr>
        <w:spacing w:after="0" w:line="25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Our Leases</w:t>
      </w:r>
    </w:p>
    <w:p>
      <w:pPr>
        <w:spacing w:after="0" w:line="117" w:lineRule="exact"/>
        <w:rPr>
          <w:sz w:val="20"/>
          <w:szCs w:val="20"/>
          <w:color w:val="auto"/>
        </w:rPr>
      </w:pPr>
    </w:p>
    <w:p>
      <w:pPr>
        <w:ind w:right="220" w:firstLine="440"/>
        <w:spacing w:after="0" w:line="257" w:lineRule="auto"/>
        <w:rPr>
          <w:sz w:val="20"/>
          <w:szCs w:val="20"/>
          <w:color w:val="auto"/>
        </w:rPr>
      </w:pPr>
      <w:r>
        <w:rPr>
          <w:rFonts w:ascii="Arial" w:cs="Arial" w:eastAsia="Arial" w:hAnsi="Arial"/>
          <w:sz w:val="18"/>
          <w:szCs w:val="18"/>
          <w:color w:val="auto"/>
        </w:rPr>
        <w:t>Most of our revenues are derived from leasing our owned fleet and managed fleet of containers to our core shipping line customers. The vast majority of our container leases are structured as operating leases, though we also provide customers with finance leases. Regardless of lease type, we seek to exceed our targeted return on our owned and managed containers over the life of each container by managing container utilization, lease rates, drop-off restrictions and the disposal process. We lease containers under three different types of operating leases (term leases, master leases and spot leases) and also under finance leases.</w:t>
      </w:r>
    </w:p>
    <w:p>
      <w:pPr>
        <w:spacing w:after="0" w:line="188" w:lineRule="exact"/>
        <w:rPr>
          <w:sz w:val="20"/>
          <w:szCs w:val="20"/>
          <w:color w:val="auto"/>
        </w:rPr>
      </w:pPr>
    </w:p>
    <w:p>
      <w:pPr>
        <w:ind w:left="440"/>
        <w:spacing w:after="0"/>
        <w:rPr>
          <w:sz w:val="20"/>
          <w:szCs w:val="20"/>
          <w:color w:val="auto"/>
        </w:rPr>
      </w:pPr>
      <w:r>
        <w:rPr>
          <w:rFonts w:ascii="Arial" w:cs="Arial" w:eastAsia="Arial" w:hAnsi="Arial"/>
          <w:sz w:val="16"/>
          <w:szCs w:val="16"/>
          <w:color w:val="auto"/>
        </w:rPr>
        <w:t>The following table provides a summary of our total on-hire container fleet by lease type, measured in TEU, as of December 31, 2020 and 2019:</w:t>
      </w:r>
    </w:p>
    <w:p>
      <w:pPr>
        <w:spacing w:after="0" w:line="267" w:lineRule="exact"/>
        <w:rPr>
          <w:sz w:val="20"/>
          <w:szCs w:val="20"/>
          <w:color w:val="auto"/>
        </w:rPr>
      </w:pPr>
    </w:p>
    <w:tbl>
      <w:tblPr>
        <w:tblLayout w:type="fixed"/>
        <w:tblInd w:w="1320" w:type="dxa"/>
        <w:tblCellMar>
          <w:top w:w="0" w:type="dxa"/>
          <w:left w:w="0" w:type="dxa"/>
          <w:bottom w:w="0" w:type="dxa"/>
          <w:right w:w="0" w:type="dxa"/>
        </w:tblCellMar>
      </w:tblPr>
      <w:tr>
        <w:trPr>
          <w:trHeight w:val="171"/>
        </w:trPr>
        <w:tc>
          <w:tcPr>
            <w:tcW w:w="940" w:type="dxa"/>
            <w:vAlign w:val="bottom"/>
            <w:vMerge w:val="restart"/>
          </w:tcPr>
          <w:p>
            <w:pPr>
              <w:spacing w:after="0"/>
              <w:rPr>
                <w:sz w:val="20"/>
                <w:szCs w:val="20"/>
                <w:color w:val="auto"/>
              </w:rPr>
            </w:pPr>
            <w:r>
              <w:rPr>
                <w:rFonts w:ascii="Arial" w:cs="Arial" w:eastAsia="Arial" w:hAnsi="Arial"/>
                <w:sz w:val="14"/>
                <w:szCs w:val="14"/>
                <w:b w:val="1"/>
                <w:bCs w:val="1"/>
                <w:color w:val="auto"/>
                <w:w w:val="90"/>
              </w:rPr>
              <w:t>Lease Portfolio</w:t>
            </w:r>
          </w:p>
        </w:tc>
        <w:tc>
          <w:tcPr>
            <w:tcW w:w="4940" w:type="dxa"/>
            <w:vAlign w:val="bottom"/>
            <w:vMerge w:val="restart"/>
          </w:tcPr>
          <w:p>
            <w:pPr>
              <w:spacing w:after="0"/>
              <w:rPr>
                <w:sz w:val="14"/>
                <w:szCs w:val="14"/>
                <w:color w:val="auto"/>
              </w:rPr>
            </w:pPr>
          </w:p>
        </w:tc>
        <w:tc>
          <w:tcPr>
            <w:tcW w:w="2480" w:type="dxa"/>
            <w:vAlign w:val="bottom"/>
            <w:gridSpan w:val="4"/>
          </w:tcPr>
          <w:p>
            <w:pPr>
              <w:ind w:left="220"/>
              <w:spacing w:after="0"/>
              <w:rPr>
                <w:sz w:val="20"/>
                <w:szCs w:val="20"/>
                <w:color w:val="auto"/>
              </w:rPr>
            </w:pPr>
            <w:r>
              <w:rPr>
                <w:rFonts w:ascii="Arial" w:cs="Arial" w:eastAsia="Arial" w:hAnsi="Arial"/>
                <w:sz w:val="14"/>
                <w:szCs w:val="14"/>
                <w:b w:val="1"/>
                <w:bCs w:val="1"/>
                <w:color w:val="auto"/>
              </w:rPr>
              <w:t>Percent of Total On-Hire Fleet</w:t>
            </w:r>
          </w:p>
        </w:tc>
        <w:tc>
          <w:tcPr>
            <w:tcW w:w="0" w:type="dxa"/>
            <w:vAlign w:val="bottom"/>
          </w:tcPr>
          <w:p>
            <w:pPr>
              <w:spacing w:after="0"/>
              <w:rPr>
                <w:sz w:val="1"/>
                <w:szCs w:val="1"/>
                <w:color w:val="auto"/>
              </w:rPr>
            </w:pPr>
          </w:p>
        </w:tc>
      </w:tr>
      <w:tr>
        <w:trPr>
          <w:trHeight w:val="133"/>
        </w:trPr>
        <w:tc>
          <w:tcPr>
            <w:tcW w:w="940" w:type="dxa"/>
            <w:vAlign w:val="bottom"/>
            <w:tcBorders>
              <w:bottom w:val="single" w:sz="8" w:color="auto"/>
            </w:tcBorders>
            <w:vMerge w:val="continue"/>
          </w:tcPr>
          <w:p>
            <w:pPr>
              <w:spacing w:after="0"/>
              <w:rPr>
                <w:sz w:val="11"/>
                <w:szCs w:val="11"/>
                <w:color w:val="auto"/>
              </w:rPr>
            </w:pPr>
          </w:p>
        </w:tc>
        <w:tc>
          <w:tcPr>
            <w:tcW w:w="4940" w:type="dxa"/>
            <w:vAlign w:val="bottom"/>
            <w:vMerge w:val="continue"/>
          </w:tcPr>
          <w:p>
            <w:pPr>
              <w:spacing w:after="0"/>
              <w:rPr>
                <w:sz w:val="11"/>
                <w:szCs w:val="11"/>
                <w:color w:val="auto"/>
              </w:rPr>
            </w:pPr>
          </w:p>
        </w:tc>
        <w:tc>
          <w:tcPr>
            <w:tcW w:w="740" w:type="dxa"/>
            <w:vAlign w:val="bottom"/>
            <w:tcBorders>
              <w:top w:val="single" w:sz="8" w:color="auto"/>
            </w:tcBorders>
          </w:tcPr>
          <w:p>
            <w:pPr>
              <w:ind w:left="220"/>
              <w:spacing w:after="0" w:line="129" w:lineRule="exact"/>
              <w:rPr>
                <w:sz w:val="20"/>
                <w:szCs w:val="20"/>
                <w:color w:val="auto"/>
              </w:rPr>
            </w:pPr>
            <w:r>
              <w:rPr>
                <w:rFonts w:ascii="Arial" w:cs="Arial" w:eastAsia="Arial" w:hAnsi="Arial"/>
                <w:sz w:val="14"/>
                <w:szCs w:val="14"/>
                <w:b w:val="1"/>
                <w:bCs w:val="1"/>
                <w:color w:val="auto"/>
              </w:rPr>
              <w:t>2020</w:t>
            </w:r>
          </w:p>
        </w:tc>
        <w:tc>
          <w:tcPr>
            <w:tcW w:w="800" w:type="dxa"/>
            <w:vAlign w:val="bottom"/>
            <w:tcBorders>
              <w:top w:val="single" w:sz="8" w:color="auto"/>
            </w:tcBorders>
          </w:tcPr>
          <w:p>
            <w:pPr>
              <w:spacing w:after="0"/>
              <w:rPr>
                <w:sz w:val="11"/>
                <w:szCs w:val="11"/>
                <w:color w:val="auto"/>
              </w:rPr>
            </w:pPr>
          </w:p>
        </w:tc>
        <w:tc>
          <w:tcPr>
            <w:tcW w:w="740" w:type="dxa"/>
            <w:vAlign w:val="bottom"/>
            <w:tcBorders>
              <w:top w:val="single" w:sz="8" w:color="auto"/>
            </w:tcBorders>
          </w:tcPr>
          <w:p>
            <w:pPr>
              <w:jc w:val="right"/>
              <w:ind w:right="133"/>
              <w:spacing w:after="0" w:line="129" w:lineRule="exact"/>
              <w:rPr>
                <w:sz w:val="20"/>
                <w:szCs w:val="20"/>
                <w:color w:val="auto"/>
              </w:rPr>
            </w:pPr>
            <w:r>
              <w:rPr>
                <w:rFonts w:ascii="Arial" w:cs="Arial" w:eastAsia="Arial" w:hAnsi="Arial"/>
                <w:sz w:val="14"/>
                <w:szCs w:val="14"/>
                <w:b w:val="1"/>
                <w:bCs w:val="1"/>
                <w:color w:val="auto"/>
              </w:rPr>
              <w:t>2019</w:t>
            </w:r>
          </w:p>
        </w:tc>
        <w:tc>
          <w:tcPr>
            <w:tcW w:w="2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0"/>
        </w:trPr>
        <w:tc>
          <w:tcPr>
            <w:tcW w:w="5880" w:type="dxa"/>
            <w:vAlign w:val="bottom"/>
            <w:gridSpan w:val="2"/>
            <w:vMerge w:val="restart"/>
            <w:shd w:val="clear" w:color="auto" w:fill="CCEEFF"/>
          </w:tcPr>
          <w:p>
            <w:pPr>
              <w:spacing w:after="0"/>
              <w:rPr>
                <w:sz w:val="20"/>
                <w:szCs w:val="20"/>
                <w:color w:val="auto"/>
              </w:rPr>
            </w:pPr>
            <w:r>
              <w:rPr>
                <w:rFonts w:ascii="Arial" w:cs="Arial" w:eastAsia="Arial" w:hAnsi="Arial"/>
                <w:sz w:val="18"/>
                <w:szCs w:val="18"/>
                <w:color w:val="auto"/>
              </w:rPr>
              <w:t>Term leases</w:t>
            </w:r>
          </w:p>
        </w:tc>
        <w:tc>
          <w:tcPr>
            <w:tcW w:w="740" w:type="dxa"/>
            <w:vAlign w:val="bottom"/>
            <w:shd w:val="clear" w:color="auto" w:fill="000000"/>
          </w:tcPr>
          <w:p>
            <w:pPr>
              <w:spacing w:after="0" w:line="20" w:lineRule="exact"/>
              <w:rPr>
                <w:sz w:val="1"/>
                <w:szCs w:val="1"/>
                <w:color w:val="auto"/>
              </w:rPr>
            </w:pPr>
          </w:p>
        </w:tc>
        <w:tc>
          <w:tcPr>
            <w:tcW w:w="800" w:type="dxa"/>
            <w:vAlign w:val="bottom"/>
            <w:shd w:val="clear" w:color="auto" w:fill="CCEEFF"/>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3"/>
        </w:trPr>
        <w:tc>
          <w:tcPr>
            <w:tcW w:w="5880" w:type="dxa"/>
            <w:vAlign w:val="bottom"/>
            <w:gridSpan w:val="2"/>
            <w:vMerge w:val="continue"/>
            <w:shd w:val="clear" w:color="auto" w:fill="CCEEFF"/>
          </w:tcPr>
          <w:p>
            <w:pPr>
              <w:spacing w:after="0"/>
              <w:rPr>
                <w:sz w:val="17"/>
                <w:szCs w:val="17"/>
                <w:color w:val="auto"/>
              </w:rPr>
            </w:pPr>
          </w:p>
        </w:tc>
        <w:tc>
          <w:tcPr>
            <w:tcW w:w="1540" w:type="dxa"/>
            <w:vAlign w:val="bottom"/>
            <w:gridSpan w:val="2"/>
            <w:shd w:val="clear" w:color="auto" w:fill="CCEEFF"/>
          </w:tcPr>
          <w:p>
            <w:pPr>
              <w:jc w:val="right"/>
              <w:ind w:right="660"/>
              <w:spacing w:after="0" w:line="203" w:lineRule="exact"/>
              <w:rPr>
                <w:sz w:val="20"/>
                <w:szCs w:val="20"/>
                <w:color w:val="auto"/>
              </w:rPr>
            </w:pPr>
            <w:r>
              <w:rPr>
                <w:rFonts w:ascii="Arial" w:cs="Arial" w:eastAsia="Arial" w:hAnsi="Arial"/>
                <w:sz w:val="18"/>
                <w:szCs w:val="18"/>
                <w:color w:val="auto"/>
              </w:rPr>
              <w:t>70.3%</w:t>
            </w:r>
          </w:p>
        </w:tc>
        <w:tc>
          <w:tcPr>
            <w:tcW w:w="940" w:type="dxa"/>
            <w:vAlign w:val="bottom"/>
            <w:gridSpan w:val="2"/>
            <w:shd w:val="clear" w:color="auto" w:fill="CCEEFF"/>
          </w:tcPr>
          <w:p>
            <w:pPr>
              <w:jc w:val="right"/>
              <w:ind w:right="40"/>
              <w:spacing w:after="0" w:line="203" w:lineRule="exact"/>
              <w:rPr>
                <w:sz w:val="20"/>
                <w:szCs w:val="20"/>
                <w:color w:val="auto"/>
              </w:rPr>
            </w:pPr>
            <w:r>
              <w:rPr>
                <w:rFonts w:ascii="Arial" w:cs="Arial" w:eastAsia="Arial" w:hAnsi="Arial"/>
                <w:sz w:val="18"/>
                <w:szCs w:val="18"/>
                <w:color w:val="auto"/>
              </w:rPr>
              <w:t>75.1%</w:t>
            </w:r>
          </w:p>
        </w:tc>
        <w:tc>
          <w:tcPr>
            <w:tcW w:w="0" w:type="dxa"/>
            <w:vAlign w:val="bottom"/>
          </w:tcPr>
          <w:p>
            <w:pPr>
              <w:spacing w:after="0"/>
              <w:rPr>
                <w:sz w:val="1"/>
                <w:szCs w:val="1"/>
                <w:color w:val="auto"/>
              </w:rPr>
            </w:pPr>
          </w:p>
        </w:tc>
      </w:tr>
      <w:tr>
        <w:trPr>
          <w:trHeight w:val="216"/>
        </w:trPr>
        <w:tc>
          <w:tcPr>
            <w:tcW w:w="5880" w:type="dxa"/>
            <w:vAlign w:val="bottom"/>
            <w:gridSpan w:val="2"/>
          </w:tcPr>
          <w:p>
            <w:pPr>
              <w:spacing w:after="0"/>
              <w:rPr>
                <w:sz w:val="20"/>
                <w:szCs w:val="20"/>
                <w:color w:val="auto"/>
              </w:rPr>
            </w:pPr>
            <w:r>
              <w:rPr>
                <w:rFonts w:ascii="Arial" w:cs="Arial" w:eastAsia="Arial" w:hAnsi="Arial"/>
                <w:sz w:val="18"/>
                <w:szCs w:val="18"/>
                <w:color w:val="auto"/>
              </w:rPr>
              <w:t>Finance leases</w:t>
            </w:r>
          </w:p>
        </w:tc>
        <w:tc>
          <w:tcPr>
            <w:tcW w:w="1540" w:type="dxa"/>
            <w:vAlign w:val="bottom"/>
            <w:gridSpan w:val="2"/>
          </w:tcPr>
          <w:p>
            <w:pPr>
              <w:jc w:val="right"/>
              <w:ind w:right="660"/>
              <w:spacing w:after="0"/>
              <w:rPr>
                <w:sz w:val="20"/>
                <w:szCs w:val="20"/>
                <w:color w:val="auto"/>
              </w:rPr>
            </w:pPr>
            <w:r>
              <w:rPr>
                <w:rFonts w:ascii="Arial" w:cs="Arial" w:eastAsia="Arial" w:hAnsi="Arial"/>
                <w:sz w:val="18"/>
                <w:szCs w:val="18"/>
                <w:color w:val="auto"/>
              </w:rPr>
              <w:t>17.2%</w:t>
            </w:r>
          </w:p>
        </w:tc>
        <w:tc>
          <w:tcPr>
            <w:tcW w:w="940" w:type="dxa"/>
            <w:vAlign w:val="bottom"/>
            <w:gridSpan w:val="2"/>
          </w:tcPr>
          <w:p>
            <w:pPr>
              <w:jc w:val="right"/>
              <w:ind w:right="40"/>
              <w:spacing w:after="0"/>
              <w:rPr>
                <w:sz w:val="20"/>
                <w:szCs w:val="20"/>
                <w:color w:val="auto"/>
              </w:rPr>
            </w:pPr>
            <w:r>
              <w:rPr>
                <w:rFonts w:ascii="Arial" w:cs="Arial" w:eastAsia="Arial" w:hAnsi="Arial"/>
                <w:sz w:val="18"/>
                <w:szCs w:val="18"/>
                <w:color w:val="auto"/>
              </w:rPr>
              <w:t>10.4%</w:t>
            </w:r>
          </w:p>
        </w:tc>
        <w:tc>
          <w:tcPr>
            <w:tcW w:w="0" w:type="dxa"/>
            <w:vAlign w:val="bottom"/>
          </w:tcPr>
          <w:p>
            <w:pPr>
              <w:spacing w:after="0"/>
              <w:rPr>
                <w:sz w:val="1"/>
                <w:szCs w:val="1"/>
                <w:color w:val="auto"/>
              </w:rPr>
            </w:pPr>
          </w:p>
        </w:tc>
      </w:tr>
      <w:tr>
        <w:trPr>
          <w:trHeight w:val="216"/>
        </w:trPr>
        <w:tc>
          <w:tcPr>
            <w:tcW w:w="58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Master leases</w:t>
            </w:r>
          </w:p>
        </w:tc>
        <w:tc>
          <w:tcPr>
            <w:tcW w:w="154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10.9%</w:t>
            </w:r>
          </w:p>
        </w:tc>
        <w:tc>
          <w:tcPr>
            <w:tcW w:w="9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12.4%</w:t>
            </w:r>
          </w:p>
        </w:tc>
        <w:tc>
          <w:tcPr>
            <w:tcW w:w="0" w:type="dxa"/>
            <w:vAlign w:val="bottom"/>
          </w:tcPr>
          <w:p>
            <w:pPr>
              <w:spacing w:after="0"/>
              <w:rPr>
                <w:sz w:val="1"/>
                <w:szCs w:val="1"/>
                <w:color w:val="auto"/>
              </w:rPr>
            </w:pPr>
          </w:p>
        </w:tc>
      </w:tr>
      <w:tr>
        <w:trPr>
          <w:trHeight w:val="216"/>
        </w:trPr>
        <w:tc>
          <w:tcPr>
            <w:tcW w:w="5880" w:type="dxa"/>
            <w:vAlign w:val="bottom"/>
            <w:gridSpan w:val="2"/>
          </w:tcPr>
          <w:p>
            <w:pPr>
              <w:spacing w:after="0"/>
              <w:rPr>
                <w:sz w:val="20"/>
                <w:szCs w:val="20"/>
                <w:color w:val="auto"/>
              </w:rPr>
            </w:pPr>
            <w:r>
              <w:rPr>
                <w:rFonts w:ascii="Arial" w:cs="Arial" w:eastAsia="Arial" w:hAnsi="Arial"/>
                <w:sz w:val="18"/>
                <w:szCs w:val="18"/>
                <w:color w:val="auto"/>
              </w:rPr>
              <w:t>Spot leases</w:t>
            </w:r>
          </w:p>
        </w:tc>
        <w:tc>
          <w:tcPr>
            <w:tcW w:w="1540" w:type="dxa"/>
            <w:vAlign w:val="bottom"/>
            <w:gridSpan w:val="2"/>
          </w:tcPr>
          <w:p>
            <w:pPr>
              <w:jc w:val="right"/>
              <w:ind w:right="660"/>
              <w:spacing w:after="0"/>
              <w:rPr>
                <w:sz w:val="20"/>
                <w:szCs w:val="20"/>
                <w:color w:val="auto"/>
              </w:rPr>
            </w:pPr>
            <w:r>
              <w:rPr>
                <w:rFonts w:ascii="Arial" w:cs="Arial" w:eastAsia="Arial" w:hAnsi="Arial"/>
                <w:sz w:val="18"/>
                <w:szCs w:val="18"/>
                <w:color w:val="auto"/>
              </w:rPr>
              <w:t>1.6%</w:t>
            </w:r>
          </w:p>
        </w:tc>
        <w:tc>
          <w:tcPr>
            <w:tcW w:w="940" w:type="dxa"/>
            <w:vAlign w:val="bottom"/>
            <w:gridSpan w:val="2"/>
          </w:tcPr>
          <w:p>
            <w:pPr>
              <w:jc w:val="right"/>
              <w:ind w:right="40"/>
              <w:spacing w:after="0"/>
              <w:rPr>
                <w:sz w:val="20"/>
                <w:szCs w:val="20"/>
                <w:color w:val="auto"/>
              </w:rPr>
            </w:pPr>
            <w:r>
              <w:rPr>
                <w:rFonts w:ascii="Arial" w:cs="Arial" w:eastAsia="Arial" w:hAnsi="Arial"/>
                <w:sz w:val="18"/>
                <w:szCs w:val="18"/>
                <w:color w:val="auto"/>
              </w:rPr>
              <w:t>2.1%</w:t>
            </w:r>
          </w:p>
        </w:tc>
        <w:tc>
          <w:tcPr>
            <w:tcW w:w="0" w:type="dxa"/>
            <w:vAlign w:val="bottom"/>
          </w:tcPr>
          <w:p>
            <w:pPr>
              <w:spacing w:after="0"/>
              <w:rPr>
                <w:sz w:val="1"/>
                <w:szCs w:val="1"/>
                <w:color w:val="auto"/>
              </w:rPr>
            </w:pPr>
          </w:p>
        </w:tc>
      </w:tr>
      <w:tr>
        <w:trPr>
          <w:trHeight w:val="27"/>
        </w:trPr>
        <w:tc>
          <w:tcPr>
            <w:tcW w:w="940" w:type="dxa"/>
            <w:vAlign w:val="bottom"/>
          </w:tcPr>
          <w:p>
            <w:pPr>
              <w:spacing w:after="0"/>
              <w:rPr>
                <w:sz w:val="2"/>
                <w:szCs w:val="2"/>
                <w:color w:val="auto"/>
              </w:rPr>
            </w:pPr>
          </w:p>
        </w:tc>
        <w:tc>
          <w:tcPr>
            <w:tcW w:w="4940" w:type="dxa"/>
            <w:vAlign w:val="bottom"/>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800" w:type="dxa"/>
            <w:vAlign w:val="bottom"/>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588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Total</w:t>
            </w:r>
          </w:p>
        </w:tc>
        <w:tc>
          <w:tcPr>
            <w:tcW w:w="154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100.0%</w:t>
            </w:r>
          </w:p>
        </w:tc>
        <w:tc>
          <w:tcPr>
            <w:tcW w:w="9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100.0%</w:t>
            </w:r>
          </w:p>
        </w:tc>
        <w:tc>
          <w:tcPr>
            <w:tcW w:w="0" w:type="dxa"/>
            <w:vAlign w:val="bottom"/>
          </w:tcPr>
          <w:p>
            <w:pPr>
              <w:spacing w:after="0"/>
              <w:rPr>
                <w:sz w:val="1"/>
                <w:szCs w:val="1"/>
                <w:color w:val="auto"/>
              </w:rPr>
            </w:pPr>
          </w:p>
        </w:tc>
      </w:tr>
      <w:tr>
        <w:trPr>
          <w:trHeight w:val="20"/>
        </w:trPr>
        <w:tc>
          <w:tcPr>
            <w:tcW w:w="940" w:type="dxa"/>
            <w:vAlign w:val="bottom"/>
          </w:tcPr>
          <w:p>
            <w:pPr>
              <w:spacing w:after="0" w:line="20" w:lineRule="exact"/>
              <w:rPr>
                <w:sz w:val="1"/>
                <w:szCs w:val="1"/>
                <w:color w:val="auto"/>
              </w:rPr>
            </w:pPr>
          </w:p>
        </w:tc>
        <w:tc>
          <w:tcPr>
            <w:tcW w:w="4940" w:type="dxa"/>
            <w:vAlign w:val="bottom"/>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23"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Term leases</w:t>
      </w:r>
    </w:p>
    <w:p>
      <w:pPr>
        <w:spacing w:after="0" w:line="117" w:lineRule="exact"/>
        <w:rPr>
          <w:sz w:val="20"/>
          <w:szCs w:val="20"/>
          <w:color w:val="auto"/>
        </w:rPr>
      </w:pPr>
    </w:p>
    <w:p>
      <w:pPr>
        <w:ind w:right="180" w:firstLine="440"/>
        <w:spacing w:after="0" w:line="277" w:lineRule="auto"/>
        <w:rPr>
          <w:sz w:val="20"/>
          <w:szCs w:val="20"/>
          <w:color w:val="auto"/>
        </w:rPr>
      </w:pPr>
      <w:r>
        <w:rPr>
          <w:rFonts w:ascii="Arial" w:cs="Arial" w:eastAsia="Arial" w:hAnsi="Arial"/>
          <w:sz w:val="18"/>
          <w:szCs w:val="18"/>
          <w:color w:val="auto"/>
        </w:rPr>
        <w:t>Term leases (also referred to as long-term leases) provide a customer with a specified number of containers for a specified period, typically for 5 or more years, with an associated set of pick-up and drop-off conditions. Our term</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43</w:t>
      </w:r>
    </w:p>
    <w:p>
      <w:pPr>
        <w:sectPr>
          <w:pgSz w:w="11900" w:h="16838" w:orient="portrait"/>
          <w:cols w:equalWidth="0" w:num="1">
            <w:col w:w="11020"/>
          </w:cols>
          <w:pgMar w:left="440" w:top="274" w:right="439" w:bottom="1440" w:gutter="0" w:footer="0" w:header="0"/>
        </w:sectPr>
      </w:pPr>
    </w:p>
    <w:bookmarkStart w:id="57" w:name="page58"/>
    <w:bookmarkEnd w:id="57"/>
    <w:p>
      <w:pPr>
        <w:ind w:right="100"/>
        <w:spacing w:after="0" w:line="27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7174865" cy="38735"/>
                    </a:xfrm>
                    <a:prstGeom prst="rect">
                      <a:avLst/>
                    </a:prstGeom>
                    <a:noFill/>
                  </pic:spPr>
                </pic:pic>
              </a:graphicData>
            </a:graphic>
          </wp:anchor>
        </w:drawing>
        <w:t>leases generally require our lessees to maintain all units on lease for the duration of the lease. Term leases also include lifecycle leases, under which lessees will lease containers until they reach a pre-specified age which is typically near the end of their useful lives rather than for a specified period. Once containers under lifecycle leases are returned to us, they are generally sold due to the age of the containers. Term leases provide us with enhanced cash flow certainty due to their extended duration but carry lower per diem rates than other lease types.</w:t>
      </w:r>
    </w:p>
    <w:p>
      <w:pPr>
        <w:spacing w:after="0" w:line="171" w:lineRule="exact"/>
        <w:rPr>
          <w:sz w:val="20"/>
          <w:szCs w:val="20"/>
          <w:color w:val="auto"/>
        </w:rPr>
      </w:pPr>
    </w:p>
    <w:p>
      <w:pPr>
        <w:ind w:right="100" w:firstLine="440"/>
        <w:spacing w:after="0" w:line="275" w:lineRule="auto"/>
        <w:rPr>
          <w:sz w:val="20"/>
          <w:szCs w:val="20"/>
          <w:color w:val="auto"/>
        </w:rPr>
      </w:pPr>
      <w:r>
        <w:rPr>
          <w:rFonts w:ascii="Arial" w:cs="Arial" w:eastAsia="Arial" w:hAnsi="Arial"/>
          <w:sz w:val="17"/>
          <w:szCs w:val="17"/>
          <w:color w:val="auto"/>
        </w:rPr>
        <w:t xml:space="preserve">As of December 31, 2020, our term leases had an average remaining duration of 3.5 years, assuming no leases are renewed. However, we believe that many of our customers will renew leases for containers that are less than sale age at the expiration of the lease. In addition, for leases that are not extended our containers typically remain on-hire at the contractual per diem rate for an average of an additional 11 months beyond the end of the contractual lease term. For additional information about the minimum future rentals under the long-term leases for our owned and managed fleet at December 31, 2020, see Note 5 “Leases” in Item 18, </w:t>
      </w:r>
      <w:r>
        <w:rPr>
          <w:rFonts w:ascii="Arial" w:cs="Arial" w:eastAsia="Arial" w:hAnsi="Arial"/>
          <w:sz w:val="17"/>
          <w:szCs w:val="17"/>
          <w:i w:val="1"/>
          <w:iCs w:val="1"/>
          <w:color w:val="auto"/>
        </w:rPr>
        <w:t>“Financial Statements”</w:t>
      </w:r>
      <w:r>
        <w:rPr>
          <w:rFonts w:ascii="Arial" w:cs="Arial" w:eastAsia="Arial" w:hAnsi="Arial"/>
          <w:sz w:val="17"/>
          <w:szCs w:val="17"/>
          <w:color w:val="auto"/>
        </w:rPr>
        <w:t xml:space="preserve"> in this Annual Report on Form 20-F.</w:t>
      </w:r>
    </w:p>
    <w:p>
      <w:pPr>
        <w:spacing w:after="0" w:line="284"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Finance Leases</w:t>
      </w:r>
    </w:p>
    <w:p>
      <w:pPr>
        <w:spacing w:after="0" w:line="117" w:lineRule="exact"/>
        <w:rPr>
          <w:sz w:val="20"/>
          <w:szCs w:val="20"/>
          <w:color w:val="auto"/>
        </w:rPr>
      </w:pPr>
    </w:p>
    <w:p>
      <w:pPr>
        <w:ind w:right="80" w:firstLine="440"/>
        <w:spacing w:after="0" w:line="296" w:lineRule="auto"/>
        <w:rPr>
          <w:sz w:val="20"/>
          <w:szCs w:val="20"/>
          <w:color w:val="auto"/>
        </w:rPr>
      </w:pPr>
      <w:r>
        <w:rPr>
          <w:rFonts w:ascii="Arial" w:cs="Arial" w:eastAsia="Arial" w:hAnsi="Arial"/>
          <w:sz w:val="16"/>
          <w:szCs w:val="16"/>
          <w:color w:val="auto"/>
        </w:rPr>
        <w:t>Finance leases provide our lessees with an alternative method to finance their container acquisitions. Finance leases are long-term in nature, typically ranging from three to thirteen years and require relatively little customer service attention. They ordinarily require fixed payments over a defined period and provide lessees with a right to purchase the subject containers for a nominal amount at the end of the lease term. Per diem rates include an element of repayment of capital and, therefore, typically are higher than rates charged under other leases. Finance leases require the lessee to keep the containers on lease for the entire term of the lease. As of December 31, 2020, our finance leases had an average remaining term of 10.3 years.</w:t>
      </w:r>
    </w:p>
    <w:p>
      <w:pPr>
        <w:spacing w:after="0" w:line="269"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Master leases</w:t>
      </w:r>
    </w:p>
    <w:p>
      <w:pPr>
        <w:spacing w:after="0" w:line="117" w:lineRule="exact"/>
        <w:rPr>
          <w:sz w:val="20"/>
          <w:szCs w:val="20"/>
          <w:color w:val="auto"/>
        </w:rPr>
      </w:pPr>
    </w:p>
    <w:p>
      <w:pPr>
        <w:ind w:right="20" w:firstLine="440"/>
        <w:spacing w:after="0" w:line="255" w:lineRule="auto"/>
        <w:rPr>
          <w:sz w:val="20"/>
          <w:szCs w:val="20"/>
          <w:color w:val="auto"/>
        </w:rPr>
      </w:pPr>
      <w:r>
        <w:rPr>
          <w:rFonts w:ascii="Arial" w:cs="Arial" w:eastAsia="Arial" w:hAnsi="Arial"/>
          <w:sz w:val="18"/>
          <w:szCs w:val="18"/>
          <w:color w:val="auto"/>
        </w:rPr>
        <w:t>Master leases provide a framework of terms and conditions pursuant to which lessees can lease containers on an as-needed basis for unspecified periods of time. Master lease terms and conditions are valid for a set period, typically one year, and provide the lessee with greater flexibility than is typical in term leases. Under our master leases, lessees know in advance their per diem rates and drop-off locations, subject to monthly drop-off location limits. In addition, under these master lease agreements, the lessee is generally not committed to leasing a minimum number of containers from us during the lease term and may generally return the containers to us at any time, subject to certain restrictions. Due to their flexibility and duration, master leases command higher per diem rates than term leases.</w:t>
      </w:r>
    </w:p>
    <w:p>
      <w:pPr>
        <w:spacing w:after="0" w:line="300"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Spot leases</w:t>
      </w:r>
    </w:p>
    <w:p>
      <w:pPr>
        <w:spacing w:after="0" w:line="117" w:lineRule="exact"/>
        <w:rPr>
          <w:sz w:val="20"/>
          <w:szCs w:val="20"/>
          <w:color w:val="auto"/>
        </w:rPr>
      </w:pPr>
    </w:p>
    <w:p>
      <w:pPr>
        <w:ind w:right="460" w:firstLine="440"/>
        <w:spacing w:after="0" w:line="277" w:lineRule="auto"/>
        <w:rPr>
          <w:sz w:val="20"/>
          <w:szCs w:val="20"/>
          <w:color w:val="auto"/>
        </w:rPr>
      </w:pPr>
      <w:r>
        <w:rPr>
          <w:rFonts w:ascii="Arial" w:cs="Arial" w:eastAsia="Arial" w:hAnsi="Arial"/>
          <w:sz w:val="18"/>
          <w:szCs w:val="18"/>
          <w:color w:val="auto"/>
        </w:rPr>
        <w:t>Spot leases provide the customer with containers for a relatively short lease period with fixed pick-up and drop-off locations. Spot leases are generally used to position a container to a desired location for subsequent lease or sale.</w:t>
      </w:r>
    </w:p>
    <w:p>
      <w:pPr>
        <w:spacing w:after="0" w:line="278"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Maintenance, Repair and Damage Protection</w:t>
      </w:r>
    </w:p>
    <w:p>
      <w:pPr>
        <w:spacing w:after="0" w:line="117" w:lineRule="exact"/>
        <w:rPr>
          <w:sz w:val="20"/>
          <w:szCs w:val="20"/>
          <w:color w:val="auto"/>
        </w:rPr>
      </w:pPr>
    </w:p>
    <w:p>
      <w:pPr>
        <w:ind w:firstLine="440"/>
        <w:spacing w:after="0" w:line="287" w:lineRule="auto"/>
        <w:rPr>
          <w:sz w:val="20"/>
          <w:szCs w:val="20"/>
          <w:color w:val="auto"/>
        </w:rPr>
      </w:pPr>
      <w:r>
        <w:rPr>
          <w:rFonts w:ascii="Arial" w:cs="Arial" w:eastAsia="Arial" w:hAnsi="Arial"/>
          <w:sz w:val="16"/>
          <w:szCs w:val="16"/>
          <w:color w:val="auto"/>
        </w:rPr>
        <w:t>Under all of our leases, our lessees are generally responsible for loss of or damage to a container beyond ordinary wear and tear, and they are required to purchase insurance to cover any other liabilities. Any damage must be repaired at the expense of the lessee according to standardized guidelines promulgated by the Institute of International Container Lessors (“IICL”). Lessees are also required to obtain insurance to cover loss of the equipment on lease, public liability and property damage insurance as well as indemnify us from claims related to their usage of the leased containers. In some cases, a Damage Protection Plan (“DPP”) is provided where by the lessee pays us (in the form of either a higher per-diem rate or a fixed one-time payment upon the return of a container) to assume a portion of the financial burden of repairs up to a pre-negotiated amount. This DPP does not cover damages from war or war risks, loss of a container, constructive total loss of the container, damages caused by contamination or corrosion from cargo, damages to movable parts and any costs incurred in removing logos, which are all responsibilities of the lessees. DPP is generally cancelable by either party with prior written notice. Maintenance is monitored through inspections at the time that a container is leased out and returned. In 2020, DPP revenue was 2.2% of total lease rental income. We also maintain our own insurance to cover our containers when they are not on-hire to lessees or when the lessee fails to have adequate primary coverage, and third-party liability insurance for both on-hire and off-hire containers. In addition, we previously maintained insurance that, after satisfying significant deductibles, would cover loss of revenue</w:t>
      </w:r>
    </w:p>
    <w:p>
      <w:pPr>
        <w:spacing w:after="0" w:line="10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44</w:t>
      </w:r>
    </w:p>
    <w:p>
      <w:pPr>
        <w:sectPr>
          <w:pgSz w:w="11900" w:h="16838" w:orient="portrait"/>
          <w:cols w:equalWidth="0" w:num="1">
            <w:col w:w="11000"/>
          </w:cols>
          <w:pgMar w:left="440" w:top="274" w:right="459" w:bottom="1440" w:gutter="0" w:footer="0" w:header="0"/>
        </w:sectPr>
      </w:pPr>
    </w:p>
    <w:bookmarkStart w:id="58" w:name="page59"/>
    <w:bookmarkEnd w:id="58"/>
    <w:p>
      <w:pPr>
        <w:ind w:right="36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as a result of default under most of our leases, as well as the recovery cost or replacement value of most of our containers. Given the high premium, significant deductible and policy exclusions in this policy, we determined to let this coverage lapse for 2021.</w:t>
      </w:r>
    </w:p>
    <w:p>
      <w:pPr>
        <w:spacing w:after="0" w:line="278"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Lease Agreements</w:t>
      </w:r>
    </w:p>
    <w:p>
      <w:pPr>
        <w:spacing w:after="0" w:line="117" w:lineRule="exact"/>
        <w:rPr>
          <w:sz w:val="20"/>
          <w:szCs w:val="20"/>
          <w:color w:val="auto"/>
        </w:rPr>
      </w:pPr>
    </w:p>
    <w:p>
      <w:pPr>
        <w:ind w:right="20" w:firstLine="440"/>
        <w:spacing w:after="0" w:line="301" w:lineRule="auto"/>
        <w:rPr>
          <w:sz w:val="20"/>
          <w:szCs w:val="20"/>
          <w:color w:val="auto"/>
        </w:rPr>
      </w:pPr>
      <w:r>
        <w:rPr>
          <w:rFonts w:ascii="Arial" w:cs="Arial" w:eastAsia="Arial" w:hAnsi="Arial"/>
          <w:sz w:val="16"/>
          <w:szCs w:val="16"/>
          <w:color w:val="auto"/>
        </w:rPr>
        <w:t>In general, our lease agreements consist of two basic elements, a master terms and conditions agreement (“Master Agreement”), and a lease schedule. Lease schedules contain the business terms (including daily rate, term duration and drop-off schedule, among other things) for specific leasing transactions, while Master Agreements outline the general rights and obligations of the lessor and lessee under all of the lease schedules covered by the Master Agreement. For most customers, we have a small number of Master Agreements (often one) and a large number of lease schedules.</w:t>
      </w:r>
    </w:p>
    <w:p>
      <w:pPr>
        <w:spacing w:after="0" w:line="157" w:lineRule="exact"/>
        <w:rPr>
          <w:sz w:val="20"/>
          <w:szCs w:val="20"/>
          <w:color w:val="auto"/>
        </w:rPr>
      </w:pPr>
    </w:p>
    <w:p>
      <w:pPr>
        <w:ind w:right="240" w:firstLine="440"/>
        <w:spacing w:after="0" w:line="301" w:lineRule="auto"/>
        <w:rPr>
          <w:sz w:val="20"/>
          <w:szCs w:val="20"/>
          <w:color w:val="auto"/>
        </w:rPr>
      </w:pPr>
      <w:r>
        <w:rPr>
          <w:rFonts w:ascii="Arial" w:cs="Arial" w:eastAsia="Arial" w:hAnsi="Arial"/>
          <w:sz w:val="16"/>
          <w:szCs w:val="16"/>
          <w:color w:val="auto"/>
        </w:rPr>
        <w:t>Our standard Master Agreements generally require the lessees to pay rentals, depot charges, taxes and other charges when due, to maintain the containers in good condition and repair, to return the containers in good condition in accordance with the return conditions set forth in the Master Agreement, to use the containers in compliance with all laws, and to pay us for the value of the containers as determined under the terms of the agreements if the container is lost or destroyed. The default clause gives us certain legal remedies in the event that the lessee is in breach of the lease.</w:t>
      </w:r>
    </w:p>
    <w:p>
      <w:pPr>
        <w:spacing w:after="0" w:line="265"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Re-leasing, Logistics and Depot Management</w:t>
      </w:r>
    </w:p>
    <w:p>
      <w:pPr>
        <w:spacing w:after="0" w:line="117" w:lineRule="exact"/>
        <w:rPr>
          <w:sz w:val="20"/>
          <w:szCs w:val="20"/>
          <w:color w:val="auto"/>
        </w:rPr>
      </w:pPr>
    </w:p>
    <w:p>
      <w:pPr>
        <w:ind w:right="20" w:firstLine="440"/>
        <w:spacing w:after="0" w:line="255" w:lineRule="auto"/>
        <w:rPr>
          <w:sz w:val="20"/>
          <w:szCs w:val="20"/>
          <w:color w:val="auto"/>
        </w:rPr>
      </w:pPr>
      <w:r>
        <w:rPr>
          <w:rFonts w:ascii="Arial" w:cs="Arial" w:eastAsia="Arial" w:hAnsi="Arial"/>
          <w:sz w:val="18"/>
          <w:szCs w:val="18"/>
          <w:color w:val="auto"/>
        </w:rPr>
        <w:t>We believe that managing the period after termination of our containers’ first lease is one of the most important aspects of our business. The container shipping industry is characterized by large regional trade imbalances, with loaded containers generally flowing from export-oriented economies in Asia to North America and Western Europe. Because of these trade imbalances, container shipping lines have an incentive to return leased containers in North America and Western Europe to avoid the cost of shipping empty containers back to Asia. Successful management of the deployment of our containers after they come off their first lease requires disciplined re-leasing capabilities, logistics management, depot management, careful cost control and profitable disposals of used containers.</w:t>
      </w:r>
    </w:p>
    <w:p>
      <w:pPr>
        <w:spacing w:after="0" w:line="300"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Re-leasing</w:t>
      </w:r>
    </w:p>
    <w:p>
      <w:pPr>
        <w:spacing w:after="0" w:line="117" w:lineRule="exact"/>
        <w:rPr>
          <w:sz w:val="20"/>
          <w:szCs w:val="20"/>
          <w:color w:val="auto"/>
        </w:rPr>
      </w:pPr>
    </w:p>
    <w:p>
      <w:pPr>
        <w:ind w:firstLine="440"/>
        <w:spacing w:after="0" w:line="272" w:lineRule="auto"/>
        <w:rPr>
          <w:sz w:val="20"/>
          <w:szCs w:val="20"/>
          <w:color w:val="auto"/>
        </w:rPr>
      </w:pPr>
      <w:r>
        <w:rPr>
          <w:rFonts w:ascii="Arial" w:cs="Arial" w:eastAsia="Arial" w:hAnsi="Arial"/>
          <w:sz w:val="17"/>
          <w:szCs w:val="17"/>
          <w:color w:val="auto"/>
        </w:rPr>
        <w:t>Since our leases allow our lessees to return their containers, we typically lease a container several times during its life. New containers can usually be leased with a limited sales and customer service infrastructure because initial leases for new containers typically cover large volumes of units and are fairly standardized transactions. Used containers, on the other hand, are typically leased in smaller transactions that are structured to accommodate pick-ups and returns in a variety of locations. Our utilization rates depend in part on our re-leasing capabilities. Factors that affect our ability to re-lease used containers include the size of our lessee base, ability to anticipate lessee needs, their presence in relevant geographic locations and the level of service we provide our lessees. We believe that our global presence and relationships with approximately 250 container lessees provide us an advantage in re-leasing our containers relative to many of our smaller competitors.</w:t>
      </w:r>
    </w:p>
    <w:p>
      <w:pPr>
        <w:spacing w:after="0" w:line="285"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Logistics</w:t>
      </w:r>
    </w:p>
    <w:p>
      <w:pPr>
        <w:spacing w:after="0" w:line="11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Other methods of reducing off-lease risks include:</w:t>
      </w:r>
    </w:p>
    <w:p>
      <w:pPr>
        <w:spacing w:after="0" w:line="131" w:lineRule="exact"/>
        <w:rPr>
          <w:sz w:val="20"/>
          <w:szCs w:val="20"/>
          <w:color w:val="auto"/>
        </w:rPr>
      </w:pPr>
    </w:p>
    <w:p>
      <w:pPr>
        <w:jc w:val="both"/>
        <w:ind w:left="960" w:right="260" w:hanging="532"/>
        <w:spacing w:after="0" w:line="286" w:lineRule="auto"/>
        <w:tabs>
          <w:tab w:leader="none" w:pos="960" w:val="left"/>
        </w:tabs>
        <w:numPr>
          <w:ilvl w:val="0"/>
          <w:numId w:val="42"/>
        </w:numPr>
        <w:rPr>
          <w:rFonts w:ascii="Arial" w:cs="Arial" w:eastAsia="Arial" w:hAnsi="Arial"/>
          <w:sz w:val="17"/>
          <w:szCs w:val="17"/>
          <w:color w:val="auto"/>
        </w:rPr>
      </w:pPr>
      <w:r>
        <w:rPr>
          <w:rFonts w:ascii="Arial" w:cs="Arial" w:eastAsia="Arial" w:hAnsi="Arial"/>
          <w:sz w:val="17"/>
          <w:szCs w:val="17"/>
          <w:i w:val="1"/>
          <w:iCs w:val="1"/>
          <w:color w:val="auto"/>
        </w:rPr>
        <w:t xml:space="preserve">Limiting or prohibiting container returns to low-demand areas. </w:t>
      </w:r>
      <w:r>
        <w:rPr>
          <w:rFonts w:ascii="Arial" w:cs="Arial" w:eastAsia="Arial" w:hAnsi="Arial"/>
          <w:sz w:val="17"/>
          <w:szCs w:val="17"/>
          <w:color w:val="auto"/>
        </w:rPr>
        <w:t>In order to reduce our repositioning costs, our leases typically include a</w:t>
      </w:r>
      <w:r>
        <w:rPr>
          <w:rFonts w:ascii="Arial" w:cs="Arial" w:eastAsia="Arial" w:hAnsi="Arial"/>
          <w:sz w:val="17"/>
          <w:szCs w:val="17"/>
          <w:i w:val="1"/>
          <w:iCs w:val="1"/>
          <w:color w:val="auto"/>
        </w:rPr>
        <w:t xml:space="preserve"> </w:t>
      </w:r>
      <w:r>
        <w:rPr>
          <w:rFonts w:ascii="Arial" w:cs="Arial" w:eastAsia="Arial" w:hAnsi="Arial"/>
          <w:sz w:val="17"/>
          <w:szCs w:val="17"/>
          <w:color w:val="auto"/>
        </w:rPr>
        <w:t>prohibition on returning containers to specific locations, limitations on the number of containers that may be returned to lower demand locations, drop-off charges for returning containers to lower demand locations or a combination of these provisions.</w:t>
      </w:r>
    </w:p>
    <w:p>
      <w:pPr>
        <w:spacing w:after="0" w:line="70" w:lineRule="exact"/>
        <w:rPr>
          <w:rFonts w:ascii="Arial" w:cs="Arial" w:eastAsia="Arial" w:hAnsi="Arial"/>
          <w:sz w:val="17"/>
          <w:szCs w:val="17"/>
          <w:color w:val="auto"/>
        </w:rPr>
      </w:pPr>
    </w:p>
    <w:p>
      <w:pPr>
        <w:ind w:left="960" w:right="580" w:hanging="532"/>
        <w:spacing w:after="0" w:line="263" w:lineRule="auto"/>
        <w:tabs>
          <w:tab w:leader="none" w:pos="960" w:val="left"/>
        </w:tabs>
        <w:numPr>
          <w:ilvl w:val="0"/>
          <w:numId w:val="42"/>
        </w:numPr>
        <w:rPr>
          <w:rFonts w:ascii="Arial" w:cs="Arial" w:eastAsia="Arial" w:hAnsi="Arial"/>
          <w:sz w:val="18"/>
          <w:szCs w:val="18"/>
          <w:color w:val="auto"/>
        </w:rPr>
      </w:pPr>
      <w:r>
        <w:rPr>
          <w:rFonts w:ascii="Arial" w:cs="Arial" w:eastAsia="Arial" w:hAnsi="Arial"/>
          <w:sz w:val="18"/>
          <w:szCs w:val="18"/>
          <w:i w:val="1"/>
          <w:iCs w:val="1"/>
          <w:color w:val="auto"/>
        </w:rPr>
        <w:t xml:space="preserve">Taking advantage of a robust resale market when available. </w:t>
      </w:r>
      <w:r>
        <w:rPr>
          <w:rFonts w:ascii="Arial" w:cs="Arial" w:eastAsia="Arial" w:hAnsi="Arial"/>
          <w:sz w:val="18"/>
          <w:szCs w:val="18"/>
          <w:color w:val="auto"/>
        </w:rPr>
        <w:t>In order to optimize the investment return on a container, we have sold</w:t>
      </w:r>
      <w:r>
        <w:rPr>
          <w:rFonts w:ascii="Arial" w:cs="Arial" w:eastAsia="Arial" w:hAnsi="Arial"/>
          <w:sz w:val="18"/>
          <w:szCs w:val="18"/>
          <w:i w:val="1"/>
          <w:iCs w:val="1"/>
          <w:color w:val="auto"/>
        </w:rPr>
        <w:t xml:space="preserve"> </w:t>
      </w:r>
      <w:r>
        <w:rPr>
          <w:rFonts w:ascii="Arial" w:cs="Arial" w:eastAsia="Arial" w:hAnsi="Arial"/>
          <w:sz w:val="18"/>
          <w:szCs w:val="18"/>
          <w:color w:val="auto"/>
        </w:rPr>
        <w:t>containers in our excess inventory and/or weak demand locations when an analysis indicates it is financially more attractive than attempting to re-lease or reposition the container.</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45</w:t>
      </w:r>
    </w:p>
    <w:p>
      <w:pPr>
        <w:sectPr>
          <w:pgSz w:w="11900" w:h="16838" w:orient="portrait"/>
          <w:cols w:equalWidth="0" w:num="1">
            <w:col w:w="10980"/>
          </w:cols>
          <w:pgMar w:left="440" w:top="274" w:right="479" w:bottom="1440" w:gutter="0" w:footer="0" w:header="0"/>
        </w:sectPr>
      </w:pPr>
    </w:p>
    <w:bookmarkStart w:id="59" w:name="page60"/>
    <w:bookmarkEnd w:id="59"/>
    <w:p>
      <w:pPr>
        <w:jc w:val="both"/>
        <w:ind w:left="960" w:right="220" w:hanging="532"/>
        <w:spacing w:after="0" w:line="301" w:lineRule="auto"/>
        <w:tabs>
          <w:tab w:leader="none" w:pos="960" w:val="left"/>
        </w:tabs>
        <w:numPr>
          <w:ilvl w:val="0"/>
          <w:numId w:val="43"/>
        </w:numPr>
        <w:rPr>
          <w:rFonts w:ascii="Arial" w:cs="Arial" w:eastAsia="Arial" w:hAnsi="Arial"/>
          <w:sz w:val="16"/>
          <w:szCs w:val="16"/>
          <w:color w:val="auto"/>
        </w:rPr>
      </w:pPr>
      <w:r>
        <w:rPr>
          <w:rFonts w:ascii="Arial" w:cs="Arial" w:eastAsia="Arial" w:hAnsi="Arial"/>
          <w:sz w:val="16"/>
          <w:szCs w:val="16"/>
          <w:i w:val="1"/>
          <w:i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Seeking one-way lease opportunities to move containers from lower demand locations to higher demand locations. </w:t>
      </w:r>
      <w:r>
        <w:rPr>
          <w:rFonts w:ascii="Arial" w:cs="Arial" w:eastAsia="Arial" w:hAnsi="Arial"/>
          <w:sz w:val="16"/>
          <w:szCs w:val="16"/>
          <w:color w:val="auto"/>
        </w:rPr>
        <w:t>One-way leases may</w:t>
      </w:r>
      <w:r>
        <w:rPr>
          <w:rFonts w:ascii="Arial" w:cs="Arial" w:eastAsia="Arial" w:hAnsi="Arial"/>
          <w:sz w:val="16"/>
          <w:szCs w:val="16"/>
          <w:i w:val="1"/>
          <w:iCs w:val="1"/>
          <w:color w:val="auto"/>
        </w:rPr>
        <w:t xml:space="preserve"> </w:t>
      </w:r>
      <w:r>
        <w:rPr>
          <w:rFonts w:ascii="Arial" w:cs="Arial" w:eastAsia="Arial" w:hAnsi="Arial"/>
          <w:sz w:val="16"/>
          <w:szCs w:val="16"/>
          <w:color w:val="auto"/>
        </w:rPr>
        <w:t>include incentives, such as free days, credits and limited damage waivers. The cost of offering these incentives is generally less than the cost we would incur if we were to pay to reposition the containers. We also use one-way leases to move containers from locations where the market price for selling containers is low to locations with a higher market price, to improve the resale value of the containers.</w:t>
      </w:r>
    </w:p>
    <w:p>
      <w:pPr>
        <w:spacing w:after="0" w:line="62" w:lineRule="exact"/>
        <w:rPr>
          <w:rFonts w:ascii="Arial" w:cs="Arial" w:eastAsia="Arial" w:hAnsi="Arial"/>
          <w:sz w:val="16"/>
          <w:szCs w:val="16"/>
          <w:color w:val="auto"/>
        </w:rPr>
      </w:pPr>
    </w:p>
    <w:p>
      <w:pPr>
        <w:ind w:left="960" w:right="100" w:hanging="532"/>
        <w:spacing w:after="0" w:line="342" w:lineRule="auto"/>
        <w:tabs>
          <w:tab w:leader="none" w:pos="960" w:val="left"/>
        </w:tabs>
        <w:numPr>
          <w:ilvl w:val="0"/>
          <w:numId w:val="43"/>
        </w:numPr>
        <w:rPr>
          <w:rFonts w:ascii="Arial" w:cs="Arial" w:eastAsia="Arial" w:hAnsi="Arial"/>
          <w:sz w:val="16"/>
          <w:szCs w:val="16"/>
          <w:color w:val="auto"/>
        </w:rPr>
      </w:pPr>
      <w:r>
        <w:rPr>
          <w:rFonts w:ascii="Arial" w:cs="Arial" w:eastAsia="Arial" w:hAnsi="Arial"/>
          <w:sz w:val="16"/>
          <w:szCs w:val="16"/>
          <w:i w:val="1"/>
          <w:iCs w:val="1"/>
          <w:color w:val="auto"/>
        </w:rPr>
        <w:t xml:space="preserve">Paying to reposition our containers to higher demand locations. </w:t>
      </w:r>
      <w:r>
        <w:rPr>
          <w:rFonts w:ascii="Arial" w:cs="Arial" w:eastAsia="Arial" w:hAnsi="Arial"/>
          <w:sz w:val="16"/>
          <w:szCs w:val="16"/>
          <w:color w:val="auto"/>
        </w:rPr>
        <w:t>At locations where our inventories remain high, despite the efforts</w:t>
      </w:r>
      <w:r>
        <w:rPr>
          <w:rFonts w:ascii="Arial" w:cs="Arial" w:eastAsia="Arial" w:hAnsi="Arial"/>
          <w:sz w:val="16"/>
          <w:szCs w:val="16"/>
          <w:i w:val="1"/>
          <w:iCs w:val="1"/>
          <w:color w:val="auto"/>
        </w:rPr>
        <w:t xml:space="preserve"> </w:t>
      </w:r>
      <w:r>
        <w:rPr>
          <w:rFonts w:ascii="Arial" w:cs="Arial" w:eastAsia="Arial" w:hAnsi="Arial"/>
          <w:sz w:val="16"/>
          <w:szCs w:val="16"/>
          <w:color w:val="auto"/>
        </w:rPr>
        <w:t>described above, we will selectively choose to pay to reposition excess containers to locations with higher demand or higher resale prices.</w:t>
      </w:r>
    </w:p>
    <w:p>
      <w:pPr>
        <w:spacing w:after="0" w:line="29" w:lineRule="exact"/>
        <w:rPr>
          <w:rFonts w:ascii="Arial" w:cs="Arial" w:eastAsia="Arial" w:hAnsi="Arial"/>
          <w:sz w:val="16"/>
          <w:szCs w:val="16"/>
          <w:color w:val="auto"/>
        </w:rPr>
      </w:pPr>
    </w:p>
    <w:p>
      <w:pPr>
        <w:ind w:left="960" w:right="260" w:hanging="532"/>
        <w:spacing w:after="0" w:line="277" w:lineRule="auto"/>
        <w:tabs>
          <w:tab w:leader="none" w:pos="960" w:val="left"/>
        </w:tabs>
        <w:numPr>
          <w:ilvl w:val="0"/>
          <w:numId w:val="43"/>
        </w:numPr>
        <w:rPr>
          <w:rFonts w:ascii="Arial" w:cs="Arial" w:eastAsia="Arial" w:hAnsi="Arial"/>
          <w:sz w:val="18"/>
          <w:szCs w:val="18"/>
          <w:color w:val="auto"/>
        </w:rPr>
      </w:pPr>
      <w:r>
        <w:rPr>
          <w:rFonts w:ascii="Arial" w:cs="Arial" w:eastAsia="Arial" w:hAnsi="Arial"/>
          <w:sz w:val="18"/>
          <w:szCs w:val="18"/>
          <w:i w:val="1"/>
          <w:iCs w:val="1"/>
          <w:color w:val="auto"/>
        </w:rPr>
        <w:t xml:space="preserve">Diversifying our customers. </w:t>
      </w:r>
      <w:r>
        <w:rPr>
          <w:rFonts w:ascii="Arial" w:cs="Arial" w:eastAsia="Arial" w:hAnsi="Arial"/>
          <w:sz w:val="18"/>
          <w:szCs w:val="18"/>
          <w:color w:val="auto"/>
        </w:rPr>
        <w:t>We have sought to diversify our customers and, correspondingly, the locations where containers are needed</w:t>
      </w:r>
      <w:r>
        <w:rPr>
          <w:rFonts w:ascii="Arial" w:cs="Arial" w:eastAsia="Arial" w:hAnsi="Arial"/>
          <w:sz w:val="18"/>
          <w:szCs w:val="18"/>
          <w:i w:val="1"/>
          <w:iCs w:val="1"/>
          <w:color w:val="auto"/>
        </w:rPr>
        <w:t xml:space="preserve"> </w:t>
      </w:r>
      <w:r>
        <w:rPr>
          <w:rFonts w:ascii="Arial" w:cs="Arial" w:eastAsia="Arial" w:hAnsi="Arial"/>
          <w:sz w:val="18"/>
          <w:szCs w:val="18"/>
          <w:color w:val="auto"/>
        </w:rPr>
        <w:t>around the world.</w:t>
      </w:r>
    </w:p>
    <w:p>
      <w:pPr>
        <w:spacing w:after="0" w:line="278"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Depot Management</w:t>
      </w:r>
    </w:p>
    <w:p>
      <w:pPr>
        <w:spacing w:after="0" w:line="117" w:lineRule="exact"/>
        <w:rPr>
          <w:sz w:val="20"/>
          <w:szCs w:val="20"/>
          <w:color w:val="auto"/>
        </w:rPr>
      </w:pPr>
    </w:p>
    <w:p>
      <w:pPr>
        <w:ind w:right="20" w:firstLine="440"/>
        <w:spacing w:after="0" w:line="253" w:lineRule="auto"/>
        <w:rPr>
          <w:sz w:val="20"/>
          <w:szCs w:val="20"/>
          <w:color w:val="auto"/>
        </w:rPr>
      </w:pPr>
      <w:r>
        <w:rPr>
          <w:rFonts w:ascii="Arial" w:cs="Arial" w:eastAsia="Arial" w:hAnsi="Arial"/>
          <w:sz w:val="18"/>
          <w:szCs w:val="18"/>
          <w:color w:val="auto"/>
        </w:rPr>
        <w:t>As of December 31, 2020, we managed our container fleet through approximately 400 independent container depot facilities in approximately 200 locations. Depot facilities are generally responsible for repairing containers when they are returned by lessees and for storing the containers while they are off-hire. Our operations group is responsible for managing our depot relationships and periodically visiting the depot facilities to conduct quality assurance audits to control costs and ensure repairs meet industry standards. We occasionally supplement our internal operations group with the use of independent inspection agents. Furthermore, depot repair work is periodically audited to prevent over-charging. We are in regular communication with our depot partners through the use of electronic data interchange (“EDI”) and/or e-mail. The electronic exchange of container activity information with each depot is conducted via the internet. As of December 31, 2020, a large majority of our off-lease inventory was located at depots that are able to report container activity and damage detail via EDI. We use the industry standard, ISO 9897 Container Equipment Data Exchange messages, for most EDI reporting.</w:t>
      </w:r>
    </w:p>
    <w:p>
      <w:pPr>
        <w:spacing w:after="0" w:line="196" w:lineRule="exact"/>
        <w:rPr>
          <w:sz w:val="20"/>
          <w:szCs w:val="20"/>
          <w:color w:val="auto"/>
        </w:rPr>
      </w:pPr>
    </w:p>
    <w:p>
      <w:pPr>
        <w:ind w:right="400" w:firstLine="440"/>
        <w:spacing w:after="0" w:line="311" w:lineRule="auto"/>
        <w:rPr>
          <w:sz w:val="20"/>
          <w:szCs w:val="20"/>
          <w:color w:val="auto"/>
        </w:rPr>
      </w:pPr>
      <w:r>
        <w:rPr>
          <w:rFonts w:ascii="Arial" w:cs="Arial" w:eastAsia="Arial" w:hAnsi="Arial"/>
          <w:sz w:val="16"/>
          <w:szCs w:val="16"/>
          <w:color w:val="auto"/>
        </w:rPr>
        <w:t>Most of the depot agency agreements follow a standard form and generally provide that the depot will be liable for loss or damage of off-hire containers and, in the event of loss, will pay us the previously agreed loss value of the applicable containers. The agreements require the depots to maintain insurance against container loss or damage and we carry insurance to cover the risk when a depot’s insurance proves insufficient.</w:t>
      </w:r>
    </w:p>
    <w:p>
      <w:pPr>
        <w:spacing w:after="0" w:line="149" w:lineRule="exact"/>
        <w:rPr>
          <w:sz w:val="20"/>
          <w:szCs w:val="20"/>
          <w:color w:val="auto"/>
        </w:rPr>
      </w:pPr>
    </w:p>
    <w:p>
      <w:pPr>
        <w:ind w:right="20" w:firstLine="440"/>
        <w:spacing w:after="0" w:line="291" w:lineRule="auto"/>
        <w:rPr>
          <w:sz w:val="20"/>
          <w:szCs w:val="20"/>
          <w:color w:val="auto"/>
        </w:rPr>
      </w:pPr>
      <w:r>
        <w:rPr>
          <w:rFonts w:ascii="Arial" w:cs="Arial" w:eastAsia="Arial" w:hAnsi="Arial"/>
          <w:sz w:val="16"/>
          <w:szCs w:val="16"/>
          <w:color w:val="auto"/>
        </w:rPr>
        <w:t>Our container repair standards and processes are generally managed in accordance with standards and procedures specified by the IICL. The IICL establishes and documents the acceptable interchange condition for containers and the repair procedures required to return damaged containers to the acceptable interchange condition. At the time that containers are returned by lessees, the depot arranges an inspection of the containers to assess the repairs required to return the containers to acceptable IICL condition. As part of the inspection process, damages are categorized either as lessee damage or normal wear and tear. Items typically designated as lessee damage include dents in the container and debris left in the container, while items such as rust are typically designated as normal wear and tear. In general, lessees are responsible for the lessee damage portion of the repair costs and we are responsible for normal wear and tear. The lessees are generally billed the lessee damage portion at the time the containers are returned.</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Management Services</w:t>
      </w:r>
    </w:p>
    <w:p>
      <w:pPr>
        <w:spacing w:after="0" w:line="117" w:lineRule="exact"/>
        <w:rPr>
          <w:sz w:val="20"/>
          <w:szCs w:val="20"/>
          <w:color w:val="auto"/>
        </w:rPr>
      </w:pPr>
    </w:p>
    <w:p>
      <w:pPr>
        <w:ind w:firstLine="440"/>
        <w:spacing w:after="0" w:line="269" w:lineRule="auto"/>
        <w:rPr>
          <w:sz w:val="20"/>
          <w:szCs w:val="20"/>
          <w:color w:val="auto"/>
        </w:rPr>
      </w:pPr>
      <w:r>
        <w:rPr>
          <w:rFonts w:ascii="Arial" w:cs="Arial" w:eastAsia="Arial" w:hAnsi="Arial"/>
          <w:sz w:val="17"/>
          <w:szCs w:val="17"/>
          <w:color w:val="auto"/>
        </w:rPr>
        <w:t>As of December 31, 2020, we owned 88% of the containers in our fleet and managed the rest on behalf of 13 unaffiliated container investors. We earn acquisition, management and disposal fees on managed containers. Our information technology (“IT”) systems track revenues and operating expenses attributable to specific containers and the container investors receive payments based on the net operating income of their own containers. Fees to manage containers typically include acquisition fees of 1% to 2% of the purchase price; daily management fees of 8% to 13% of net operating income; and disposal fees of 5% to 10% of cash proceeds when containers are sold. We earned combined acquisition, management and disposal fees on our managed fleet of $9.7 million, $15.2 million and $16.9 million for the years ended December 31, 2020, 2019 and 2018, respectively. If operating expenses were to exceed revenues, the container investors would be obligated to pay the excess or we would deduct the excess, including our management fee, from future net operating income. In some cases, we are compensated for sales through a percentage sharing of sales proceeds over an agreed floor amount. We will typically indemnify the container investors for liabilities or losses arising from negligence, willful misconduct or breach of our obligations in managing the</w:t>
      </w:r>
    </w:p>
    <w:p>
      <w:pPr>
        <w:spacing w:after="0" w:line="11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46</w:t>
      </w:r>
    </w:p>
    <w:p>
      <w:pPr>
        <w:sectPr>
          <w:pgSz w:w="11900" w:h="16838" w:orient="portrait"/>
          <w:cols w:equalWidth="0" w:num="1">
            <w:col w:w="11000"/>
          </w:cols>
          <w:pgMar w:left="440" w:top="274" w:right="459" w:bottom="1440" w:gutter="0" w:footer="0" w:header="0"/>
        </w:sectPr>
      </w:pPr>
    </w:p>
    <w:bookmarkStart w:id="60" w:name="page61"/>
    <w:bookmarkEnd w:id="60"/>
    <w:p>
      <w:pPr>
        <w:ind w:right="280"/>
        <w:spacing w:after="0" w:line="28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7174865" cy="38735"/>
                    </a:xfrm>
                    <a:prstGeom prst="rect">
                      <a:avLst/>
                    </a:prstGeom>
                    <a:noFill/>
                  </pic:spPr>
                </pic:pic>
              </a:graphicData>
            </a:graphic>
          </wp:anchor>
        </w:drawing>
        <w:t>containers. The container investors will indemnify us as the manager against any claims or losses arising with respect to the containers, provided that such claims or losses were not caused by our negligence, willful misconduct or breach of our obligations. Typically, the terms of the management agreements are for the expected economic useful life in marine service of the containers subject to the agreement.</w:t>
      </w:r>
    </w:p>
    <w:p>
      <w:pPr>
        <w:spacing w:after="0" w:line="165" w:lineRule="exact"/>
        <w:rPr>
          <w:sz w:val="20"/>
          <w:szCs w:val="20"/>
          <w:color w:val="auto"/>
        </w:rPr>
      </w:pPr>
    </w:p>
    <w:p>
      <w:pPr>
        <w:ind w:right="220" w:firstLine="440"/>
        <w:spacing w:after="0" w:line="293" w:lineRule="auto"/>
        <w:rPr>
          <w:sz w:val="20"/>
          <w:szCs w:val="20"/>
          <w:color w:val="auto"/>
        </w:rPr>
      </w:pPr>
      <w:r>
        <w:rPr>
          <w:rFonts w:ascii="Arial" w:cs="Arial" w:eastAsia="Arial" w:hAnsi="Arial"/>
          <w:sz w:val="16"/>
          <w:szCs w:val="16"/>
          <w:color w:val="auto"/>
        </w:rPr>
        <w:t>In June 2003, we entered into our first contract with the U.S. Transportation Command Directorate of Acquisition (“USTranscom”) pursuant to which we serve as a major supplier of leased marine containers to the U.S. Military. Compared to our shipping line customers, we provide a much broader level of services to the U.S. Military under the USTranscom contract. Furthermore, unlike our shipping line customers, who pick up from and return containers to container depots, for the U.S. Military we are required to arrange transportation from a container depot to a military facility upon lease out and to pick up a container at a military facility and return it to a container depot when the lease period has ended. This requires us to arrange for movement of the empty containers by truck, rail and/or vessel. The USTranscom contract provides added compensation for these services.</w:t>
      </w:r>
    </w:p>
    <w:p>
      <w:pPr>
        <w:spacing w:after="0" w:line="164" w:lineRule="exact"/>
        <w:rPr>
          <w:sz w:val="20"/>
          <w:szCs w:val="20"/>
          <w:color w:val="auto"/>
        </w:rPr>
      </w:pPr>
    </w:p>
    <w:p>
      <w:pPr>
        <w:ind w:right="20" w:firstLine="440"/>
        <w:spacing w:after="0" w:line="290" w:lineRule="auto"/>
        <w:rPr>
          <w:sz w:val="20"/>
          <w:szCs w:val="20"/>
          <w:color w:val="auto"/>
        </w:rPr>
      </w:pPr>
      <w:r>
        <w:rPr>
          <w:rFonts w:ascii="Arial" w:cs="Arial" w:eastAsia="Arial" w:hAnsi="Arial"/>
          <w:sz w:val="16"/>
          <w:szCs w:val="16"/>
          <w:color w:val="auto"/>
        </w:rPr>
        <w:t>This contract also allows the U.S. Military to return containers in many locations throughout the world. Since the inception of the initial USTranscom contract, we have delivered or transitioned approximately 188,000 containers and chassis to the U.S. Military, of which approximately 129,000 containers have been returned. In addition, approximately 57,000 containers have been reported as unaccounted for and the U.S. Military paid a stipulated loss value for each such container. The initial USTranscom contract expired on June 23, 2013 and we were awarded a new contract on December 12, 2013. The new contract covered a base year starting on December 24, 2013 and was subsequently renewed annually from 2014 to 2017. This second USTranscom contract expired on September 30, 2018 and was extended through February 28, 2019. Textainer, as one of three vendors, was awarded a new contract on January 28, 2019. The new contract covers a base year starting on March 1, 2019, with four option years running through February 29, 2024. On March 1, 2021, Textainer exercised the right to supply containers for the third out of five years (or second option year).</w:t>
      </w:r>
    </w:p>
    <w:p>
      <w:pPr>
        <w:spacing w:after="0" w:line="27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Resale of Containers</w:t>
      </w:r>
    </w:p>
    <w:p>
      <w:pPr>
        <w:spacing w:after="0" w:line="117" w:lineRule="exact"/>
        <w:rPr>
          <w:sz w:val="20"/>
          <w:szCs w:val="20"/>
          <w:color w:val="auto"/>
        </w:rPr>
      </w:pPr>
    </w:p>
    <w:p>
      <w:pPr>
        <w:ind w:firstLine="440"/>
        <w:spacing w:after="0" w:line="290" w:lineRule="auto"/>
        <w:rPr>
          <w:sz w:val="20"/>
          <w:szCs w:val="20"/>
          <w:color w:val="auto"/>
        </w:rPr>
      </w:pPr>
      <w:r>
        <w:rPr>
          <w:rFonts w:ascii="Arial" w:cs="Arial" w:eastAsia="Arial" w:hAnsi="Arial"/>
          <w:sz w:val="16"/>
          <w:szCs w:val="16"/>
          <w:color w:val="auto"/>
        </w:rPr>
        <w:t>Our Resale Division sells off-hire containers from our fleet at the end, typically about 13 years, of their useful lives in marine service or when we believe it is financially attractive for us to do so, considering the location, sale price, cost of repair, and possible repositioning expenses. In addition, we buy new trading containers and used trading containers from shipping lines and other third parties that we then lease or resell. Our Resale Division has a team of 18 container sales and operations specialists in five offices globally that manage the sale process for these used containers. Our Resale Division is one of the largest sellers of used containers among container lessors, selling an average of approximately 150,000 containers per year for the last five years to more than 1,500 customers. From 2016 through 2020, this Division generated $70.6 million in income before income tax and noncontrolling interests, including $16.4 million during 2020. We generally sell containers to depots, domestic storage companies, freight forwarders (who often use the containers for one-way trips into less developed countries) and other purchasers of used containers.</w:t>
      </w:r>
    </w:p>
    <w:p>
      <w:pPr>
        <w:spacing w:after="0" w:line="27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Underwriting and Credit Controls</w:t>
      </w:r>
    </w:p>
    <w:p>
      <w:pPr>
        <w:spacing w:after="0" w:line="117" w:lineRule="exact"/>
        <w:rPr>
          <w:sz w:val="20"/>
          <w:szCs w:val="20"/>
          <w:color w:val="auto"/>
        </w:rPr>
      </w:pPr>
    </w:p>
    <w:p>
      <w:pPr>
        <w:ind w:right="200" w:firstLine="440"/>
        <w:spacing w:after="0" w:line="272" w:lineRule="auto"/>
        <w:rPr>
          <w:sz w:val="20"/>
          <w:szCs w:val="20"/>
          <w:color w:val="auto"/>
        </w:rPr>
      </w:pPr>
      <w:r>
        <w:rPr>
          <w:rFonts w:ascii="Arial" w:cs="Arial" w:eastAsia="Arial" w:hAnsi="Arial"/>
          <w:sz w:val="17"/>
          <w:szCs w:val="17"/>
          <w:color w:val="auto"/>
        </w:rPr>
        <w:t>We only lease to container shipping lines and other lessees or sell to buyers that meet our credit criteria. Our credit approval process is rigorous, and our underwriting and credit decisions are controlled by our credit committee, which is made up of senior management from different disciplines. Our credit committee sets different maximum exposure limits depending on our relationship and previous experience with each customer lessee and container sales customer. Credit criteria may include, but are not limited to, trade route, country, social and political climate, assessments of financial performance including net worth and profitability, asset ownership, bank and trade credit references, credit bureau reports, operational history and financial strength. Our marketing and resale staff are also responsible for collections, which positively contributes to our strong collection and credit approval process through our staff’s close communication with our customers.</w:t>
      </w:r>
    </w:p>
    <w:p>
      <w:pPr>
        <w:spacing w:after="0" w:line="1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47</w:t>
      </w:r>
    </w:p>
    <w:p>
      <w:pPr>
        <w:sectPr>
          <w:pgSz w:w="11900" w:h="16838" w:orient="portrait"/>
          <w:cols w:equalWidth="0" w:num="1">
            <w:col w:w="11000"/>
          </w:cols>
          <w:pgMar w:left="440" w:top="274" w:right="459" w:bottom="1440" w:gutter="0" w:footer="0" w:header="0"/>
        </w:sectPr>
      </w:pPr>
    </w:p>
    <w:bookmarkStart w:id="61" w:name="page62"/>
    <w:bookmarkEnd w:id="61"/>
    <w:p>
      <w:pPr>
        <w:ind w:right="160" w:firstLine="440"/>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7174865" cy="38735"/>
                    </a:xfrm>
                    <a:prstGeom prst="rect">
                      <a:avLst/>
                    </a:prstGeom>
                    <a:noFill/>
                  </pic:spPr>
                </pic:pic>
              </a:graphicData>
            </a:graphic>
          </wp:anchor>
        </w:drawing>
        <w:t>Our credit department sets and reviews credit limits for new and existing customer lessees and container sales customers, monitors compliance with those limits on an on-going basis, monitors collections, and deals with customers in default. Our credit committee meets regularly to assess performance of our container lessees and to recommend actions to be taken in order to reduce credit risks. Our underwriting processes are aided by the long payment experience we have with most of our customer lessees and container sales customers, our broad network of relationships in the container shipping industry that provides current information about customer lessees’ and container sales customers’ market reputations and our focus on collections.</w:t>
      </w:r>
    </w:p>
    <w:p>
      <w:pPr>
        <w:spacing w:after="0" w:line="192" w:lineRule="exact"/>
        <w:rPr>
          <w:sz w:val="20"/>
          <w:szCs w:val="20"/>
          <w:color w:val="auto"/>
        </w:rPr>
      </w:pPr>
    </w:p>
    <w:p>
      <w:pPr>
        <w:ind w:right="60" w:firstLine="440"/>
        <w:spacing w:after="0" w:line="273" w:lineRule="auto"/>
        <w:rPr>
          <w:sz w:val="20"/>
          <w:szCs w:val="20"/>
          <w:color w:val="auto"/>
        </w:rPr>
      </w:pPr>
      <w:r>
        <w:rPr>
          <w:rFonts w:ascii="Arial" w:cs="Arial" w:eastAsia="Arial" w:hAnsi="Arial"/>
          <w:sz w:val="17"/>
          <w:szCs w:val="17"/>
          <w:color w:val="auto"/>
        </w:rPr>
        <w:t>Other factors reducing losses due to default by a lessee or customer include the growth in the container shipping industry, our constant monitoring of collections, effective collection mechanism, our historically high recovery rate for containers in default situations and the re-marketability of our container fleet. The growth in the container shipping industry helps reduce the risk of customer defaults since the core assets of a poorly performing shipping line, its ships and containers, have historically been needed to meet the demand for world containerized trade. In addition, the law in several major port locations is highly favorable to creditors and many of our large customers call on ports that will allow us to arrest, or seize, the customers’ ships or fuel storage bunkers, or repossess our containers if the customer is in default under our container leases.</w:t>
      </w:r>
    </w:p>
    <w:p>
      <w:pPr>
        <w:spacing w:after="0" w:line="178" w:lineRule="exact"/>
        <w:rPr>
          <w:sz w:val="20"/>
          <w:szCs w:val="20"/>
          <w:color w:val="auto"/>
        </w:rPr>
      </w:pPr>
    </w:p>
    <w:p>
      <w:pPr>
        <w:ind w:firstLine="440"/>
        <w:spacing w:after="0" w:line="288" w:lineRule="auto"/>
        <w:rPr>
          <w:sz w:val="20"/>
          <w:szCs w:val="20"/>
          <w:color w:val="auto"/>
        </w:rPr>
      </w:pPr>
      <w:r>
        <w:rPr>
          <w:rFonts w:ascii="Arial" w:cs="Arial" w:eastAsia="Arial" w:hAnsi="Arial"/>
          <w:sz w:val="16"/>
          <w:szCs w:val="16"/>
          <w:color w:val="auto"/>
        </w:rPr>
        <w:t>Over the past five years, we recovered, on average, 89% of the containers that were the subject of defaulted contracts which we had completed the recovery process and at least 1,000 CEU on lease. In connection with the Hanjin bankruptcy, 94% of the containers leased to Hanjin have been turned in, with the balance of the containers uneconomic or impossible to recover. We maintained insurance that covered certain costs and losses from customer defaults. At the time of the Hanjin default our policy provided for $80 million of coverage after a $5 million deductible was met. We collected substantially all of our insurance claim related to the Hanjin insolvency and after receiving subrogation waivers from our insurers, in the fourth quarter of 2019 we received payments directly from the Hanjin bankruptcy estate, however this was insufficient to cover all of our losses and disruptions related to Hanjin. We typically incur operating expenses such as repairs and repositioning when containers are recovered after a default. While we previously maintained insurance to cover some defaults, recent premium increases, large deductible amounts and significant policy exclusions made the coverage uneconomic and we determined to let our coverage lapse for 2021. Due to the above, over the last five years, our write-offs of customer receivables for our owned and managed fleet have averaged 1.5% of our lease rental income over such period.</w:t>
      </w:r>
    </w:p>
    <w:p>
      <w:pPr>
        <w:spacing w:after="0" w:line="27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Marketing and Customer Service</w:t>
      </w:r>
    </w:p>
    <w:p>
      <w:pPr>
        <w:spacing w:after="0" w:line="121" w:lineRule="exact"/>
        <w:rPr>
          <w:sz w:val="20"/>
          <w:szCs w:val="20"/>
          <w:color w:val="auto"/>
        </w:rPr>
      </w:pPr>
    </w:p>
    <w:p>
      <w:pPr>
        <w:ind w:right="120" w:firstLine="440"/>
        <w:spacing w:after="0" w:line="257" w:lineRule="auto"/>
        <w:rPr>
          <w:sz w:val="20"/>
          <w:szCs w:val="20"/>
          <w:color w:val="auto"/>
        </w:rPr>
      </w:pPr>
      <w:r>
        <w:rPr>
          <w:rFonts w:ascii="Arial" w:cs="Arial" w:eastAsia="Arial" w:hAnsi="Arial"/>
          <w:sz w:val="18"/>
          <w:szCs w:val="18"/>
          <w:color w:val="auto"/>
        </w:rPr>
        <w:t>Our global sales and customer service force is responsible for developing and maintaining relationships with senior management staff at our shipping line customers, negotiating lease contracts and maintaining day-to-day coordination with operations staff. This close customer communication often assists us in negotiating lease contracts that satisfy both our financial return requirements and our customers’ operating needs. It also makes us more likely to be aware of our customers’ potential equipment shortages and makes our customers more likely to be aware of our available container inventories.</w:t>
      </w:r>
    </w:p>
    <w:p>
      <w:pPr>
        <w:spacing w:after="0" w:line="188" w:lineRule="exact"/>
        <w:rPr>
          <w:sz w:val="20"/>
          <w:szCs w:val="20"/>
          <w:color w:val="auto"/>
        </w:rPr>
      </w:pPr>
    </w:p>
    <w:p>
      <w:pPr>
        <w:ind w:right="440" w:firstLine="440"/>
        <w:spacing w:after="0" w:line="286" w:lineRule="auto"/>
        <w:rPr>
          <w:sz w:val="20"/>
          <w:szCs w:val="20"/>
          <w:color w:val="auto"/>
        </w:rPr>
      </w:pPr>
      <w:r>
        <w:rPr>
          <w:rFonts w:ascii="Arial" w:cs="Arial" w:eastAsia="Arial" w:hAnsi="Arial"/>
          <w:sz w:val="17"/>
          <w:szCs w:val="17"/>
          <w:color w:val="auto"/>
        </w:rPr>
        <w:t>Our senior sales people have considerable industry experience and we believe that the quality of our customer relationships and the level of communication with our customers represent an important advantage for us. As of December 31, 2020 our global sales and customer service group consisted of 82 people, with 14 in North America, 44 in Asia and Australia, 18 in Europe and 6 in Africa.</w:t>
      </w:r>
    </w:p>
    <w:p>
      <w:pPr>
        <w:spacing w:after="0" w:line="2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Customers</w:t>
      </w:r>
    </w:p>
    <w:p>
      <w:pPr>
        <w:spacing w:after="0" w:line="121" w:lineRule="exact"/>
        <w:rPr>
          <w:sz w:val="20"/>
          <w:szCs w:val="20"/>
          <w:color w:val="auto"/>
        </w:rPr>
      </w:pPr>
    </w:p>
    <w:p>
      <w:pPr>
        <w:ind w:right="120" w:firstLine="440"/>
        <w:spacing w:after="0" w:line="291" w:lineRule="auto"/>
        <w:rPr>
          <w:sz w:val="20"/>
          <w:szCs w:val="20"/>
          <w:color w:val="auto"/>
        </w:rPr>
      </w:pPr>
      <w:r>
        <w:rPr>
          <w:rFonts w:ascii="Arial" w:cs="Arial" w:eastAsia="Arial" w:hAnsi="Arial"/>
          <w:sz w:val="16"/>
          <w:szCs w:val="16"/>
          <w:color w:val="auto"/>
        </w:rPr>
        <w:t>We believe that our staff, organization and long presence in the business have resulted in very strong relationships with our shipping line customers. Our top 20 customers, as measured by lease billings of our total owned and managed fleet, have on average been our customers for 27 years and have an average Dynamar credit rating, a common credit report used in the maritime sector, of 3.7 as of December 31, 2020. The Dynamar credit rating ranges from 1 to 10, with 1 indicating low credit risk. Our top 20 customers include almost all of the world’s largest shipping lines, as measured by container vessel fleet size. We currently have containers on-hire to approximately 250 customers. Our customers are mainly international shipping lines, but we also lease containers to freight forwarding companies and the U.S. Military. Our top 20 and top 5 customers accounted for approximately 87.3% and 54.0%, respectively, of our total owned and managed fleet’s 2020 lease billings. Our two largest customers in 2020 were Mediterranean</w:t>
      </w:r>
    </w:p>
    <w:p>
      <w:pPr>
        <w:spacing w:after="0" w:line="9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48</w:t>
      </w:r>
    </w:p>
    <w:p>
      <w:pPr>
        <w:sectPr>
          <w:pgSz w:w="11900" w:h="16838" w:orient="portrait"/>
          <w:cols w:equalWidth="0" w:num="1">
            <w:col w:w="11020"/>
          </w:cols>
          <w:pgMar w:left="440" w:top="274" w:right="439" w:bottom="1440" w:gutter="0" w:footer="0" w:header="0"/>
        </w:sectPr>
      </w:pPr>
    </w:p>
    <w:bookmarkStart w:id="62" w:name="page63"/>
    <w:bookmarkEnd w:id="62"/>
    <w:p>
      <w:pPr>
        <w:ind w:right="100"/>
        <w:spacing w:after="0" w:line="273"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Shipping Company S.A., which accounted for $136.6 million or 20.5% and CMA-CGM S.A., which accounted for $84.5 million or 12.7% of our total owned and managed fleet’s 2020 lease billings. A default by any of our major customers, such as the bankruptcy of Hanjin in 2016, could have a material adverse impact on our business, results from operations and financial condition. In addition, the largest lessees of our owned fleet are often among the largest lessees of our managed fleet. The largest lessees of our managed fleet are responsible for a significant portion of the billings that generate our management fee revenue. For further discussion, see Note 1 “Nature of Business and Summary of Significant Accounting Policies” to our consolidated statements in Item 18, </w:t>
      </w:r>
      <w:r>
        <w:rPr>
          <w:rFonts w:ascii="Arial" w:cs="Arial" w:eastAsia="Arial" w:hAnsi="Arial"/>
          <w:sz w:val="17"/>
          <w:szCs w:val="17"/>
          <w:i w:val="1"/>
          <w:iCs w:val="1"/>
          <w:color w:val="auto"/>
        </w:rPr>
        <w:t>“Financial Statements”</w:t>
      </w:r>
      <w:r>
        <w:rPr>
          <w:rFonts w:ascii="Arial" w:cs="Arial" w:eastAsia="Arial" w:hAnsi="Arial"/>
          <w:sz w:val="17"/>
          <w:szCs w:val="17"/>
          <w:color w:val="auto"/>
        </w:rPr>
        <w:t xml:space="preserve"> in this Annual Report on Form 20-F.</w:t>
      </w:r>
    </w:p>
    <w:p>
      <w:pPr>
        <w:spacing w:after="0" w:line="28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Proprietary Information Technology</w:t>
      </w:r>
    </w:p>
    <w:p>
      <w:pPr>
        <w:spacing w:after="0" w:line="121" w:lineRule="exact"/>
        <w:rPr>
          <w:sz w:val="20"/>
          <w:szCs w:val="20"/>
          <w:color w:val="auto"/>
        </w:rPr>
      </w:pPr>
    </w:p>
    <w:p>
      <w:pPr>
        <w:ind w:right="40" w:firstLine="440"/>
        <w:spacing w:after="0" w:line="257" w:lineRule="auto"/>
        <w:rPr>
          <w:sz w:val="20"/>
          <w:szCs w:val="20"/>
          <w:color w:val="auto"/>
        </w:rPr>
      </w:pPr>
      <w:r>
        <w:rPr>
          <w:rFonts w:ascii="Arial" w:cs="Arial" w:eastAsia="Arial" w:hAnsi="Arial"/>
          <w:sz w:val="18"/>
          <w:szCs w:val="18"/>
          <w:color w:val="auto"/>
        </w:rPr>
        <w:t>We have developed proprietary IT systems that allow us to monitor container status and offer our customers a high level of service. Our systems include internet-based updates regarding container availability and booking status. Our systems record the status of and provide the accounting and billing for each of our containers individually by container number. We also have the ability to produce complete management reports for each portfolio of equipment we own and manage. This makes us a preferred candidate to quickly assume management of competitors’ container fleets. We also maintain proprietary technology in support of our military business.</w:t>
      </w:r>
    </w:p>
    <w:p>
      <w:pPr>
        <w:spacing w:after="0" w:line="188" w:lineRule="exact"/>
        <w:rPr>
          <w:sz w:val="20"/>
          <w:szCs w:val="20"/>
          <w:color w:val="auto"/>
        </w:rPr>
      </w:pPr>
    </w:p>
    <w:p>
      <w:pPr>
        <w:ind w:right="180" w:firstLine="440"/>
        <w:spacing w:after="0" w:line="259" w:lineRule="auto"/>
        <w:rPr>
          <w:sz w:val="20"/>
          <w:szCs w:val="20"/>
          <w:color w:val="auto"/>
        </w:rPr>
      </w:pPr>
      <w:r>
        <w:rPr>
          <w:rFonts w:ascii="Arial" w:cs="Arial" w:eastAsia="Arial" w:hAnsi="Arial"/>
          <w:sz w:val="18"/>
          <w:szCs w:val="18"/>
          <w:color w:val="auto"/>
        </w:rPr>
        <w:t xml:space="preserve">In addition, our systems allow our business partners to conduct certain business with us through our website, </w:t>
      </w:r>
      <w:r>
        <w:rPr>
          <w:rFonts w:ascii="Arial" w:cs="Arial" w:eastAsia="Arial" w:hAnsi="Arial"/>
          <w:sz w:val="18"/>
          <w:szCs w:val="18"/>
          <w:i w:val="1"/>
          <w:iCs w:val="1"/>
          <w:color w:val="auto"/>
        </w:rPr>
        <w:t>www.textainer.com.</w:t>
      </w:r>
      <w:r>
        <w:rPr>
          <w:rFonts w:ascii="Arial" w:cs="Arial" w:eastAsia="Arial" w:hAnsi="Arial"/>
          <w:sz w:val="18"/>
          <w:szCs w:val="18"/>
          <w:color w:val="auto"/>
        </w:rPr>
        <w:t xml:space="preserve"> These systems allow customers to check our container inventories, review design specifications, request bookings for container pick-ups, create redelivery bookings and review and approve repair bills. Our website also allows depots to download recent statements for self-billing activity and to check the status of containers.</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Suppliers</w:t>
      </w:r>
    </w:p>
    <w:p>
      <w:pPr>
        <w:spacing w:after="0" w:line="121" w:lineRule="exact"/>
        <w:rPr>
          <w:sz w:val="20"/>
          <w:szCs w:val="20"/>
          <w:color w:val="auto"/>
        </w:rPr>
      </w:pPr>
    </w:p>
    <w:p>
      <w:pPr>
        <w:ind w:firstLine="440"/>
        <w:spacing w:after="0" w:line="255" w:lineRule="auto"/>
        <w:rPr>
          <w:sz w:val="20"/>
          <w:szCs w:val="20"/>
          <w:color w:val="auto"/>
        </w:rPr>
      </w:pPr>
      <w:r>
        <w:rPr>
          <w:rFonts w:ascii="Arial" w:cs="Arial" w:eastAsia="Arial" w:hAnsi="Arial"/>
          <w:sz w:val="18"/>
          <w:szCs w:val="18"/>
          <w:color w:val="auto"/>
        </w:rPr>
        <w:t>We have long relationships with all of our major suppliers. We currently purchase all of our containers in the PRC. There are currently three major manufacturers, in addition to few smaller manufacturers, of dry freight standard and specialized containers. Our operations staff reviews the designs for our containers and periodically audits the production facilities of our suppliers. In addition, we use our Asian operations group and occasionally third-party inspectors to visit factories when our containers are being produced to provide an extra layer of quality control. Nevertheless, defects in our containers do sometimes occur. We work with the manufacturers to correct these defects, and our manufacturers have generally honored their warranty obligations in such cases.</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Competition</w:t>
      </w:r>
    </w:p>
    <w:p>
      <w:pPr>
        <w:spacing w:after="0" w:line="121" w:lineRule="exact"/>
        <w:rPr>
          <w:sz w:val="20"/>
          <w:szCs w:val="20"/>
          <w:color w:val="auto"/>
        </w:rPr>
      </w:pPr>
    </w:p>
    <w:p>
      <w:pPr>
        <w:ind w:right="80" w:firstLine="440"/>
        <w:spacing w:after="0" w:line="263" w:lineRule="auto"/>
        <w:rPr>
          <w:sz w:val="20"/>
          <w:szCs w:val="20"/>
          <w:color w:val="auto"/>
        </w:rPr>
      </w:pPr>
      <w:r>
        <w:rPr>
          <w:rFonts w:ascii="Arial" w:cs="Arial" w:eastAsia="Arial" w:hAnsi="Arial"/>
          <w:sz w:val="18"/>
          <w:szCs w:val="18"/>
          <w:color w:val="auto"/>
        </w:rPr>
        <w:t>We compete with at least six other major container leasing companies in addition to many smaller lessors, companies and financial institutions offering finance leases, and promoters of container ownership and leasing as a tax-efficient investment. It is common for our shipping line customers to utilize several leasing companies to meet their container needs.</w:t>
      </w:r>
    </w:p>
    <w:p>
      <w:pPr>
        <w:spacing w:after="0" w:line="184" w:lineRule="exact"/>
        <w:rPr>
          <w:sz w:val="20"/>
          <w:szCs w:val="20"/>
          <w:color w:val="auto"/>
        </w:rPr>
      </w:pPr>
    </w:p>
    <w:p>
      <w:pPr>
        <w:ind w:right="80" w:firstLine="440"/>
        <w:spacing w:after="0" w:line="254" w:lineRule="auto"/>
        <w:rPr>
          <w:sz w:val="20"/>
          <w:szCs w:val="20"/>
          <w:color w:val="auto"/>
        </w:rPr>
      </w:pPr>
      <w:r>
        <w:rPr>
          <w:rFonts w:ascii="Arial" w:cs="Arial" w:eastAsia="Arial" w:hAnsi="Arial"/>
          <w:sz w:val="18"/>
          <w:szCs w:val="18"/>
          <w:color w:val="auto"/>
        </w:rPr>
        <w:t>Other lessors compete with us in many ways, including pricing, lease flexibility and supply reliability, as well as the location, availability, quality and individual characteristics of their containers and customer service. While we are forced to compete aggressively on price, we emphasize our supply reliability and high level of customer service to our customers. We invest heavily to ensure container availability in higher demand locations. We dedicate a large part of our organization to building customer relationships, maintaining close day-to-day coordination with customers’ operating staff and have developed powerful and user-friendly systems that allow our customers to transact business with us through the internet. We believe that our close customer relationships, experienced staff, reputation for market leadership, scale efficiencies and proprietary systems provide important competitive advantages.</w:t>
      </w:r>
    </w:p>
    <w:p>
      <w:pPr>
        <w:spacing w:after="0" w:line="12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49</w:t>
      </w:r>
    </w:p>
    <w:p>
      <w:pPr>
        <w:sectPr>
          <w:pgSz w:w="11900" w:h="16838" w:orient="portrait"/>
          <w:cols w:equalWidth="0" w:num="1">
            <w:col w:w="10980"/>
          </w:cols>
          <w:pgMar w:left="440" w:top="274" w:right="479" w:bottom="1440" w:gutter="0" w:footer="0" w:header="0"/>
        </w:sectPr>
      </w:pPr>
    </w:p>
    <w:bookmarkStart w:id="63" w:name="page64"/>
    <w:bookmarkEnd w:id="63"/>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7174865" cy="38735"/>
                    </a:xfrm>
                    <a:prstGeom prst="rect">
                      <a:avLst/>
                    </a:prstGeom>
                    <a:noFill/>
                  </pic:spPr>
                </pic:pic>
              </a:graphicData>
            </a:graphic>
          </wp:anchor>
        </w:drawing>
        <w:t>Legal Proceedings</w:t>
      </w:r>
    </w:p>
    <w:p>
      <w:pPr>
        <w:spacing w:after="0" w:line="121" w:lineRule="exact"/>
        <w:rPr>
          <w:sz w:val="20"/>
          <w:szCs w:val="20"/>
          <w:color w:val="auto"/>
        </w:rPr>
      </w:pPr>
    </w:p>
    <w:p>
      <w:pPr>
        <w:ind w:right="200" w:firstLine="440"/>
        <w:spacing w:after="0" w:line="301" w:lineRule="auto"/>
        <w:rPr>
          <w:sz w:val="20"/>
          <w:szCs w:val="20"/>
          <w:color w:val="auto"/>
        </w:rPr>
      </w:pPr>
      <w:r>
        <w:rPr>
          <w:rFonts w:ascii="Arial" w:cs="Arial" w:eastAsia="Arial" w:hAnsi="Arial"/>
          <w:sz w:val="16"/>
          <w:szCs w:val="16"/>
          <w:color w:val="auto"/>
        </w:rPr>
        <w:t>From time to time we are a party to litigation matters arising in connection with the normal course of our business. While we cannot predict the outcome of these matters, in the opinion of our management, any liability arising from these matters will not have a material adverse effect on our business. Nevertheless, unexpected adverse future events, such as an unforeseen development in our existing proceedings, new claims brought against us or changes in our current insurance arrangements could result in liabilities that have a material adverse impact on our business.</w:t>
      </w:r>
    </w:p>
    <w:p>
      <w:pPr>
        <w:spacing w:after="0" w:line="2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Environmental</w:t>
      </w:r>
    </w:p>
    <w:p>
      <w:pPr>
        <w:spacing w:after="0" w:line="121" w:lineRule="exact"/>
        <w:rPr>
          <w:sz w:val="20"/>
          <w:szCs w:val="20"/>
          <w:color w:val="auto"/>
        </w:rPr>
      </w:pPr>
    </w:p>
    <w:p>
      <w:pPr>
        <w:jc w:val="both"/>
        <w:ind w:right="60" w:firstLine="440"/>
        <w:spacing w:after="0" w:line="301" w:lineRule="auto"/>
        <w:rPr>
          <w:sz w:val="20"/>
          <w:szCs w:val="20"/>
          <w:color w:val="auto"/>
        </w:rPr>
      </w:pPr>
      <w:r>
        <w:rPr>
          <w:rFonts w:ascii="Arial" w:cs="Arial" w:eastAsia="Arial" w:hAnsi="Arial"/>
          <w:sz w:val="16"/>
          <w:szCs w:val="16"/>
          <w:color w:val="auto"/>
        </w:rPr>
        <w:t>We are subject to federal, state, local and foreign laws and regulations relating to the protection of the environment, including those governing the discharge of pollutants to air and water, the management and disposal of hazardous substances and wastes and the cleanup of contaminated sites. While we maintain certain limited liability insurance coverage as well as require our lessees to provide us with indemnity against certain losses, the insurance coverage may not be sufficient to protect us against losses arising from environmental damage and/or systems or services we may be required to install.</w:t>
      </w:r>
    </w:p>
    <w:p>
      <w:pPr>
        <w:spacing w:after="0" w:line="157" w:lineRule="exact"/>
        <w:rPr>
          <w:sz w:val="20"/>
          <w:szCs w:val="20"/>
          <w:color w:val="auto"/>
        </w:rPr>
      </w:pPr>
    </w:p>
    <w:p>
      <w:pPr>
        <w:ind w:right="160" w:firstLine="440"/>
        <w:spacing w:after="0" w:line="272" w:lineRule="auto"/>
        <w:rPr>
          <w:sz w:val="20"/>
          <w:szCs w:val="20"/>
          <w:color w:val="auto"/>
        </w:rPr>
      </w:pPr>
      <w:r>
        <w:rPr>
          <w:rFonts w:ascii="Arial" w:cs="Arial" w:eastAsia="Arial" w:hAnsi="Arial"/>
          <w:sz w:val="17"/>
          <w:szCs w:val="17"/>
          <w:color w:val="auto"/>
        </w:rPr>
        <w:t>In addition to environmental regulations affecting container movement, shipping, movement and spillage, environmental regulations also impact container production and operation, including regulations on the use of chemical refrigerants (i.e. CFC’s and solvent-based paints) due to their ozone depleting and global warming effects, and regulations on the cutting and export of hardwood due to concerns regarding de-forestation and climate change. These environmental regulations may impact the future repair and operating costs for these containers and we could be required to incur large retrofitting expenses for our refrigerated containers. To comply with the new regulations, new water bome paint systems have been developed and are being used by container manufacturers. The conversion to water borne paint may impact factory capacity, increase the cost of containers and require greater investment by us in container inspection and factory supervision.</w:t>
      </w:r>
    </w:p>
    <w:p>
      <w:pPr>
        <w:spacing w:after="0" w:line="177" w:lineRule="exact"/>
        <w:rPr>
          <w:sz w:val="20"/>
          <w:szCs w:val="20"/>
          <w:color w:val="auto"/>
        </w:rPr>
      </w:pPr>
    </w:p>
    <w:p>
      <w:pPr>
        <w:ind w:firstLine="440"/>
        <w:spacing w:after="0" w:line="277" w:lineRule="auto"/>
        <w:rPr>
          <w:sz w:val="20"/>
          <w:szCs w:val="20"/>
          <w:color w:val="auto"/>
        </w:rPr>
      </w:pPr>
      <w:r>
        <w:rPr>
          <w:rFonts w:ascii="Arial" w:cs="Arial" w:eastAsia="Arial" w:hAnsi="Arial"/>
          <w:sz w:val="18"/>
          <w:szCs w:val="18"/>
          <w:color w:val="auto"/>
        </w:rPr>
        <w:t xml:space="preserve">For further discussions, see Item 3, </w:t>
      </w:r>
      <w:r>
        <w:rPr>
          <w:rFonts w:ascii="Arial" w:cs="Arial" w:eastAsia="Arial" w:hAnsi="Arial"/>
          <w:sz w:val="18"/>
          <w:szCs w:val="18"/>
          <w:i w:val="1"/>
          <w:iCs w:val="1"/>
          <w:color w:val="auto"/>
        </w:rPr>
        <w:t>“Key Information — Risk Factors – Environmental liability and regulations may adversely affect our business,</w:t>
      </w:r>
      <w:r>
        <w:rPr>
          <w:rFonts w:ascii="Arial" w:cs="Arial" w:eastAsia="Arial" w:hAnsi="Arial"/>
          <w:sz w:val="18"/>
          <w:szCs w:val="18"/>
          <w:color w:val="auto"/>
        </w:rPr>
        <w:t xml:space="preserve"> </w:t>
      </w:r>
      <w:r>
        <w:rPr>
          <w:rFonts w:ascii="Arial" w:cs="Arial" w:eastAsia="Arial" w:hAnsi="Arial"/>
          <w:sz w:val="18"/>
          <w:szCs w:val="18"/>
          <w:i w:val="1"/>
          <w:iCs w:val="1"/>
          <w:color w:val="auto"/>
        </w:rPr>
        <w:t>results of operations and financial condition.”</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Regulation</w:t>
      </w:r>
    </w:p>
    <w:p>
      <w:pPr>
        <w:spacing w:after="0" w:line="121" w:lineRule="exact"/>
        <w:rPr>
          <w:sz w:val="20"/>
          <w:szCs w:val="20"/>
          <w:color w:val="auto"/>
        </w:rPr>
      </w:pPr>
    </w:p>
    <w:p>
      <w:pPr>
        <w:ind w:right="40" w:firstLine="440"/>
        <w:spacing w:after="0" w:line="275" w:lineRule="auto"/>
        <w:rPr>
          <w:sz w:val="20"/>
          <w:szCs w:val="20"/>
          <w:color w:val="auto"/>
        </w:rPr>
      </w:pPr>
      <w:r>
        <w:rPr>
          <w:rFonts w:ascii="Arial" w:cs="Arial" w:eastAsia="Arial" w:hAnsi="Arial"/>
          <w:sz w:val="17"/>
          <w:szCs w:val="17"/>
          <w:color w:val="auto"/>
        </w:rPr>
        <w:t xml:space="preserve">We may be subject to regulations promulgated in various countries, including the U.S., seeking to protect the integrity of international commerce and prevent the use of containers for international terrorism or other illicit activities. As these regulations develop and change, we may incur increased compliance costs due to the acquisition of new, compliant containers and/or the adaptation of existing containers to meet any new requirements imposed by such regulations. For further discussions, see Item 3, </w:t>
      </w:r>
      <w:r>
        <w:rPr>
          <w:rFonts w:ascii="Arial" w:cs="Arial" w:eastAsia="Arial" w:hAnsi="Arial"/>
          <w:sz w:val="17"/>
          <w:szCs w:val="17"/>
          <w:i w:val="1"/>
          <w:iCs w:val="1"/>
          <w:color w:val="auto"/>
        </w:rPr>
        <w:t>“Key Information — Risk Factors – We may incur costs associated with cargo security</w:t>
      </w:r>
      <w:r>
        <w:rPr>
          <w:rFonts w:ascii="Arial" w:cs="Arial" w:eastAsia="Arial" w:hAnsi="Arial"/>
          <w:sz w:val="17"/>
          <w:szCs w:val="17"/>
          <w:color w:val="auto"/>
        </w:rPr>
        <w:t xml:space="preserve"> </w:t>
      </w:r>
      <w:r>
        <w:rPr>
          <w:rFonts w:ascii="Arial" w:cs="Arial" w:eastAsia="Arial" w:hAnsi="Arial"/>
          <w:sz w:val="17"/>
          <w:szCs w:val="17"/>
          <w:i w:val="1"/>
          <w:iCs w:val="1"/>
          <w:color w:val="auto"/>
        </w:rPr>
        <w:t>regulations, which may adversely affect our business, results of operations and financial condition.”</w:t>
      </w:r>
    </w:p>
    <w:p>
      <w:pPr>
        <w:spacing w:after="0" w:line="176" w:lineRule="exact"/>
        <w:rPr>
          <w:sz w:val="20"/>
          <w:szCs w:val="20"/>
          <w:color w:val="auto"/>
        </w:rPr>
      </w:pPr>
    </w:p>
    <w:p>
      <w:pPr>
        <w:ind w:left="440"/>
        <w:spacing w:after="0"/>
        <w:rPr>
          <w:sz w:val="20"/>
          <w:szCs w:val="20"/>
          <w:color w:val="auto"/>
        </w:rPr>
      </w:pPr>
      <w:r>
        <w:rPr>
          <w:rFonts w:ascii="Arial" w:cs="Arial" w:eastAsia="Arial" w:hAnsi="Arial"/>
          <w:sz w:val="16"/>
          <w:szCs w:val="16"/>
          <w:color w:val="auto"/>
        </w:rPr>
        <w:t xml:space="preserve">We may also be affected by legal or regulatory responses to potential global climate change. Please see Item 3, </w:t>
      </w:r>
      <w:r>
        <w:rPr>
          <w:rFonts w:ascii="Arial" w:cs="Arial" w:eastAsia="Arial" w:hAnsi="Arial"/>
          <w:sz w:val="16"/>
          <w:szCs w:val="16"/>
          <w:i w:val="1"/>
          <w:iCs w:val="1"/>
          <w:color w:val="auto"/>
        </w:rPr>
        <w:t>“Key Information — Risk Factors</w:t>
      </w:r>
    </w:p>
    <w:p>
      <w:pPr>
        <w:spacing w:after="0" w:line="46" w:lineRule="exact"/>
        <w:rPr>
          <w:sz w:val="20"/>
          <w:szCs w:val="20"/>
          <w:color w:val="auto"/>
        </w:rPr>
      </w:pPr>
    </w:p>
    <w:p>
      <w:pPr>
        <w:ind w:left="5420" w:right="2120" w:hanging="5418"/>
        <w:spacing w:after="0" w:line="433" w:lineRule="auto"/>
        <w:rPr>
          <w:sz w:val="20"/>
          <w:szCs w:val="20"/>
          <w:color w:val="auto"/>
        </w:rPr>
      </w:pPr>
      <w:r>
        <w:rPr>
          <w:rFonts w:ascii="Arial" w:cs="Arial" w:eastAsia="Arial" w:hAnsi="Arial"/>
          <w:sz w:val="18"/>
          <w:szCs w:val="18"/>
          <w:i w:val="1"/>
          <w:iCs w:val="1"/>
          <w:color w:val="auto"/>
        </w:rPr>
        <w:t xml:space="preserve">– Environmental liability and regulations may adversely affect our business, results of operations and financial condition.” </w:t>
      </w:r>
      <w:r>
        <w:rPr>
          <w:rFonts w:ascii="Arial" w:cs="Arial" w:eastAsia="Arial" w:hAnsi="Arial"/>
          <w:sz w:val="18"/>
          <w:szCs w:val="18"/>
          <w:color w:val="auto"/>
        </w:rPr>
        <w:t>50</w:t>
      </w:r>
    </w:p>
    <w:p>
      <w:pPr>
        <w:sectPr>
          <w:pgSz w:w="11900" w:h="16838" w:orient="portrait"/>
          <w:cols w:equalWidth="0" w:num="1">
            <w:col w:w="11000"/>
          </w:cols>
          <w:pgMar w:left="440" w:top="270" w:right="459" w:bottom="1440" w:gutter="0" w:footer="0" w:header="0"/>
        </w:sectPr>
      </w:pPr>
    </w:p>
    <w:bookmarkStart w:id="64" w:name="page65"/>
    <w:bookmarkEnd w:id="64"/>
    <w:p>
      <w:pPr>
        <w:ind w:left="424" w:hanging="424"/>
        <w:spacing w:after="0"/>
        <w:tabs>
          <w:tab w:leader="none" w:pos="424" w:val="left"/>
        </w:tabs>
        <w:numPr>
          <w:ilvl w:val="0"/>
          <w:numId w:val="45"/>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7174865" cy="38735"/>
                    </a:xfrm>
                    <a:prstGeom prst="rect">
                      <a:avLst/>
                    </a:prstGeom>
                    <a:noFill/>
                  </pic:spPr>
                </pic:pic>
              </a:graphicData>
            </a:graphic>
          </wp:anchor>
        </w:drawing>
        <w:t>Organizational Structure</w:t>
      </w:r>
    </w:p>
    <w:p>
      <w:pPr>
        <w:spacing w:after="0" w:line="121" w:lineRule="exact"/>
        <w:rPr>
          <w:rFonts w:ascii="Arial" w:cs="Arial" w:eastAsia="Arial" w:hAnsi="Arial"/>
          <w:sz w:val="18"/>
          <w:szCs w:val="18"/>
          <w:b w:val="1"/>
          <w:bCs w:val="1"/>
          <w:color w:val="auto"/>
        </w:rPr>
      </w:pPr>
    </w:p>
    <w:p>
      <w:pPr>
        <w:ind w:left="444"/>
        <w:spacing w:after="0"/>
        <w:rPr>
          <w:rFonts w:ascii="Arial" w:cs="Arial" w:eastAsia="Arial" w:hAnsi="Arial"/>
          <w:sz w:val="18"/>
          <w:szCs w:val="18"/>
          <w:b w:val="1"/>
          <w:bCs w:val="1"/>
          <w:color w:val="auto"/>
        </w:rPr>
      </w:pPr>
      <w:r>
        <w:rPr>
          <w:rFonts w:ascii="Arial" w:cs="Arial" w:eastAsia="Arial" w:hAnsi="Arial"/>
          <w:sz w:val="18"/>
          <w:szCs w:val="18"/>
          <w:color w:val="auto"/>
        </w:rPr>
        <w:t>Our current corporate structure as of March 18, 2021 is as follows: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1097280</wp:posOffset>
            </wp:positionH>
            <wp:positionV relativeFrom="paragraph">
              <wp:posOffset>168910</wp:posOffset>
            </wp:positionV>
            <wp:extent cx="4808855" cy="405447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4808855" cy="40544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We currently own 100% of all of our direct and indirect subsidiaries.</w:t>
      </w:r>
    </w:p>
    <w:p>
      <w:pPr>
        <w:spacing w:after="0" w:line="225" w:lineRule="exact"/>
        <w:rPr>
          <w:sz w:val="20"/>
          <w:szCs w:val="20"/>
          <w:color w:val="auto"/>
        </w:rPr>
      </w:pPr>
    </w:p>
    <w:p>
      <w:pPr>
        <w:ind w:left="4" w:right="160" w:firstLine="440"/>
        <w:spacing w:after="0" w:line="255" w:lineRule="auto"/>
        <w:rPr>
          <w:sz w:val="20"/>
          <w:szCs w:val="20"/>
          <w:color w:val="auto"/>
        </w:rPr>
      </w:pPr>
      <w:r>
        <w:rPr>
          <w:rFonts w:ascii="Arial" w:cs="Arial" w:eastAsia="Arial" w:hAnsi="Arial"/>
          <w:sz w:val="18"/>
          <w:szCs w:val="18"/>
          <w:color w:val="auto"/>
        </w:rPr>
        <w:t xml:space="preserve">TAP Funding was a joint venture involving TL and TAP. As of December 31, 2020, TL owned 50.1% and TAP owned 49.9% of the common shares and TL had two voting rights and TAP had one voting right of TAP Funding, with the exception of certain matters such as bankruptcy proceedings, the incurrence of debt and mergers and consolidations, which require unanimity. On January 19, 2021, the Company completed the acquisition of the 49.9% outstanding common shares of TAP Funding from TAP Ltd. Following the acquisition, TL owns 100% of TAP Funding and became a wholly-owned subsidiary of the Company (see Note 14 “Subsequent Events” to our consolidated financial statements in Item 18, </w:t>
      </w:r>
      <w:r>
        <w:rPr>
          <w:rFonts w:ascii="Arial" w:cs="Arial" w:eastAsia="Arial" w:hAnsi="Arial"/>
          <w:sz w:val="18"/>
          <w:szCs w:val="18"/>
          <w:i w:val="1"/>
          <w:iCs w:val="1"/>
          <w:color w:val="auto"/>
        </w:rPr>
        <w:t>“Financial</w:t>
      </w:r>
      <w:r>
        <w:rPr>
          <w:rFonts w:ascii="Arial" w:cs="Arial" w:eastAsia="Arial" w:hAnsi="Arial"/>
          <w:sz w:val="18"/>
          <w:szCs w:val="18"/>
          <w:color w:val="auto"/>
        </w:rPr>
        <w:t xml:space="preserve"> </w:t>
      </w:r>
      <w:r>
        <w:rPr>
          <w:rFonts w:ascii="Arial" w:cs="Arial" w:eastAsia="Arial" w:hAnsi="Arial"/>
          <w:sz w:val="18"/>
          <w:szCs w:val="18"/>
          <w:i w:val="1"/>
          <w:iCs w:val="1"/>
          <w:color w:val="auto"/>
        </w:rPr>
        <w:t xml:space="preserve">Statements” </w:t>
      </w:r>
      <w:r>
        <w:rPr>
          <w:rFonts w:ascii="Arial" w:cs="Arial" w:eastAsia="Arial" w:hAnsi="Arial"/>
          <w:sz w:val="18"/>
          <w:szCs w:val="18"/>
          <w:color w:val="auto"/>
        </w:rPr>
        <w:t>in this Annual Report on Form 20-F for additional information).</w:t>
      </w:r>
    </w:p>
    <w:p>
      <w:pPr>
        <w:spacing w:after="0" w:line="192" w:lineRule="exact"/>
        <w:rPr>
          <w:sz w:val="20"/>
          <w:szCs w:val="20"/>
          <w:color w:val="auto"/>
        </w:rPr>
      </w:pPr>
    </w:p>
    <w:p>
      <w:pPr>
        <w:ind w:left="4" w:firstLine="440"/>
        <w:spacing w:after="0" w:line="291" w:lineRule="auto"/>
        <w:rPr>
          <w:sz w:val="20"/>
          <w:szCs w:val="20"/>
          <w:color w:val="auto"/>
        </w:rPr>
      </w:pPr>
      <w:r>
        <w:rPr>
          <w:rFonts w:ascii="Arial" w:cs="Arial" w:eastAsia="Arial" w:hAnsi="Arial"/>
          <w:sz w:val="16"/>
          <w:szCs w:val="16"/>
          <w:color w:val="auto"/>
        </w:rPr>
        <w:t>Trencor, owned 47.5% of our outstanding share capital as of December 31, 2018. Trencor is a South African public investment holding company, that has been listed on the JSE in Johannesburg, South Africa since 1955. Trencor’s origins date from 1929, and it currently is engaged in finance related activities. These shares were previously held by Halco Holdings Inc. (“Halco”), a company owned by Halco Trust, a discretionary trust. In February 2018, Halco Trust distributed and transferred to Trencor Limited, a nominated discretionary beneficiary of Halco Trust, the trust’s 100% shareholding in Halco. In May 2018, Halco declared dividends to Trencor which resulted in Trencor becoming the direct shareholder of 47.5% of our common shares. Halco went into voluntary liquidation on October 12, 2018. On December 11, 2019, we commenced a secondary, or dual, listing of our common shares on the JSE in Johannesburg, South Africa under the symbol “TXT”. Promptly following our dual listing, Trencor distributed</w:t>
      </w:r>
    </w:p>
    <w:p>
      <w:pPr>
        <w:spacing w:after="0" w:line="99"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51</w:t>
      </w:r>
    </w:p>
    <w:p>
      <w:pPr>
        <w:sectPr>
          <w:pgSz w:w="11900" w:h="16838" w:orient="portrait"/>
          <w:cols w:equalWidth="0" w:num="1">
            <w:col w:w="11004"/>
          </w:cols>
          <w:pgMar w:left="436" w:top="270" w:right="459" w:bottom="1440" w:gutter="0" w:footer="0" w:header="0"/>
        </w:sectPr>
      </w:pPr>
    </w:p>
    <w:bookmarkStart w:id="65" w:name="page66"/>
    <w:bookmarkEnd w:id="65"/>
    <w:p>
      <w:pPr>
        <w:ind w:left="4"/>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approximately 24.3 million of its shares in the Company to Trencor’s own shareholders and these shares now trade on the JSE. Trencor retained</w:t>
      </w:r>
    </w:p>
    <w:p>
      <w:pPr>
        <w:spacing w:after="0" w:line="35" w:lineRule="exact"/>
        <w:rPr>
          <w:sz w:val="20"/>
          <w:szCs w:val="20"/>
          <w:color w:val="auto"/>
        </w:rPr>
      </w:pPr>
    </w:p>
    <w:p>
      <w:pPr>
        <w:ind w:left="4" w:right="80"/>
        <w:spacing w:after="0" w:line="253" w:lineRule="auto"/>
        <w:rPr>
          <w:sz w:val="20"/>
          <w:szCs w:val="20"/>
          <w:color w:val="auto"/>
        </w:rPr>
      </w:pPr>
      <w:r>
        <w:rPr>
          <w:rFonts w:ascii="Arial" w:cs="Arial" w:eastAsia="Arial" w:hAnsi="Arial"/>
          <w:sz w:val="18"/>
          <w:szCs w:val="18"/>
          <w:color w:val="auto"/>
        </w:rPr>
        <w:t>3 million, or approximately 5.3% of our common shares as of December 31, 2019. In June 2020, Trencor distributed its remaining 3.0 million of our common shares or approximately 5.3% of our common shares to Trencor’s own shareholders and those shares trade on the JSE. Following the June 2020 distribution of shares, Trencor no longer holds any shares in the Company. Hennie Van der Merwe and David M. Nurek are members of our board of directors and the board of directors of Trencor.</w:t>
      </w:r>
    </w:p>
    <w:p>
      <w:pPr>
        <w:spacing w:after="0" w:line="337" w:lineRule="exact"/>
        <w:rPr>
          <w:sz w:val="20"/>
          <w:szCs w:val="20"/>
          <w:color w:val="auto"/>
        </w:rPr>
      </w:pPr>
    </w:p>
    <w:p>
      <w:pPr>
        <w:ind w:left="424" w:hanging="424"/>
        <w:spacing w:after="0"/>
        <w:tabs>
          <w:tab w:leader="none" w:pos="424" w:val="left"/>
        </w:tabs>
        <w:numPr>
          <w:ilvl w:val="0"/>
          <w:numId w:val="46"/>
        </w:numPr>
        <w:rPr>
          <w:rFonts w:ascii="Arial" w:cs="Arial" w:eastAsia="Arial" w:hAnsi="Arial"/>
          <w:sz w:val="18"/>
          <w:szCs w:val="18"/>
          <w:b w:val="1"/>
          <w:bCs w:val="1"/>
          <w:color w:val="auto"/>
        </w:rPr>
      </w:pPr>
      <w:r>
        <w:rPr>
          <w:rFonts w:ascii="Arial" w:cs="Arial" w:eastAsia="Arial" w:hAnsi="Arial"/>
          <w:sz w:val="18"/>
          <w:szCs w:val="18"/>
          <w:b w:val="1"/>
          <w:bCs w:val="1"/>
          <w:color w:val="auto"/>
        </w:rPr>
        <w:t>Property, Plant and Equipment</w:t>
      </w:r>
    </w:p>
    <w:p>
      <w:pPr>
        <w:spacing w:after="0" w:line="121" w:lineRule="exact"/>
        <w:rPr>
          <w:sz w:val="20"/>
          <w:szCs w:val="20"/>
          <w:color w:val="auto"/>
        </w:rPr>
      </w:pPr>
    </w:p>
    <w:p>
      <w:pPr>
        <w:ind w:left="4" w:firstLine="440"/>
        <w:spacing w:after="0" w:line="279" w:lineRule="auto"/>
        <w:rPr>
          <w:sz w:val="20"/>
          <w:szCs w:val="20"/>
          <w:color w:val="auto"/>
        </w:rPr>
      </w:pPr>
      <w:r>
        <w:rPr>
          <w:rFonts w:ascii="Arial" w:cs="Arial" w:eastAsia="Arial" w:hAnsi="Arial"/>
          <w:sz w:val="17"/>
          <w:szCs w:val="17"/>
          <w:color w:val="auto"/>
        </w:rPr>
        <w:t>As of December 31, 2020, our employees were located in 14 regional and area offices in 13 different countries. We maintain an office in Bermuda, where Textainer Group Holdings Limited is incorporated. We have 13 offices outside Bermuda, including our administrative office in San Francisco, California and offices in Cranford, New Jersey; New Malden, United Kingdom; Hamburg, Germany; Durban, South Africa; Yokohama, Japan; Seoul, South Korea; Taipei, Taiwan; Singapore; Sydney, Australia; Port Kelang, Malaysia; Hong Kong; and Shanghai, China.</w:t>
      </w:r>
    </w:p>
    <w:p>
      <w:pPr>
        <w:spacing w:after="0" w:line="171" w:lineRule="exact"/>
        <w:rPr>
          <w:sz w:val="20"/>
          <w:szCs w:val="20"/>
          <w:color w:val="auto"/>
        </w:rPr>
      </w:pPr>
    </w:p>
    <w:p>
      <w:pPr>
        <w:jc w:val="both"/>
        <w:ind w:left="4" w:right="100" w:firstLine="440"/>
        <w:spacing w:after="0" w:line="273" w:lineRule="auto"/>
        <w:rPr>
          <w:sz w:val="20"/>
          <w:szCs w:val="20"/>
          <w:color w:val="auto"/>
        </w:rPr>
      </w:pPr>
      <w:r>
        <w:rPr>
          <w:rFonts w:ascii="Arial" w:cs="Arial" w:eastAsia="Arial" w:hAnsi="Arial"/>
          <w:sz w:val="17"/>
          <w:szCs w:val="17"/>
          <w:color w:val="auto"/>
        </w:rPr>
        <w:t>We lease our office space in Bermuda, the U.S., United Kingdom and Singapore and have exclusive agents that secure office space for us in our other locations. The lease for our Bermuda office expires in December 2021, the lease for our San Francisco office expires in May 2027, the lease for our Cranford, New Jersey office expires in November 2021, the lease for our New Malden, United Kingdom office expires in December 2024 and our lease for our Singapore office expires in July 2024. In addition, we have non-exclusive agents who represent us in India, Indonesia, Pakistan, Republic of the Philippines, Sri Lanka, Thailand and Vietnam. We believe that our current facilities are adequate to meet current requirements and that additional or substitute space will be available as needed to accommodate our expected growth.</w:t>
      </w:r>
    </w:p>
    <w:p>
      <w:pPr>
        <w:spacing w:after="0" w:line="322" w:lineRule="exact"/>
        <w:rPr>
          <w:sz w:val="20"/>
          <w:szCs w:val="20"/>
          <w:color w:val="auto"/>
        </w:rPr>
      </w:pPr>
    </w:p>
    <w:p>
      <w:pPr>
        <w:ind w:left="4"/>
        <w:spacing w:after="0"/>
        <w:tabs>
          <w:tab w:leader="none" w:pos="1064" w:val="left"/>
        </w:tabs>
        <w:rPr>
          <w:sz w:val="20"/>
          <w:szCs w:val="20"/>
          <w:color w:val="auto"/>
        </w:rPr>
      </w:pPr>
      <w:r>
        <w:rPr>
          <w:rFonts w:ascii="Arial" w:cs="Arial" w:eastAsia="Arial" w:hAnsi="Arial"/>
          <w:sz w:val="18"/>
          <w:szCs w:val="18"/>
          <w:b w:val="1"/>
          <w:bCs w:val="1"/>
          <w:color w:val="auto"/>
        </w:rPr>
        <w:t>ITEM 4A.</w:t>
      </w:r>
      <w:r>
        <w:rPr>
          <w:sz w:val="20"/>
          <w:szCs w:val="20"/>
          <w:color w:val="auto"/>
        </w:rPr>
        <w:tab/>
      </w:r>
      <w:r>
        <w:rPr>
          <w:rFonts w:ascii="Arial" w:cs="Arial" w:eastAsia="Arial" w:hAnsi="Arial"/>
          <w:sz w:val="17"/>
          <w:szCs w:val="17"/>
          <w:b w:val="1"/>
          <w:bCs w:val="1"/>
          <w:color w:val="auto"/>
        </w:rPr>
        <w:t>UNRESOLVED STAFF COMMENTS</w:t>
      </w:r>
    </w:p>
    <w:p>
      <w:pPr>
        <w:spacing w:after="0" w:line="121" w:lineRule="exact"/>
        <w:rPr>
          <w:sz w:val="20"/>
          <w:szCs w:val="20"/>
          <w:color w:val="auto"/>
        </w:rPr>
      </w:pPr>
    </w:p>
    <w:p>
      <w:pPr>
        <w:ind w:left="444"/>
        <w:spacing w:after="0"/>
        <w:rPr>
          <w:sz w:val="20"/>
          <w:szCs w:val="20"/>
          <w:color w:val="auto"/>
        </w:rPr>
      </w:pPr>
      <w:r>
        <w:rPr>
          <w:rFonts w:ascii="Arial" w:cs="Arial" w:eastAsia="Arial" w:hAnsi="Arial"/>
          <w:sz w:val="18"/>
          <w:szCs w:val="18"/>
          <w:color w:val="auto"/>
        </w:rPr>
        <w:t>Not applicable.</w:t>
      </w:r>
    </w:p>
    <w:p>
      <w:pPr>
        <w:spacing w:after="0" w:line="370" w:lineRule="exact"/>
        <w:rPr>
          <w:sz w:val="20"/>
          <w:szCs w:val="20"/>
          <w:color w:val="auto"/>
        </w:rPr>
      </w:pPr>
    </w:p>
    <w:p>
      <w:pPr>
        <w:ind w:left="4"/>
        <w:spacing w:after="0"/>
        <w:tabs>
          <w:tab w:leader="none" w:pos="1064" w:val="left"/>
        </w:tabs>
        <w:rPr>
          <w:sz w:val="20"/>
          <w:szCs w:val="20"/>
          <w:color w:val="auto"/>
        </w:rPr>
      </w:pPr>
      <w:r>
        <w:rPr>
          <w:rFonts w:ascii="Arial" w:cs="Arial" w:eastAsia="Arial" w:hAnsi="Arial"/>
          <w:sz w:val="18"/>
          <w:szCs w:val="18"/>
          <w:b w:val="1"/>
          <w:bCs w:val="1"/>
          <w:color w:val="auto"/>
        </w:rPr>
        <w:t>ITEM 5.</w:t>
      </w:r>
      <w:r>
        <w:rPr>
          <w:sz w:val="20"/>
          <w:szCs w:val="20"/>
          <w:color w:val="auto"/>
        </w:rPr>
        <w:tab/>
      </w:r>
      <w:r>
        <w:rPr>
          <w:rFonts w:ascii="Arial" w:cs="Arial" w:eastAsia="Arial" w:hAnsi="Arial"/>
          <w:sz w:val="18"/>
          <w:szCs w:val="18"/>
          <w:b w:val="1"/>
          <w:bCs w:val="1"/>
          <w:color w:val="auto"/>
        </w:rPr>
        <w:t>OPERATING AND FINANCIAL REVIEW AND PROSPECTS</w:t>
      </w:r>
    </w:p>
    <w:p>
      <w:pPr>
        <w:spacing w:after="0" w:line="121" w:lineRule="exact"/>
        <w:rPr>
          <w:sz w:val="20"/>
          <w:szCs w:val="20"/>
          <w:color w:val="auto"/>
        </w:rPr>
      </w:pPr>
    </w:p>
    <w:p>
      <w:pPr>
        <w:ind w:left="4" w:firstLine="440"/>
        <w:spacing w:after="0" w:line="255" w:lineRule="auto"/>
        <w:rPr>
          <w:sz w:val="20"/>
          <w:szCs w:val="20"/>
          <w:color w:val="auto"/>
        </w:rPr>
      </w:pPr>
      <w:r>
        <w:rPr>
          <w:rFonts w:ascii="Arial" w:cs="Arial" w:eastAsia="Arial" w:hAnsi="Arial"/>
          <w:sz w:val="18"/>
          <w:szCs w:val="18"/>
          <w:i w:val="1"/>
          <w:iCs w:val="1"/>
          <w:color w:val="auto"/>
        </w:rPr>
        <w:t>The following Operating and Financial Review and Prospects should be read in conjunction with our audited consolidated financial statements and related notes included elsewhere in this Annual Report on Form 20-F. In addition to historical consolidated financial information, the following discussion contains forward-looking statements that reflect our plans, estimates and beliefs. Our actual results may differ materially from those contained in or implied by any forward-looking statements. See “Information Regarding Forward-Looking Statements; Cautionary Language.” Factors that could cause or contribute to these differences include those discussed below and elsewhere in this Annual Report on Form 20-F, particularly in Item 3, “Key Information— Risk Factors.”</w:t>
      </w:r>
    </w:p>
    <w:p>
      <w:pPr>
        <w:spacing w:after="0" w:line="192" w:lineRule="exact"/>
        <w:rPr>
          <w:sz w:val="20"/>
          <w:szCs w:val="20"/>
          <w:color w:val="auto"/>
        </w:rPr>
      </w:pPr>
    </w:p>
    <w:p>
      <w:pPr>
        <w:ind w:left="444"/>
        <w:spacing w:after="0"/>
        <w:rPr>
          <w:sz w:val="20"/>
          <w:szCs w:val="20"/>
          <w:color w:val="auto"/>
        </w:rPr>
      </w:pPr>
      <w:r>
        <w:rPr>
          <w:rFonts w:ascii="Arial" w:cs="Arial" w:eastAsia="Arial" w:hAnsi="Arial"/>
          <w:sz w:val="17"/>
          <w:szCs w:val="17"/>
          <w:i w:val="1"/>
          <w:iCs w:val="1"/>
          <w:color w:val="auto"/>
        </w:rPr>
        <w:t>Dollar amounts in this section of this Annual Report on Form 20-F are expressed in thousands of U.S. dollars unless otherwise indicated.</w:t>
      </w:r>
    </w:p>
    <w:p>
      <w:pPr>
        <w:spacing w:after="0" w:line="237" w:lineRule="exact"/>
        <w:rPr>
          <w:sz w:val="20"/>
          <w:szCs w:val="20"/>
          <w:color w:val="auto"/>
        </w:rPr>
      </w:pPr>
    </w:p>
    <w:p>
      <w:pPr>
        <w:ind w:left="4" w:right="160" w:firstLine="440"/>
        <w:spacing w:after="0" w:line="259" w:lineRule="auto"/>
        <w:rPr>
          <w:sz w:val="20"/>
          <w:szCs w:val="20"/>
          <w:color w:val="auto"/>
        </w:rPr>
      </w:pPr>
      <w:r>
        <w:rPr>
          <w:rFonts w:ascii="Arial" w:cs="Arial" w:eastAsia="Arial" w:hAnsi="Arial"/>
          <w:sz w:val="18"/>
          <w:szCs w:val="18"/>
          <w:i w:val="1"/>
          <w:iCs w:val="1"/>
          <w:color w:val="auto"/>
        </w:rPr>
        <w:t>For the discussion of the financial condition and results of operations for the years ended December 31, 2019 compared to the year ended December 31, 2018, refer to Item 5 “Operating and Financial Review and Prospects - Operating Results” and “- Liquidity and Capital Resources” in our Form 20-F for the fiscal year ended December 31, 2019 filed with the U.S. Securities and Exchange Commission on March 30, 2020, which discussion is incorporated herein by reference.</w:t>
      </w:r>
    </w:p>
    <w:p>
      <w:pPr>
        <w:spacing w:after="0" w:line="291"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Executive Summary</w:t>
      </w:r>
    </w:p>
    <w:p>
      <w:pPr>
        <w:spacing w:after="0" w:line="121" w:lineRule="exact"/>
        <w:rPr>
          <w:sz w:val="20"/>
          <w:szCs w:val="20"/>
          <w:color w:val="auto"/>
        </w:rPr>
      </w:pPr>
    </w:p>
    <w:p>
      <w:pPr>
        <w:ind w:left="4" w:right="200" w:firstLine="440"/>
        <w:spacing w:after="0" w:line="259" w:lineRule="auto"/>
        <w:rPr>
          <w:sz w:val="20"/>
          <w:szCs w:val="20"/>
          <w:color w:val="auto"/>
        </w:rPr>
      </w:pPr>
      <w:r>
        <w:rPr>
          <w:rFonts w:ascii="Arial" w:cs="Arial" w:eastAsia="Arial" w:hAnsi="Arial"/>
          <w:sz w:val="18"/>
          <w:szCs w:val="18"/>
          <w:color w:val="auto"/>
        </w:rPr>
        <w:t>Operating since 1979, we are one of the world’s largest lessors of intermodal containers based on fleet size, with a total fleet of approximately 2.4 million containers, representing 3.8 million TEU. During 2020: (i) we invested in approximately $1,080 million of containers for our fleet, (ii) our utilization averaged 96.6% in 2020 compared to 97.4% in 2019, (iii) our total fleet surpassed 4 million CEU as of December 31, 2020, and (iv) we repurchased approximately 6,736,493 shares of our common shares.</w:t>
      </w:r>
    </w:p>
    <w:p>
      <w:pPr>
        <w:spacing w:after="0" w:line="119"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52</w:t>
      </w:r>
    </w:p>
    <w:p>
      <w:pPr>
        <w:sectPr>
          <w:pgSz w:w="11900" w:h="16838" w:orient="portrait"/>
          <w:cols w:equalWidth="0" w:num="1">
            <w:col w:w="11004"/>
          </w:cols>
          <w:pgMar w:left="436" w:top="274" w:right="459" w:bottom="1440" w:gutter="0" w:footer="0" w:header="0"/>
        </w:sectPr>
      </w:pPr>
    </w:p>
    <w:bookmarkStart w:id="66" w:name="page67"/>
    <w:bookmarkEnd w:id="66"/>
    <w:p>
      <w:pPr>
        <w:ind w:right="20" w:firstLine="44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Our business comprises of three reportable segments for financial reporting purposes: Container Ownership, Container Management and Container Resale. Our total revenues primarily consist of leasing revenues derived from the leasing of our owned and managed containers and other non-leasing fees received for managing containers owned by third parties, equipment resale and military management. For further details of our business overview, see Item 4, </w:t>
      </w:r>
      <w:r>
        <w:rPr>
          <w:rFonts w:ascii="Arial" w:cs="Arial" w:eastAsia="Arial" w:hAnsi="Arial"/>
          <w:sz w:val="18"/>
          <w:szCs w:val="18"/>
          <w:i w:val="1"/>
          <w:iCs w:val="1"/>
          <w:color w:val="auto"/>
        </w:rPr>
        <w:t>“Information on the Company.”</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COVID-19 Impact</w:t>
      </w:r>
    </w:p>
    <w:p>
      <w:pPr>
        <w:spacing w:after="0" w:line="121" w:lineRule="exact"/>
        <w:rPr>
          <w:sz w:val="20"/>
          <w:szCs w:val="20"/>
          <w:color w:val="auto"/>
        </w:rPr>
      </w:pPr>
    </w:p>
    <w:p>
      <w:pPr>
        <w:ind w:right="40" w:firstLine="440"/>
        <w:spacing w:after="0" w:line="271" w:lineRule="auto"/>
        <w:rPr>
          <w:sz w:val="20"/>
          <w:szCs w:val="20"/>
          <w:color w:val="auto"/>
        </w:rPr>
      </w:pPr>
      <w:r>
        <w:rPr>
          <w:rFonts w:ascii="Arial" w:cs="Arial" w:eastAsia="Arial" w:hAnsi="Arial"/>
          <w:sz w:val="17"/>
          <w:szCs w:val="17"/>
          <w:color w:val="auto"/>
        </w:rPr>
        <w:t>In March 2020, the World Health Organization declared the outbreak of Novel Coronavirus (“COVID-19”) a pandemic, which continues to spread throughout the United States and the world and has resulted in new and changing government measures to contain the virus, including travel bans and restrictions, shelter-in-place orders, and business limitations and shutdowns. The decrease in global trade volumes and economic activity due to the COVID-19 pandemic led to disruptions in global shipping and reduced container demand during the first half of 2020. However, we have seen sharp rebound in cargo volumes and recent positive signs of leasing demand improvements as COVID- 19 related restrictions have eased in the United States and Europe, demand for consumer goods and medical supplies have caused freight volumes to rapidly increase and recent positive developments from the vaccine rollouts. Even as certain government restrictions are lifted and economies gradually reopen, the shape of the economic recovery is still uncertain as the pandemic is resurgent in many places.</w:t>
      </w:r>
    </w:p>
    <w:p>
      <w:pPr>
        <w:spacing w:after="0" w:line="178" w:lineRule="exact"/>
        <w:rPr>
          <w:sz w:val="20"/>
          <w:szCs w:val="20"/>
          <w:color w:val="auto"/>
        </w:rPr>
      </w:pPr>
    </w:p>
    <w:p>
      <w:pPr>
        <w:ind w:right="20" w:firstLine="440"/>
        <w:spacing w:after="0" w:line="254" w:lineRule="auto"/>
        <w:rPr>
          <w:sz w:val="20"/>
          <w:szCs w:val="20"/>
          <w:color w:val="auto"/>
        </w:rPr>
      </w:pPr>
      <w:r>
        <w:rPr>
          <w:rFonts w:ascii="Arial" w:cs="Arial" w:eastAsia="Arial" w:hAnsi="Arial"/>
          <w:sz w:val="18"/>
          <w:szCs w:val="18"/>
          <w:color w:val="auto"/>
        </w:rPr>
        <w:t xml:space="preserve">We currently believe these disruptions are temporary and we have strongly benefited from the increased global containerized trade volumes that have emerged since the second half of 2020. We heavily invested in new containers during the second half of 2020 in response to strong container demand and substantially all our containers purchased in 2020 are currently on lease and those for delivery in 2021 are already committed to leases. As we look into the new year, we remain focused on the continued execution of our turnaround plan. While macro uncertainty from COVID-19 remains, we are encouraged by our improved financial performance and the overall strong market fundamentals arising from expected elevated cargo volumes, high container prices and high freight rates through the first half of 2021. For additional information regarding the risk and uncertainties that we could encounter as a result of the COVID-19 pandemic and related global conditions, see Item 3, </w:t>
      </w:r>
      <w:r>
        <w:rPr>
          <w:rFonts w:ascii="Arial" w:cs="Arial" w:eastAsia="Arial" w:hAnsi="Arial"/>
          <w:sz w:val="18"/>
          <w:szCs w:val="18"/>
          <w:i w:val="1"/>
          <w:iCs w:val="1"/>
          <w:color w:val="auto"/>
        </w:rPr>
        <w:t>“Key Information - Risk Factors”</w:t>
      </w:r>
      <w:r>
        <w:rPr>
          <w:rFonts w:ascii="Arial" w:cs="Arial" w:eastAsia="Arial" w:hAnsi="Arial"/>
          <w:sz w:val="18"/>
          <w:szCs w:val="18"/>
          <w:color w:val="auto"/>
        </w:rPr>
        <w:t xml:space="preserve"> and elsewhere in this Annual Report on Form 20-F.</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Key Factors Affecting Our Performance</w:t>
      </w:r>
    </w:p>
    <w:p>
      <w:pPr>
        <w:spacing w:after="0" w:line="121" w:lineRule="exact"/>
        <w:rPr>
          <w:sz w:val="20"/>
          <w:szCs w:val="20"/>
          <w:color w:val="auto"/>
        </w:rPr>
      </w:pPr>
    </w:p>
    <w:p>
      <w:pPr>
        <w:ind w:right="120" w:firstLine="440"/>
        <w:spacing w:after="0" w:line="277" w:lineRule="auto"/>
        <w:rPr>
          <w:sz w:val="20"/>
          <w:szCs w:val="20"/>
          <w:color w:val="auto"/>
        </w:rPr>
      </w:pPr>
      <w:r>
        <w:rPr>
          <w:rFonts w:ascii="Arial" w:cs="Arial" w:eastAsia="Arial" w:hAnsi="Arial"/>
          <w:sz w:val="18"/>
          <w:szCs w:val="18"/>
          <w:color w:val="auto"/>
        </w:rPr>
        <w:t>We believe there are a number of key factors that have affected, and are likely to continue to affect, our operating performance. These key factors include the following, among others:</w:t>
      </w:r>
    </w:p>
    <w:p>
      <w:pPr>
        <w:spacing w:after="0" w:line="76" w:lineRule="exact"/>
        <w:rPr>
          <w:sz w:val="20"/>
          <w:szCs w:val="20"/>
          <w:color w:val="auto"/>
        </w:rPr>
      </w:pPr>
    </w:p>
    <w:p>
      <w:pPr>
        <w:ind w:left="960" w:hanging="532"/>
        <w:spacing w:after="0"/>
        <w:tabs>
          <w:tab w:leader="none" w:pos="960" w:val="left"/>
        </w:tabs>
        <w:numPr>
          <w:ilvl w:val="0"/>
          <w:numId w:val="47"/>
        </w:numPr>
        <w:rPr>
          <w:rFonts w:ascii="Arial" w:cs="Arial" w:eastAsia="Arial" w:hAnsi="Arial"/>
          <w:sz w:val="18"/>
          <w:szCs w:val="18"/>
          <w:color w:val="auto"/>
        </w:rPr>
      </w:pPr>
      <w:r>
        <w:rPr>
          <w:rFonts w:ascii="Arial" w:cs="Arial" w:eastAsia="Arial" w:hAnsi="Arial"/>
          <w:sz w:val="18"/>
          <w:szCs w:val="18"/>
          <w:color w:val="auto"/>
        </w:rPr>
        <w:t>the demand for leased containers;</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47"/>
        </w:numPr>
        <w:rPr>
          <w:rFonts w:ascii="Arial" w:cs="Arial" w:eastAsia="Arial" w:hAnsi="Arial"/>
          <w:sz w:val="18"/>
          <w:szCs w:val="18"/>
          <w:color w:val="auto"/>
        </w:rPr>
      </w:pPr>
      <w:r>
        <w:rPr>
          <w:rFonts w:ascii="Arial" w:cs="Arial" w:eastAsia="Arial" w:hAnsi="Arial"/>
          <w:sz w:val="18"/>
          <w:szCs w:val="18"/>
          <w:color w:val="auto"/>
        </w:rPr>
        <w:t>lease rates;</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47"/>
        </w:numPr>
        <w:rPr>
          <w:rFonts w:ascii="Arial" w:cs="Arial" w:eastAsia="Arial" w:hAnsi="Arial"/>
          <w:sz w:val="18"/>
          <w:szCs w:val="18"/>
          <w:color w:val="auto"/>
        </w:rPr>
      </w:pPr>
      <w:r>
        <w:rPr>
          <w:rFonts w:ascii="Arial" w:cs="Arial" w:eastAsia="Arial" w:hAnsi="Arial"/>
          <w:sz w:val="18"/>
          <w:szCs w:val="18"/>
          <w:color w:val="auto"/>
        </w:rPr>
        <w:t>steel prices;</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47"/>
        </w:numPr>
        <w:rPr>
          <w:rFonts w:ascii="Arial" w:cs="Arial" w:eastAsia="Arial" w:hAnsi="Arial"/>
          <w:sz w:val="18"/>
          <w:szCs w:val="18"/>
          <w:color w:val="auto"/>
        </w:rPr>
      </w:pPr>
      <w:r>
        <w:rPr>
          <w:rFonts w:ascii="Arial" w:cs="Arial" w:eastAsia="Arial" w:hAnsi="Arial"/>
          <w:sz w:val="18"/>
          <w:szCs w:val="18"/>
          <w:color w:val="auto"/>
        </w:rPr>
        <w:t>interest rates and availability of debt financing at acceptable terms;</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47"/>
        </w:numPr>
        <w:rPr>
          <w:rFonts w:ascii="Arial" w:cs="Arial" w:eastAsia="Arial" w:hAnsi="Arial"/>
          <w:sz w:val="18"/>
          <w:szCs w:val="18"/>
          <w:color w:val="auto"/>
        </w:rPr>
      </w:pPr>
      <w:r>
        <w:rPr>
          <w:rFonts w:ascii="Arial" w:cs="Arial" w:eastAsia="Arial" w:hAnsi="Arial"/>
          <w:sz w:val="18"/>
          <w:szCs w:val="18"/>
          <w:color w:val="auto"/>
        </w:rPr>
        <w:t>our ability to lease our new containers shortly after we purchase them;</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47"/>
        </w:numPr>
        <w:rPr>
          <w:rFonts w:ascii="Arial" w:cs="Arial" w:eastAsia="Arial" w:hAnsi="Arial"/>
          <w:sz w:val="18"/>
          <w:szCs w:val="18"/>
          <w:color w:val="auto"/>
        </w:rPr>
      </w:pPr>
      <w:r>
        <w:rPr>
          <w:rFonts w:ascii="Arial" w:cs="Arial" w:eastAsia="Arial" w:hAnsi="Arial"/>
          <w:sz w:val="18"/>
          <w:szCs w:val="18"/>
          <w:color w:val="auto"/>
        </w:rPr>
        <w:t>access to container production capacity;</w:t>
      </w:r>
    </w:p>
    <w:p>
      <w:pPr>
        <w:spacing w:after="0" w:line="130" w:lineRule="exact"/>
        <w:rPr>
          <w:rFonts w:ascii="Arial" w:cs="Arial" w:eastAsia="Arial" w:hAnsi="Arial"/>
          <w:sz w:val="18"/>
          <w:szCs w:val="18"/>
          <w:color w:val="auto"/>
        </w:rPr>
      </w:pPr>
    </w:p>
    <w:p>
      <w:pPr>
        <w:ind w:left="960" w:hanging="532"/>
        <w:spacing w:after="0" w:line="277" w:lineRule="auto"/>
        <w:tabs>
          <w:tab w:leader="none" w:pos="960" w:val="left"/>
        </w:tabs>
        <w:numPr>
          <w:ilvl w:val="0"/>
          <w:numId w:val="47"/>
        </w:numPr>
        <w:rPr>
          <w:rFonts w:ascii="Arial" w:cs="Arial" w:eastAsia="Arial" w:hAnsi="Arial"/>
          <w:sz w:val="18"/>
          <w:szCs w:val="18"/>
          <w:color w:val="auto"/>
        </w:rPr>
      </w:pPr>
      <w:r>
        <w:rPr>
          <w:rFonts w:ascii="Arial" w:cs="Arial" w:eastAsia="Arial" w:hAnsi="Arial"/>
          <w:sz w:val="18"/>
          <w:szCs w:val="18"/>
          <w:color w:val="auto"/>
        </w:rPr>
        <w:t>prices of new and used containers and the impact of changing prices on containers held for sale and the residual value of our in-fleet owned containers;</w:t>
      </w:r>
    </w:p>
    <w:p>
      <w:pPr>
        <w:spacing w:after="0" w:line="75" w:lineRule="exact"/>
        <w:rPr>
          <w:rFonts w:ascii="Arial" w:cs="Arial" w:eastAsia="Arial" w:hAnsi="Arial"/>
          <w:sz w:val="18"/>
          <w:szCs w:val="18"/>
          <w:color w:val="auto"/>
        </w:rPr>
      </w:pPr>
    </w:p>
    <w:p>
      <w:pPr>
        <w:ind w:left="960" w:hanging="532"/>
        <w:spacing w:after="0"/>
        <w:tabs>
          <w:tab w:leader="none" w:pos="960" w:val="left"/>
        </w:tabs>
        <w:numPr>
          <w:ilvl w:val="0"/>
          <w:numId w:val="47"/>
        </w:numPr>
        <w:rPr>
          <w:rFonts w:ascii="Arial" w:cs="Arial" w:eastAsia="Arial" w:hAnsi="Arial"/>
          <w:sz w:val="18"/>
          <w:szCs w:val="18"/>
          <w:color w:val="auto"/>
        </w:rPr>
      </w:pPr>
      <w:r>
        <w:rPr>
          <w:rFonts w:ascii="Arial" w:cs="Arial" w:eastAsia="Arial" w:hAnsi="Arial"/>
          <w:sz w:val="18"/>
          <w:szCs w:val="18"/>
          <w:color w:val="auto"/>
        </w:rPr>
        <w:t>remarketing risk;</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47"/>
        </w:numPr>
        <w:rPr>
          <w:rFonts w:ascii="Arial" w:cs="Arial" w:eastAsia="Arial" w:hAnsi="Arial"/>
          <w:sz w:val="18"/>
          <w:szCs w:val="18"/>
          <w:color w:val="auto"/>
        </w:rPr>
      </w:pPr>
      <w:r>
        <w:rPr>
          <w:rFonts w:ascii="Arial" w:cs="Arial" w:eastAsia="Arial" w:hAnsi="Arial"/>
          <w:sz w:val="18"/>
          <w:szCs w:val="18"/>
          <w:color w:val="auto"/>
        </w:rPr>
        <w:t>the creditworthiness of our customers;</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47"/>
        </w:numPr>
        <w:rPr>
          <w:rFonts w:ascii="Arial" w:cs="Arial" w:eastAsia="Arial" w:hAnsi="Arial"/>
          <w:sz w:val="18"/>
          <w:szCs w:val="18"/>
          <w:color w:val="auto"/>
        </w:rPr>
      </w:pPr>
      <w:r>
        <w:rPr>
          <w:rFonts w:ascii="Arial" w:cs="Arial" w:eastAsia="Arial" w:hAnsi="Arial"/>
          <w:sz w:val="18"/>
          <w:szCs w:val="18"/>
          <w:color w:val="auto"/>
        </w:rPr>
        <w:t>further consolidation among shipping lines and/or container lessors;</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47"/>
        </w:numPr>
        <w:rPr>
          <w:rFonts w:ascii="Arial" w:cs="Arial" w:eastAsia="Arial" w:hAnsi="Arial"/>
          <w:sz w:val="18"/>
          <w:szCs w:val="18"/>
          <w:color w:val="auto"/>
        </w:rPr>
      </w:pPr>
      <w:r>
        <w:rPr>
          <w:rFonts w:ascii="Arial" w:cs="Arial" w:eastAsia="Arial" w:hAnsi="Arial"/>
          <w:sz w:val="18"/>
          <w:szCs w:val="18"/>
          <w:color w:val="auto"/>
        </w:rPr>
        <w:t>further consolidation of container manufacturers and/or decreased access to new containers; and</w:t>
      </w:r>
    </w:p>
    <w:p>
      <w:pPr>
        <w:spacing w:after="0" w:line="130" w:lineRule="exact"/>
        <w:rPr>
          <w:rFonts w:ascii="Arial" w:cs="Arial" w:eastAsia="Arial" w:hAnsi="Arial"/>
          <w:sz w:val="18"/>
          <w:szCs w:val="18"/>
          <w:color w:val="auto"/>
        </w:rPr>
      </w:pPr>
    </w:p>
    <w:p>
      <w:pPr>
        <w:ind w:left="960" w:right="500" w:hanging="532"/>
        <w:spacing w:after="0" w:line="277" w:lineRule="auto"/>
        <w:tabs>
          <w:tab w:leader="none" w:pos="960" w:val="left"/>
        </w:tabs>
        <w:numPr>
          <w:ilvl w:val="0"/>
          <w:numId w:val="47"/>
        </w:numPr>
        <w:rPr>
          <w:rFonts w:ascii="Arial" w:cs="Arial" w:eastAsia="Arial" w:hAnsi="Arial"/>
          <w:sz w:val="18"/>
          <w:szCs w:val="18"/>
          <w:color w:val="auto"/>
        </w:rPr>
      </w:pPr>
      <w:r>
        <w:rPr>
          <w:rFonts w:ascii="Arial" w:cs="Arial" w:eastAsia="Arial" w:hAnsi="Arial"/>
          <w:sz w:val="18"/>
          <w:szCs w:val="18"/>
          <w:color w:val="auto"/>
        </w:rPr>
        <w:t>global and macroeconomic factors that affect trade generally, such as recessions, terrorist attacks, pandemics, such as the COVID-19 pandemic, or the outbreak of war and hostilities.</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53</w:t>
      </w:r>
    </w:p>
    <w:p>
      <w:pPr>
        <w:sectPr>
          <w:pgSz w:w="11900" w:h="16838" w:orient="portrait"/>
          <w:cols w:equalWidth="0" w:num="1">
            <w:col w:w="11020"/>
          </w:cols>
          <w:pgMar w:left="440" w:top="274" w:right="439" w:bottom="1440" w:gutter="0" w:footer="0" w:header="0"/>
        </w:sectPr>
      </w:pPr>
    </w:p>
    <w:bookmarkStart w:id="67" w:name="page68"/>
    <w:bookmarkEnd w:id="67"/>
    <w:p>
      <w:pPr>
        <w:ind w:right="600"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For further details of these and other factors which may affect our business and results of operations, see Item 3, </w:t>
      </w:r>
      <w:r>
        <w:rPr>
          <w:rFonts w:ascii="Arial" w:cs="Arial" w:eastAsia="Arial" w:hAnsi="Arial"/>
          <w:sz w:val="18"/>
          <w:szCs w:val="18"/>
          <w:i w:val="1"/>
          <w:iCs w:val="1"/>
          <w:color w:val="auto"/>
        </w:rPr>
        <w:t>“Key Information — Risk</w:t>
      </w:r>
      <w:r>
        <w:rPr>
          <w:rFonts w:ascii="Arial" w:cs="Arial" w:eastAsia="Arial" w:hAnsi="Arial"/>
          <w:sz w:val="18"/>
          <w:szCs w:val="18"/>
          <w:color w:val="auto"/>
        </w:rPr>
        <w:t xml:space="preserve"> </w:t>
      </w:r>
      <w:r>
        <w:rPr>
          <w:rFonts w:ascii="Arial" w:cs="Arial" w:eastAsia="Arial" w:hAnsi="Arial"/>
          <w:sz w:val="18"/>
          <w:szCs w:val="18"/>
          <w:i w:val="1"/>
          <w:iCs w:val="1"/>
          <w:color w:val="auto"/>
        </w:rPr>
        <w:t>Factors.”</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Revenue</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Our revenue comprises lease rental income, management fees – non-leasing and trading container margin.</w:t>
      </w:r>
    </w:p>
    <w:p>
      <w:pPr>
        <w:spacing w:after="0" w:line="225" w:lineRule="exact"/>
        <w:rPr>
          <w:sz w:val="20"/>
          <w:szCs w:val="20"/>
          <w:color w:val="auto"/>
        </w:rPr>
      </w:pPr>
    </w:p>
    <w:p>
      <w:pPr>
        <w:ind w:right="20" w:firstLine="440"/>
        <w:spacing w:after="0" w:line="296" w:lineRule="auto"/>
        <w:rPr>
          <w:sz w:val="20"/>
          <w:szCs w:val="20"/>
          <w:color w:val="auto"/>
        </w:rPr>
      </w:pPr>
      <w:r>
        <w:rPr>
          <w:rFonts w:ascii="Arial" w:cs="Arial" w:eastAsia="Arial" w:hAnsi="Arial"/>
          <w:sz w:val="16"/>
          <w:szCs w:val="16"/>
          <w:b w:val="1"/>
          <w:bCs w:val="1"/>
          <w:i w:val="1"/>
          <w:iCs w:val="1"/>
          <w:color w:val="auto"/>
        </w:rPr>
        <w:t xml:space="preserve">Lease Rental Income. </w:t>
      </w:r>
      <w:r>
        <w:rPr>
          <w:rFonts w:ascii="Arial" w:cs="Arial" w:eastAsia="Arial" w:hAnsi="Arial"/>
          <w:sz w:val="16"/>
          <w:szCs w:val="16"/>
          <w:color w:val="auto"/>
        </w:rPr>
        <w:t>We generate lease rental income by leasing our owned container fleet and managed container fleet to container shipping</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lines and other customers. Lease rental income comprises daily per diem rental charges due under the lease agreements, together with payments for other charges set forth in the leases, such as handling fees, drop-off charges and pick-up charges and credits (together “geography revenue”) and charges for a DPP. The operating results of our owned container business are determined by the amount by which our container rental revenue exceeds our ownership costs, consisting primarily of depreciation, interest expense, storage, handling and other direct operating expenses and management costs.</w:t>
      </w:r>
    </w:p>
    <w:p>
      <w:pPr>
        <w:spacing w:after="0" w:line="161" w:lineRule="exact"/>
        <w:rPr>
          <w:sz w:val="20"/>
          <w:szCs w:val="20"/>
          <w:color w:val="auto"/>
        </w:rPr>
      </w:pPr>
    </w:p>
    <w:p>
      <w:pPr>
        <w:ind w:firstLine="440"/>
        <w:spacing w:after="0" w:line="259" w:lineRule="auto"/>
        <w:rPr>
          <w:sz w:val="20"/>
          <w:szCs w:val="20"/>
          <w:color w:val="auto"/>
        </w:rPr>
      </w:pPr>
      <w:r>
        <w:rPr>
          <w:rFonts w:ascii="Arial" w:cs="Arial" w:eastAsia="Arial" w:hAnsi="Arial"/>
          <w:sz w:val="18"/>
          <w:szCs w:val="18"/>
          <w:color w:val="auto"/>
        </w:rPr>
        <w:t>Lease rental income and operating expenses arising from the leasing services of the managed portion of our fleet are included on a gross amount basis in our consolidated statements of operations</w:t>
      </w:r>
      <w:r>
        <w:rPr>
          <w:rFonts w:ascii="Arial" w:cs="Arial" w:eastAsia="Arial" w:hAnsi="Arial"/>
          <w:sz w:val="18"/>
          <w:szCs w:val="18"/>
          <w:i w:val="1"/>
          <w:iCs w:val="1"/>
          <w:color w:val="auto"/>
        </w:rPr>
        <w:t>.</w:t>
      </w:r>
      <w:r>
        <w:rPr>
          <w:rFonts w:ascii="Arial" w:cs="Arial" w:eastAsia="Arial" w:hAnsi="Arial"/>
          <w:sz w:val="18"/>
          <w:szCs w:val="18"/>
          <w:color w:val="auto"/>
        </w:rPr>
        <w:t xml:space="preserve"> We earn management fees from management of the container investor’s containers, which include the leasing, repair, repositioning and storage of the managed fleet pursuant to management agreements with container investors. The management agreements typically cover the entire economic life of the containers.</w:t>
      </w:r>
    </w:p>
    <w:p>
      <w:pPr>
        <w:spacing w:after="0" w:line="187" w:lineRule="exact"/>
        <w:rPr>
          <w:sz w:val="20"/>
          <w:szCs w:val="20"/>
          <w:color w:val="auto"/>
        </w:rPr>
      </w:pPr>
    </w:p>
    <w:p>
      <w:pPr>
        <w:ind w:right="40" w:firstLine="440"/>
        <w:spacing w:after="0" w:line="293" w:lineRule="auto"/>
        <w:rPr>
          <w:sz w:val="20"/>
          <w:szCs w:val="20"/>
          <w:color w:val="auto"/>
        </w:rPr>
      </w:pPr>
      <w:r>
        <w:rPr>
          <w:rFonts w:ascii="Arial" w:cs="Arial" w:eastAsia="Arial" w:hAnsi="Arial"/>
          <w:sz w:val="16"/>
          <w:szCs w:val="16"/>
          <w:color w:val="auto"/>
        </w:rPr>
        <w:t>Utilization is a key performance indicator that demonstrates how much of our equipment is on lease at a point in time or over a period of time. We measure utilization on the basis of CEU on lease, dividing the actual number of CEU days on-hire by actual CEU days available for lease. We calculate containers available for lease by excluding containers that have been manufactured for us but have not yet been delivered to a lessee and containers designated as held for sale units. Our utilization is primarily a function of our current lease structure, overall level of container demand, the location of our available containers and prevailing lease terms by location. The location of available containers is critical because containers available in high-demand locations are more readily leased and are typically leased on more favorable terms than containers available in low-demand locations.</w:t>
      </w:r>
    </w:p>
    <w:p>
      <w:pPr>
        <w:spacing w:after="0" w:line="164" w:lineRule="exact"/>
        <w:rPr>
          <w:sz w:val="20"/>
          <w:szCs w:val="20"/>
          <w:color w:val="auto"/>
        </w:rPr>
      </w:pPr>
    </w:p>
    <w:p>
      <w:pPr>
        <w:ind w:right="60" w:firstLine="440"/>
        <w:spacing w:after="0" w:line="291" w:lineRule="auto"/>
        <w:rPr>
          <w:sz w:val="20"/>
          <w:szCs w:val="20"/>
          <w:color w:val="auto"/>
        </w:rPr>
      </w:pPr>
      <w:r>
        <w:rPr>
          <w:rFonts w:ascii="Arial" w:cs="Arial" w:eastAsia="Arial" w:hAnsi="Arial"/>
          <w:sz w:val="16"/>
          <w:szCs w:val="16"/>
          <w:color w:val="auto"/>
        </w:rPr>
        <w:t>Lease rental income is also affected by per diem rates. The per diem rate for a lease is set at the time we enter into a lease agreement. Our long-term per diem rate for new containers has historically been strongly influenced by new container pricing (which in turn is heavily influenced by the cost of container manufacturing inputs such as steel, paint, wood, labor and other components), interest rates, the balance of supply and demand for containers at a particular time and location, our estimate of the residual value of the container at the end of its useful life in marine service, the type of the container being leased, container purchasing activities by container shipping lines and competitors, and efficiencies in container utilization by container shipping lines. Average per diem rates for containers in our owned fleet and in the portfolios of containers comprising our managed fleet change slowly in response to changes in new container prices because existing lease agreements can only be re-priced upon expiration of the lease.</w:t>
      </w:r>
    </w:p>
    <w:p>
      <w:pPr>
        <w:spacing w:after="0" w:line="166" w:lineRule="exact"/>
        <w:rPr>
          <w:sz w:val="20"/>
          <w:szCs w:val="20"/>
          <w:color w:val="auto"/>
        </w:rPr>
      </w:pPr>
    </w:p>
    <w:p>
      <w:pPr>
        <w:ind w:right="180" w:firstLine="440"/>
        <w:spacing w:after="0" w:line="296" w:lineRule="auto"/>
        <w:rPr>
          <w:sz w:val="20"/>
          <w:szCs w:val="20"/>
          <w:color w:val="auto"/>
        </w:rPr>
      </w:pPr>
      <w:r>
        <w:rPr>
          <w:rFonts w:ascii="Arial" w:cs="Arial" w:eastAsia="Arial" w:hAnsi="Arial"/>
          <w:sz w:val="16"/>
          <w:szCs w:val="16"/>
          <w:b w:val="1"/>
          <w:bCs w:val="1"/>
          <w:i w:val="1"/>
          <w:iCs w:val="1"/>
          <w:color w:val="auto"/>
        </w:rPr>
        <w:t xml:space="preserve">Management Fees – non-leasing. </w:t>
      </w:r>
      <w:r>
        <w:rPr>
          <w:rFonts w:ascii="Arial" w:cs="Arial" w:eastAsia="Arial" w:hAnsi="Arial"/>
          <w:sz w:val="16"/>
          <w:szCs w:val="16"/>
          <w:color w:val="auto"/>
        </w:rPr>
        <w:t>Management fee from non-leasing services is generated by our management services, which include the</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acquisition and disposition of containers. We provide these management services pursuant to management agreements with container investors. Under these agreements, we earn fees for the acquisition of new containers and a sales commission upon disposition of containers under management. Our acquisition fees are calculated as a percentage of the cost of the container and are deferred and recognized as earned on a straight-line basis over the deemed lease term. Our sales commissions are either a fixed dollar amount or based on a percentage of the sales price.</w:t>
      </w:r>
    </w:p>
    <w:p>
      <w:pPr>
        <w:spacing w:after="0" w:line="161" w:lineRule="exact"/>
        <w:rPr>
          <w:sz w:val="20"/>
          <w:szCs w:val="20"/>
          <w:color w:val="auto"/>
        </w:rPr>
      </w:pPr>
    </w:p>
    <w:p>
      <w:pPr>
        <w:ind w:right="660" w:firstLine="440"/>
        <w:spacing w:after="0" w:line="342" w:lineRule="auto"/>
        <w:rPr>
          <w:sz w:val="20"/>
          <w:szCs w:val="20"/>
          <w:color w:val="auto"/>
        </w:rPr>
      </w:pPr>
      <w:r>
        <w:rPr>
          <w:rFonts w:ascii="Arial" w:cs="Arial" w:eastAsia="Arial" w:hAnsi="Arial"/>
          <w:sz w:val="16"/>
          <w:szCs w:val="16"/>
          <w:color w:val="auto"/>
        </w:rPr>
        <w:t>All rental operations are conducted worldwide in our name as agent for the container investors. Customer accounts receivable and vendor payables arising from direct container operations of the managed portion of our fleet are included in our consolidated balance sheets.</w:t>
      </w:r>
    </w:p>
    <w:p>
      <w:pPr>
        <w:spacing w:after="0" w:line="124" w:lineRule="exact"/>
        <w:rPr>
          <w:sz w:val="20"/>
          <w:szCs w:val="20"/>
          <w:color w:val="auto"/>
        </w:rPr>
      </w:pPr>
    </w:p>
    <w:p>
      <w:pPr>
        <w:ind w:right="80" w:firstLine="440"/>
        <w:spacing w:after="0" w:line="263" w:lineRule="auto"/>
        <w:rPr>
          <w:sz w:val="20"/>
          <w:szCs w:val="20"/>
          <w:color w:val="auto"/>
        </w:rPr>
      </w:pPr>
      <w:r>
        <w:rPr>
          <w:rFonts w:ascii="Arial" w:cs="Arial" w:eastAsia="Arial" w:hAnsi="Arial"/>
          <w:sz w:val="18"/>
          <w:szCs w:val="18"/>
          <w:b w:val="1"/>
          <w:bCs w:val="1"/>
          <w:i w:val="1"/>
          <w:iCs w:val="1"/>
          <w:color w:val="auto"/>
        </w:rPr>
        <w:t xml:space="preserve">Trading Container Margin. </w:t>
      </w:r>
      <w:r>
        <w:rPr>
          <w:rFonts w:ascii="Arial" w:cs="Arial" w:eastAsia="Arial" w:hAnsi="Arial"/>
          <w:sz w:val="18"/>
          <w:szCs w:val="18"/>
          <w:color w:val="auto"/>
        </w:rPr>
        <w:t>Our Container Resale Division purchases new trading containers and used containers from third parties, primarily</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shipping lines, and resells these containers to a wide variety of buyers. Trading container margin represents the sales proceeds of these containers net of the cost at the time the containers are sold.</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54</w:t>
      </w:r>
    </w:p>
    <w:p>
      <w:pPr>
        <w:sectPr>
          <w:pgSz w:w="11900" w:h="16838" w:orient="portrait"/>
          <w:cols w:equalWidth="0" w:num="1">
            <w:col w:w="11000"/>
          </w:cols>
          <w:pgMar w:left="440" w:top="274" w:right="459" w:bottom="1440" w:gutter="0" w:footer="0" w:header="0"/>
        </w:sectPr>
      </w:pPr>
    </w:p>
    <w:bookmarkStart w:id="68" w:name="page69"/>
    <w:bookmarkEnd w:id="68"/>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7174865" cy="38735"/>
                    </a:xfrm>
                    <a:prstGeom prst="rect">
                      <a:avLst/>
                    </a:prstGeom>
                    <a:noFill/>
                  </pic:spPr>
                </pic:pic>
              </a:graphicData>
            </a:graphic>
          </wp:anchor>
        </w:drawing>
        <w:t>Gain on Sale of Owned Fleet Containers, net</w:t>
      </w:r>
    </w:p>
    <w:p>
      <w:pPr>
        <w:spacing w:after="0" w:line="121" w:lineRule="exact"/>
        <w:rPr>
          <w:sz w:val="20"/>
          <w:szCs w:val="20"/>
          <w:color w:val="auto"/>
        </w:rPr>
      </w:pPr>
    </w:p>
    <w:p>
      <w:pPr>
        <w:ind w:right="60" w:firstLine="440"/>
        <w:spacing w:after="0" w:line="257" w:lineRule="auto"/>
        <w:rPr>
          <w:sz w:val="20"/>
          <w:szCs w:val="20"/>
          <w:color w:val="auto"/>
        </w:rPr>
      </w:pPr>
      <w:r>
        <w:rPr>
          <w:rFonts w:ascii="Arial" w:cs="Arial" w:eastAsia="Arial" w:hAnsi="Arial"/>
          <w:sz w:val="18"/>
          <w:szCs w:val="18"/>
          <w:color w:val="auto"/>
        </w:rPr>
        <w:t>Gain on sale of owned fleet containers, net, represents the excess of the sale price of our owned fleet containers over their net book value at the time of sale. Containers are generally sold at the end of their useful lives in marine service or when we believe it is financially attractive for us to do so, considering the location, sale price, cost of repair and possible repositioning expenses. Gain on sale of owned fleet containers, net, also includes gains (losses) recognized at the inception of sales-type leases of our owned fleet, representing the excess (deficiency) of the estimated fair value of containers placed on sales-type leases over (below) their book value.</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Operating Expenses</w:t>
      </w:r>
    </w:p>
    <w:p>
      <w:pPr>
        <w:spacing w:after="0" w:line="121" w:lineRule="exact"/>
        <w:rPr>
          <w:sz w:val="20"/>
          <w:szCs w:val="20"/>
          <w:color w:val="auto"/>
        </w:rPr>
      </w:pPr>
    </w:p>
    <w:p>
      <w:pPr>
        <w:jc w:val="both"/>
        <w:ind w:right="140" w:firstLine="440"/>
        <w:spacing w:after="0" w:line="263" w:lineRule="auto"/>
        <w:rPr>
          <w:sz w:val="20"/>
          <w:szCs w:val="20"/>
          <w:color w:val="auto"/>
        </w:rPr>
      </w:pPr>
      <w:r>
        <w:rPr>
          <w:rFonts w:ascii="Arial" w:cs="Arial" w:eastAsia="Arial" w:hAnsi="Arial"/>
          <w:sz w:val="18"/>
          <w:szCs w:val="18"/>
          <w:color w:val="auto"/>
        </w:rPr>
        <w:t>Our operating expenses include direct container expenses – owned fleet, distribution expenses to managed fleet container investors, depreciation expense, amortization expense, general and administrative expenses, bad debt (recovery) expense, net and container lessee default (recovery) expense, net.</w:t>
      </w:r>
    </w:p>
    <w:p>
      <w:pPr>
        <w:spacing w:after="0" w:line="184" w:lineRule="exact"/>
        <w:rPr>
          <w:sz w:val="20"/>
          <w:szCs w:val="20"/>
          <w:color w:val="auto"/>
        </w:rPr>
      </w:pPr>
    </w:p>
    <w:p>
      <w:pPr>
        <w:ind w:right="20" w:firstLine="440"/>
        <w:spacing w:after="0" w:line="289" w:lineRule="auto"/>
        <w:rPr>
          <w:sz w:val="20"/>
          <w:szCs w:val="20"/>
          <w:color w:val="auto"/>
        </w:rPr>
      </w:pPr>
      <w:r>
        <w:rPr>
          <w:rFonts w:ascii="Arial" w:cs="Arial" w:eastAsia="Arial" w:hAnsi="Arial"/>
          <w:sz w:val="16"/>
          <w:szCs w:val="16"/>
          <w:b w:val="1"/>
          <w:bCs w:val="1"/>
          <w:i w:val="1"/>
          <w:iCs w:val="1"/>
          <w:color w:val="auto"/>
        </w:rPr>
        <w:t xml:space="preserve">Direct Container Expenses – Owned Fleet. </w:t>
      </w:r>
      <w:r>
        <w:rPr>
          <w:rFonts w:ascii="Arial" w:cs="Arial" w:eastAsia="Arial" w:hAnsi="Arial"/>
          <w:sz w:val="16"/>
          <w:szCs w:val="16"/>
          <w:color w:val="auto"/>
        </w:rPr>
        <w:t>Storage, handling, maintenance, repositioning, agency costs, insurance expenses and other direct</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container expenses are operating costs of our owned fleet. Storage and handling expenses occur when our customers drop off containers at depots around the world. Storage and handling expenses vary significantly by location. Other direct container expenses include maintenance expenses, which are the result of normal wear and tear on the containers, and repositioning expenses, which are incurred when we contract to move containers from locations where our inventories exceed actual or expected demand to locations with higher demand. Other direct container expenses also include agency costs, which are operational expenses incurred in our agent offices, and insurance expenses, which include customer default insurance premiums. Storage, handling, maintenance, repositioning, and other direct container expenses are directly related to the number of containers in our owned fleet and inversely related to our utilization rate for those containers. As utilization increases, we typically have lower storage, handling, maintenance and repositioning expenses. We use the direct expense method of accounting for maintenance and repairs.</w:t>
      </w:r>
    </w:p>
    <w:p>
      <w:pPr>
        <w:spacing w:after="0" w:line="166" w:lineRule="exact"/>
        <w:rPr>
          <w:sz w:val="20"/>
          <w:szCs w:val="20"/>
          <w:color w:val="auto"/>
        </w:rPr>
      </w:pPr>
    </w:p>
    <w:p>
      <w:pPr>
        <w:ind w:firstLine="440"/>
        <w:spacing w:after="0" w:line="293" w:lineRule="auto"/>
        <w:rPr>
          <w:sz w:val="20"/>
          <w:szCs w:val="20"/>
          <w:color w:val="auto"/>
        </w:rPr>
      </w:pPr>
      <w:r>
        <w:rPr>
          <w:rFonts w:ascii="Arial" w:cs="Arial" w:eastAsia="Arial" w:hAnsi="Arial"/>
          <w:sz w:val="16"/>
          <w:szCs w:val="16"/>
          <w:color w:val="auto"/>
        </w:rPr>
        <w:t>Our leases require the lessee to pay for any damage to the container beyond normal wear and tear at the end of the lease term. We also offer a DPP pursuant to which the lessee pays a fee over the term of the lease (per diem) or a lump sum upon return of containers in exchange for not being charged for certain damages at the end of the lease term. This revenue is recognized as earned over the term of the lease. We do not recognize DPP revenue and related expense over the lease term for customers who are billed at the end of the lease term under the DPP or for other lessees who do not participate in the DPP. Based on past history, there is uncertainty as to collectability of these amounts from lessees who are billed at the end of the lease term because the amounts due under the DPP are typically re-negotiated at the end of the lease term or the lease term is extended.</w:t>
      </w:r>
    </w:p>
    <w:p>
      <w:pPr>
        <w:spacing w:after="0" w:line="164" w:lineRule="exact"/>
        <w:rPr>
          <w:sz w:val="20"/>
          <w:szCs w:val="20"/>
          <w:color w:val="auto"/>
        </w:rPr>
      </w:pPr>
    </w:p>
    <w:p>
      <w:pPr>
        <w:ind w:right="240" w:firstLine="440"/>
        <w:spacing w:after="0" w:line="311" w:lineRule="auto"/>
        <w:rPr>
          <w:sz w:val="20"/>
          <w:szCs w:val="20"/>
          <w:color w:val="auto"/>
        </w:rPr>
      </w:pPr>
      <w:r>
        <w:rPr>
          <w:rFonts w:ascii="Arial" w:cs="Arial" w:eastAsia="Arial" w:hAnsi="Arial"/>
          <w:sz w:val="16"/>
          <w:szCs w:val="16"/>
          <w:b w:val="1"/>
          <w:bCs w:val="1"/>
          <w:i w:val="1"/>
          <w:iCs w:val="1"/>
          <w:color w:val="auto"/>
        </w:rPr>
        <w:t xml:space="preserve">Distribution to Managed Fleet Container Investors. </w:t>
      </w:r>
      <w:r>
        <w:rPr>
          <w:rFonts w:ascii="Arial" w:cs="Arial" w:eastAsia="Arial" w:hAnsi="Arial"/>
          <w:sz w:val="16"/>
          <w:szCs w:val="16"/>
          <w:color w:val="auto"/>
        </w:rPr>
        <w:t>Our distribution amounts to container investors for the managed fleet includes the net</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operating income of each container investor’s fleet, reduced by the management fees earned and retained by the Company. This amount also includes expenses related to the operation of the managed containers which are presented on a gross basis in the consolidated statements of operations.</w:t>
      </w:r>
    </w:p>
    <w:p>
      <w:pPr>
        <w:spacing w:after="0" w:line="149" w:lineRule="exact"/>
        <w:rPr>
          <w:sz w:val="20"/>
          <w:szCs w:val="20"/>
          <w:color w:val="auto"/>
        </w:rPr>
      </w:pPr>
    </w:p>
    <w:p>
      <w:pPr>
        <w:ind w:right="240" w:firstLine="440"/>
        <w:spacing w:after="0" w:line="273" w:lineRule="auto"/>
        <w:rPr>
          <w:sz w:val="20"/>
          <w:szCs w:val="20"/>
          <w:color w:val="auto"/>
        </w:rPr>
      </w:pPr>
      <w:r>
        <w:rPr>
          <w:rFonts w:ascii="Arial" w:cs="Arial" w:eastAsia="Arial" w:hAnsi="Arial"/>
          <w:sz w:val="17"/>
          <w:szCs w:val="17"/>
          <w:color w:val="auto"/>
        </w:rPr>
        <w:t>Our management fees from leasing services are calculated as a percentage of net operating income of the containers. Net operating income is calculated as the lease payment and any other revenue attributable to a container, minus operating expenses related to that container (but not depreciation or financing expenses of the container investor). The container investors are responsible for the direct container expenses incurred in the operation of the managed fleet. The management fee percentage generally varies based upon the type of lease and the terms of the management agreement. Management fee percentages for long-term leases are generally lower than management fee percentages for master or spot leases because less daily involvement by management personnel is required to manage long-term leases.</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55</w:t>
      </w:r>
    </w:p>
    <w:p>
      <w:pPr>
        <w:sectPr>
          <w:pgSz w:w="11900" w:h="16838" w:orient="portrait"/>
          <w:cols w:equalWidth="0" w:num="1">
            <w:col w:w="10980"/>
          </w:cols>
          <w:pgMar w:left="440" w:top="270" w:right="479" w:bottom="1440" w:gutter="0" w:footer="0" w:header="0"/>
        </w:sectPr>
      </w:pPr>
    </w:p>
    <w:bookmarkStart w:id="69" w:name="page70"/>
    <w:bookmarkEnd w:id="69"/>
    <w:p>
      <w:pPr>
        <w:ind w:right="20" w:firstLine="440"/>
        <w:spacing w:after="0" w:line="271" w:lineRule="auto"/>
        <w:rPr>
          <w:sz w:val="20"/>
          <w:szCs w:val="20"/>
          <w:color w:val="auto"/>
        </w:rPr>
      </w:pPr>
      <w:r>
        <w:rPr>
          <w:rFonts w:ascii="Arial" w:cs="Arial" w:eastAsia="Arial" w:hAnsi="Arial"/>
          <w:sz w:val="17"/>
          <w:szCs w:val="17"/>
          <w:b w:val="1"/>
          <w:bCs w:val="1"/>
          <w:i w:val="1"/>
          <w:i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Depreciation Expense. </w:t>
      </w:r>
      <w:r>
        <w:rPr>
          <w:rFonts w:ascii="Arial" w:cs="Arial" w:eastAsia="Arial" w:hAnsi="Arial"/>
          <w:sz w:val="17"/>
          <w:szCs w:val="17"/>
          <w:color w:val="auto"/>
        </w:rPr>
        <w:t>We depreciate our standard dry freight containers over a period of 13 to 14 years, refrigerated containers over a period of</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l2 years, tank containers over a period of 20 years and open top and flat rack containers over a period of 14 to 16 years, on a straight-line basis to a fixed residual value. We regularly assess both the estimated useful life of our containers and the expected residual values, and, when warranted, adjust our depreciation estimates accordingly. Depreciation expense will vary over time based upon the number and the purchase price of containers in our owned fleet. Beginning from the third quarter of 2017, depreciation of our existing owned fleet decreased as a result of an increase in the estimated residual value of our 20’ dry containers, 40’ dry containers and 40’ high cube dry containers. Beginning from the third quarter of 2018, depreciation of our existing owned fleet decreased as a result of an increase in the estimated residual value of our 40’ high cube dry containers, partially offset by a decrease in the estimated residual value of our 40’ high cube refrigerated containers.</w:t>
      </w:r>
    </w:p>
    <w:p>
      <w:pPr>
        <w:spacing w:after="0" w:line="178" w:lineRule="exact"/>
        <w:rPr>
          <w:sz w:val="20"/>
          <w:szCs w:val="20"/>
          <w:color w:val="auto"/>
        </w:rPr>
      </w:pPr>
    </w:p>
    <w:p>
      <w:pPr>
        <w:ind w:right="300" w:firstLine="440"/>
        <w:spacing w:after="0" w:line="311" w:lineRule="auto"/>
        <w:rPr>
          <w:sz w:val="20"/>
          <w:szCs w:val="20"/>
          <w:color w:val="auto"/>
        </w:rPr>
      </w:pPr>
      <w:r>
        <w:rPr>
          <w:rFonts w:ascii="Arial" w:cs="Arial" w:eastAsia="Arial" w:hAnsi="Arial"/>
          <w:sz w:val="16"/>
          <w:szCs w:val="16"/>
          <w:color w:val="auto"/>
        </w:rPr>
        <w:t>In addition, we evaluate our containers held for use in our leasing operation to determine whether there has been any event such as a decline in results of operations or residual values that would cause the book value of our containers held for use to be impaired. When an impairment exists, containers held for use are written down to their fair value and the amount of the write down is recorded in depreciation expense.</w:t>
      </w:r>
    </w:p>
    <w:p>
      <w:pPr>
        <w:spacing w:after="0" w:line="149" w:lineRule="exact"/>
        <w:rPr>
          <w:sz w:val="20"/>
          <w:szCs w:val="20"/>
          <w:color w:val="auto"/>
        </w:rPr>
      </w:pPr>
    </w:p>
    <w:p>
      <w:pPr>
        <w:ind w:right="240" w:firstLine="440"/>
        <w:spacing w:after="0" w:line="257" w:lineRule="auto"/>
        <w:rPr>
          <w:sz w:val="20"/>
          <w:szCs w:val="20"/>
          <w:color w:val="auto"/>
        </w:rPr>
      </w:pPr>
      <w:r>
        <w:rPr>
          <w:rFonts w:ascii="Arial" w:cs="Arial" w:eastAsia="Arial" w:hAnsi="Arial"/>
          <w:sz w:val="18"/>
          <w:szCs w:val="18"/>
          <w:color w:val="auto"/>
        </w:rPr>
        <w:t>When the Company is required to write down the cost basis of its containers identified for sale to fair value less cost to sell, the Company measures the fair value of its containers identified for sale under a Level 2 input. The Company relies on its recent sales prices for identical or similar assets in markets, by geography, that are active. The Company records impairments to write down the value of containers identified for sale to their estimated fair value less cost to sell. Any subsequent increase in fair value are recognized as reversal of container impairment but not in excess of the cumulative loss previously recognized.</w:t>
      </w:r>
    </w:p>
    <w:p>
      <w:pPr>
        <w:spacing w:after="0" w:line="188" w:lineRule="exact"/>
        <w:rPr>
          <w:sz w:val="20"/>
          <w:szCs w:val="20"/>
          <w:color w:val="auto"/>
        </w:rPr>
      </w:pPr>
    </w:p>
    <w:p>
      <w:pPr>
        <w:ind w:firstLine="440"/>
        <w:spacing w:after="0" w:line="259" w:lineRule="auto"/>
        <w:rPr>
          <w:sz w:val="20"/>
          <w:szCs w:val="20"/>
          <w:color w:val="auto"/>
        </w:rPr>
      </w:pPr>
      <w:r>
        <w:rPr>
          <w:rFonts w:ascii="Arial" w:cs="Arial" w:eastAsia="Arial" w:hAnsi="Arial"/>
          <w:sz w:val="18"/>
          <w:szCs w:val="18"/>
          <w:b w:val="1"/>
          <w:bCs w:val="1"/>
          <w:i w:val="1"/>
          <w:iCs w:val="1"/>
          <w:color w:val="auto"/>
        </w:rPr>
        <w:t xml:space="preserve">Amortization Expense. </w:t>
      </w:r>
      <w:r>
        <w:rPr>
          <w:rFonts w:ascii="Arial" w:cs="Arial" w:eastAsia="Arial" w:hAnsi="Arial"/>
          <w:sz w:val="18"/>
          <w:szCs w:val="18"/>
          <w:color w:val="auto"/>
        </w:rPr>
        <w:t>Amortization expense represents the amortization of the price paid for the rights to manage the container fleets of Capital</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Intermodal Limited, Capital Intermodal GmbH and Capital Intermodal Assets Limited (collectively “Capital Intermodal”) and Amphibious Container Leasing Limited (“Amficon”); Capital Lease Limited, Hong Kong (“Capital”). The purchase prices are being amortized over the expected useful lives of the contracts on a pro-rata basis to the expected management fees.</w:t>
      </w:r>
    </w:p>
    <w:p>
      <w:pPr>
        <w:spacing w:after="0" w:line="187" w:lineRule="exact"/>
        <w:rPr>
          <w:sz w:val="20"/>
          <w:szCs w:val="20"/>
          <w:color w:val="auto"/>
        </w:rPr>
      </w:pPr>
    </w:p>
    <w:p>
      <w:pPr>
        <w:ind w:right="320" w:firstLine="440"/>
        <w:spacing w:after="0" w:line="263" w:lineRule="auto"/>
        <w:rPr>
          <w:sz w:val="20"/>
          <w:szCs w:val="20"/>
          <w:color w:val="auto"/>
        </w:rPr>
      </w:pPr>
      <w:r>
        <w:rPr>
          <w:rFonts w:ascii="Arial" w:cs="Arial" w:eastAsia="Arial" w:hAnsi="Arial"/>
          <w:sz w:val="18"/>
          <w:szCs w:val="18"/>
          <w:b w:val="1"/>
          <w:bCs w:val="1"/>
          <w:i w:val="1"/>
          <w:iCs w:val="1"/>
          <w:color w:val="auto"/>
        </w:rPr>
        <w:t xml:space="preserve">General and Administrative Expense. </w:t>
      </w:r>
      <w:r>
        <w:rPr>
          <w:rFonts w:ascii="Arial" w:cs="Arial" w:eastAsia="Arial" w:hAnsi="Arial"/>
          <w:sz w:val="18"/>
          <w:szCs w:val="18"/>
          <w:color w:val="auto"/>
        </w:rPr>
        <w:t>Our general and administrative expenses are primarily employee-related costs such as salary, employee</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benefits, short-term and long-term incentive compensation expense, rent, travel and entertainment costs, as well as expenses incurred for outside services such as legal, consulting, tax and audit-related fees.</w:t>
      </w:r>
    </w:p>
    <w:p>
      <w:pPr>
        <w:spacing w:after="0" w:line="184" w:lineRule="exact"/>
        <w:rPr>
          <w:sz w:val="20"/>
          <w:szCs w:val="20"/>
          <w:color w:val="auto"/>
        </w:rPr>
      </w:pPr>
    </w:p>
    <w:p>
      <w:pPr>
        <w:ind w:right="720" w:firstLine="440"/>
        <w:spacing w:after="0" w:line="277" w:lineRule="auto"/>
        <w:rPr>
          <w:sz w:val="20"/>
          <w:szCs w:val="20"/>
          <w:color w:val="auto"/>
        </w:rPr>
      </w:pPr>
      <w:r>
        <w:rPr>
          <w:rFonts w:ascii="Arial" w:cs="Arial" w:eastAsia="Arial" w:hAnsi="Arial"/>
          <w:sz w:val="18"/>
          <w:szCs w:val="18"/>
          <w:b w:val="1"/>
          <w:bCs w:val="1"/>
          <w:i w:val="1"/>
          <w:iCs w:val="1"/>
          <w:color w:val="auto"/>
        </w:rPr>
        <w:t xml:space="preserve">Bad Debt (Recovery) Expense, Net. </w:t>
      </w:r>
      <w:r>
        <w:rPr>
          <w:rFonts w:ascii="Arial" w:cs="Arial" w:eastAsia="Arial" w:hAnsi="Arial"/>
          <w:sz w:val="18"/>
          <w:szCs w:val="18"/>
          <w:color w:val="auto"/>
        </w:rPr>
        <w:t>Bad debt expense, net, represents the amounts recorded to provide for an allowance for the doubtful</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collection of accounts receivable for the owned fleet, net of recoveries of previously reserved balances.</w:t>
      </w:r>
    </w:p>
    <w:p>
      <w:pPr>
        <w:spacing w:after="0" w:line="170" w:lineRule="exact"/>
        <w:rPr>
          <w:sz w:val="20"/>
          <w:szCs w:val="20"/>
          <w:color w:val="auto"/>
        </w:rPr>
      </w:pPr>
    </w:p>
    <w:p>
      <w:pPr>
        <w:ind w:right="180" w:firstLine="440"/>
        <w:spacing w:after="0" w:line="263" w:lineRule="auto"/>
        <w:rPr>
          <w:sz w:val="20"/>
          <w:szCs w:val="20"/>
          <w:color w:val="auto"/>
        </w:rPr>
      </w:pPr>
      <w:r>
        <w:rPr>
          <w:rFonts w:ascii="Arial" w:cs="Arial" w:eastAsia="Arial" w:hAnsi="Arial"/>
          <w:sz w:val="18"/>
          <w:szCs w:val="18"/>
          <w:b w:val="1"/>
          <w:bCs w:val="1"/>
          <w:i w:val="1"/>
          <w:iCs w:val="1"/>
          <w:color w:val="auto"/>
        </w:rPr>
        <w:t xml:space="preserve">Container Lessee Default (Recovery) Expense, Net. </w:t>
      </w:r>
      <w:r>
        <w:rPr>
          <w:rFonts w:ascii="Arial" w:cs="Arial" w:eastAsia="Arial" w:hAnsi="Arial"/>
          <w:sz w:val="18"/>
          <w:szCs w:val="18"/>
          <w:color w:val="auto"/>
        </w:rPr>
        <w:t>Container lessee default (recovery) expense, net, represents the amounts recorded for</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container write-off and container recovery costs from lessee default, net of gain associated with recoveries on containers previously estimated as a lost from lessee default.</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56</w:t>
      </w:r>
    </w:p>
    <w:p>
      <w:pPr>
        <w:sectPr>
          <w:pgSz w:w="11900" w:h="16838" w:orient="portrait"/>
          <w:cols w:equalWidth="0" w:num="1">
            <w:col w:w="11000"/>
          </w:cols>
          <w:pgMar w:left="440" w:top="274" w:right="459" w:bottom="1440" w:gutter="0" w:footer="0" w:header="0"/>
        </w:sectPr>
      </w:pPr>
    </w:p>
    <w:bookmarkStart w:id="70" w:name="page71"/>
    <w:bookmarkEnd w:id="70"/>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 Operating Results</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Comparison of the Years Ended December 31, 2020 and 2019</w:t>
      </w:r>
    </w:p>
    <w:p>
      <w:pPr>
        <w:spacing w:after="0" w:line="121" w:lineRule="exact"/>
        <w:rPr>
          <w:sz w:val="20"/>
          <w:szCs w:val="20"/>
          <w:color w:val="auto"/>
        </w:rPr>
      </w:pPr>
    </w:p>
    <w:p>
      <w:pPr>
        <w:ind w:firstLine="440"/>
        <w:spacing w:after="0" w:line="277" w:lineRule="auto"/>
        <w:rPr>
          <w:sz w:val="20"/>
          <w:szCs w:val="20"/>
          <w:color w:val="auto"/>
        </w:rPr>
      </w:pPr>
      <w:r>
        <w:rPr>
          <w:rFonts w:ascii="Arial" w:cs="Arial" w:eastAsia="Arial" w:hAnsi="Arial"/>
          <w:sz w:val="18"/>
          <w:szCs w:val="18"/>
          <w:color w:val="auto"/>
        </w:rPr>
        <w:t>The following table summarizes our revenues and gain on sale of owned fleet containers, net for the years ended December 31, 2020 and 2019 and changes between those periods:</w:t>
      </w:r>
    </w:p>
    <w:p>
      <w:pPr>
        <w:spacing w:after="0" w:line="189" w:lineRule="exact"/>
        <w:rPr>
          <w:sz w:val="20"/>
          <w:szCs w:val="20"/>
          <w:color w:val="auto"/>
        </w:rPr>
      </w:pPr>
    </w:p>
    <w:tbl>
      <w:tblPr>
        <w:tblLayout w:type="fixed"/>
        <w:tblInd w:w="440" w:type="dxa"/>
        <w:tblCellMar>
          <w:top w:w="0" w:type="dxa"/>
          <w:left w:w="0" w:type="dxa"/>
          <w:bottom w:w="0" w:type="dxa"/>
          <w:right w:w="0" w:type="dxa"/>
        </w:tblCellMar>
      </w:tblPr>
      <w:tr>
        <w:trPr>
          <w:trHeight w:val="171"/>
        </w:trPr>
        <w:tc>
          <w:tcPr>
            <w:tcW w:w="6040" w:type="dxa"/>
            <w:vAlign w:val="bottom"/>
          </w:tcPr>
          <w:p>
            <w:pPr>
              <w:spacing w:after="0"/>
              <w:rPr>
                <w:sz w:val="14"/>
                <w:szCs w:val="14"/>
                <w:color w:val="auto"/>
              </w:rPr>
            </w:pPr>
          </w:p>
        </w:tc>
        <w:tc>
          <w:tcPr>
            <w:tcW w:w="2120" w:type="dxa"/>
            <w:vAlign w:val="bottom"/>
            <w:gridSpan w:val="8"/>
          </w:tcPr>
          <w:p>
            <w:pPr>
              <w:jc w:val="right"/>
              <w:ind w:right="440"/>
              <w:spacing w:after="0"/>
              <w:rPr>
                <w:sz w:val="20"/>
                <w:szCs w:val="20"/>
                <w:color w:val="auto"/>
              </w:rPr>
            </w:pPr>
            <w:r>
              <w:rPr>
                <w:rFonts w:ascii="Arial" w:cs="Arial" w:eastAsia="Arial" w:hAnsi="Arial"/>
                <w:sz w:val="14"/>
                <w:szCs w:val="14"/>
                <w:b w:val="1"/>
                <w:bCs w:val="1"/>
                <w:color w:val="auto"/>
                <w:w w:val="96"/>
              </w:rPr>
              <w:t>Year Ended December 31,</w:t>
            </w:r>
          </w:p>
        </w:tc>
        <w:tc>
          <w:tcPr>
            <w:tcW w:w="100" w:type="dxa"/>
            <w:vAlign w:val="bottom"/>
          </w:tcPr>
          <w:p>
            <w:pPr>
              <w:spacing w:after="0"/>
              <w:rPr>
                <w:sz w:val="14"/>
                <w:szCs w:val="14"/>
                <w:color w:val="auto"/>
              </w:rPr>
            </w:pPr>
          </w:p>
        </w:tc>
        <w:tc>
          <w:tcPr>
            <w:tcW w:w="1860" w:type="dxa"/>
            <w:vAlign w:val="bottom"/>
            <w:gridSpan w:val="4"/>
          </w:tcPr>
          <w:p>
            <w:pPr>
              <w:jc w:val="right"/>
              <w:ind w:right="720"/>
              <w:spacing w:after="0"/>
              <w:rPr>
                <w:sz w:val="20"/>
                <w:szCs w:val="20"/>
                <w:color w:val="auto"/>
              </w:rPr>
            </w:pPr>
            <w:r>
              <w:rPr>
                <w:rFonts w:ascii="Arial" w:cs="Arial" w:eastAsia="Arial" w:hAnsi="Arial"/>
                <w:sz w:val="14"/>
                <w:szCs w:val="14"/>
                <w:b w:val="1"/>
                <w:bCs w:val="1"/>
                <w:color w:val="auto"/>
              </w:rPr>
              <w:t>2020 vs 2019</w:t>
            </w:r>
          </w:p>
        </w:tc>
        <w:tc>
          <w:tcPr>
            <w:tcW w:w="0" w:type="dxa"/>
            <w:vAlign w:val="bottom"/>
          </w:tcPr>
          <w:p>
            <w:pPr>
              <w:spacing w:after="0"/>
              <w:rPr>
                <w:sz w:val="1"/>
                <w:szCs w:val="1"/>
                <w:color w:val="auto"/>
              </w:rPr>
            </w:pPr>
          </w:p>
        </w:tc>
      </w:tr>
      <w:tr>
        <w:trPr>
          <w:trHeight w:val="142"/>
        </w:trPr>
        <w:tc>
          <w:tcPr>
            <w:tcW w:w="604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580" w:type="dxa"/>
            <w:vAlign w:val="bottom"/>
            <w:tcBorders>
              <w:top w:val="single" w:sz="8" w:color="auto"/>
            </w:tcBorders>
          </w:tcPr>
          <w:p>
            <w:pPr>
              <w:jc w:val="right"/>
              <w:ind w:right="114"/>
              <w:spacing w:after="0" w:line="142" w:lineRule="exact"/>
              <w:rPr>
                <w:sz w:val="20"/>
                <w:szCs w:val="20"/>
                <w:color w:val="auto"/>
              </w:rPr>
            </w:pPr>
            <w:r>
              <w:rPr>
                <w:rFonts w:ascii="Arial" w:cs="Arial" w:eastAsia="Arial" w:hAnsi="Arial"/>
                <w:sz w:val="14"/>
                <w:szCs w:val="14"/>
                <w:b w:val="1"/>
                <w:bCs w:val="1"/>
                <w:color w:val="auto"/>
              </w:rPr>
              <w:t>2020</w:t>
            </w:r>
          </w:p>
        </w:tc>
        <w:tc>
          <w:tcPr>
            <w:tcW w:w="20" w:type="dxa"/>
            <w:vAlign w:val="bottom"/>
            <w:tcBorders>
              <w:top w:val="single" w:sz="8" w:color="auto"/>
            </w:tcBorders>
          </w:tcPr>
          <w:p>
            <w:pPr>
              <w:spacing w:after="0"/>
              <w:rPr>
                <w:sz w:val="12"/>
                <w:szCs w:val="12"/>
                <w:color w:val="auto"/>
              </w:rPr>
            </w:pPr>
          </w:p>
        </w:tc>
        <w:tc>
          <w:tcPr>
            <w:tcW w:w="200" w:type="dxa"/>
            <w:vAlign w:val="bottom"/>
            <w:tcBorders>
              <w:top w:val="single" w:sz="8" w:color="auto"/>
            </w:tcBorders>
          </w:tcPr>
          <w:p>
            <w:pPr>
              <w:spacing w:after="0"/>
              <w:rPr>
                <w:sz w:val="12"/>
                <w:szCs w:val="12"/>
                <w:color w:val="auto"/>
              </w:rPr>
            </w:pPr>
          </w:p>
        </w:tc>
        <w:tc>
          <w:tcPr>
            <w:tcW w:w="160" w:type="dxa"/>
            <w:vAlign w:val="bottom"/>
            <w:tcBorders>
              <w:top w:val="single" w:sz="8" w:color="auto"/>
            </w:tcBorders>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600" w:type="dxa"/>
            <w:vAlign w:val="bottom"/>
            <w:tcBorders>
              <w:top w:val="single" w:sz="8" w:color="auto"/>
            </w:tcBorders>
          </w:tcPr>
          <w:p>
            <w:pPr>
              <w:jc w:val="right"/>
              <w:ind w:right="112"/>
              <w:spacing w:after="0" w:line="142" w:lineRule="exact"/>
              <w:rPr>
                <w:sz w:val="20"/>
                <w:szCs w:val="20"/>
                <w:color w:val="auto"/>
              </w:rPr>
            </w:pPr>
            <w:r>
              <w:rPr>
                <w:rFonts w:ascii="Arial" w:cs="Arial" w:eastAsia="Arial" w:hAnsi="Arial"/>
                <w:sz w:val="14"/>
                <w:szCs w:val="14"/>
                <w:b w:val="1"/>
                <w:bCs w:val="1"/>
                <w:color w:val="auto"/>
              </w:rPr>
              <w:t>2019</w:t>
            </w:r>
          </w:p>
        </w:tc>
        <w:tc>
          <w:tcPr>
            <w:tcW w:w="360" w:type="dxa"/>
            <w:vAlign w:val="bottom"/>
          </w:tcPr>
          <w:p>
            <w:pPr>
              <w:spacing w:after="0"/>
              <w:rPr>
                <w:sz w:val="12"/>
                <w:szCs w:val="12"/>
                <w:color w:val="auto"/>
              </w:rPr>
            </w:pPr>
          </w:p>
        </w:tc>
        <w:tc>
          <w:tcPr>
            <w:tcW w:w="1040" w:type="dxa"/>
            <w:vAlign w:val="bottom"/>
            <w:tcBorders>
              <w:top w:val="single" w:sz="8" w:color="auto"/>
            </w:tcBorders>
            <w:gridSpan w:val="3"/>
          </w:tcPr>
          <w:p>
            <w:pPr>
              <w:jc w:val="right"/>
              <w:ind w:right="341"/>
              <w:spacing w:after="0" w:line="142" w:lineRule="exact"/>
              <w:rPr>
                <w:sz w:val="20"/>
                <w:szCs w:val="20"/>
                <w:color w:val="auto"/>
              </w:rPr>
            </w:pPr>
            <w:r>
              <w:rPr>
                <w:rFonts w:ascii="Arial" w:cs="Arial" w:eastAsia="Arial" w:hAnsi="Arial"/>
                <w:sz w:val="14"/>
                <w:szCs w:val="14"/>
                <w:b w:val="1"/>
                <w:bCs w:val="1"/>
                <w:color w:val="auto"/>
                <w:w w:val="95"/>
              </w:rPr>
              <w:t>$ Change</w:t>
            </w:r>
          </w:p>
        </w:tc>
        <w:tc>
          <w:tcPr>
            <w:tcW w:w="66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94"/>
              </w:rPr>
              <w:t>% Change</w:t>
            </w:r>
          </w:p>
        </w:tc>
        <w:tc>
          <w:tcPr>
            <w:tcW w:w="2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604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1660" w:type="dxa"/>
            <w:vAlign w:val="bottom"/>
            <w:tcBorders>
              <w:top w:val="single" w:sz="8" w:color="auto"/>
            </w:tcBorders>
            <w:gridSpan w:val="6"/>
          </w:tcPr>
          <w:p>
            <w:pPr>
              <w:jc w:val="right"/>
              <w:ind w:right="112"/>
              <w:spacing w:after="0" w:line="142" w:lineRule="exact"/>
              <w:rPr>
                <w:sz w:val="20"/>
                <w:szCs w:val="20"/>
                <w:color w:val="auto"/>
              </w:rPr>
            </w:pPr>
            <w:r>
              <w:rPr>
                <w:rFonts w:ascii="Arial" w:cs="Arial" w:eastAsia="Arial" w:hAnsi="Arial"/>
                <w:sz w:val="14"/>
                <w:szCs w:val="14"/>
                <w:b w:val="1"/>
                <w:bCs w:val="1"/>
                <w:color w:val="auto"/>
                <w:w w:val="97"/>
              </w:rPr>
              <w:t>(Dollars in thousands)</w:t>
            </w:r>
          </w:p>
        </w:tc>
        <w:tc>
          <w:tcPr>
            <w:tcW w:w="36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580" w:type="dxa"/>
            <w:vAlign w:val="bottom"/>
            <w:tcBorders>
              <w:top w:val="single" w:sz="8" w:color="auto"/>
            </w:tcBorders>
          </w:tcPr>
          <w:p>
            <w:pPr>
              <w:spacing w:after="0"/>
              <w:rPr>
                <w:sz w:val="12"/>
                <w:szCs w:val="12"/>
                <w:color w:val="auto"/>
              </w:rPr>
            </w:pPr>
          </w:p>
        </w:tc>
        <w:tc>
          <w:tcPr>
            <w:tcW w:w="360" w:type="dxa"/>
            <w:vAlign w:val="bottom"/>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2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6040" w:type="dxa"/>
            <w:vAlign w:val="bottom"/>
            <w:shd w:val="clear" w:color="auto" w:fill="CCEEFF"/>
          </w:tcPr>
          <w:p>
            <w:pPr>
              <w:spacing w:after="0"/>
              <w:rPr>
                <w:sz w:val="20"/>
                <w:szCs w:val="20"/>
                <w:color w:val="auto"/>
              </w:rPr>
            </w:pPr>
            <w:r>
              <w:rPr>
                <w:rFonts w:ascii="Arial" w:cs="Arial" w:eastAsia="Arial" w:hAnsi="Arial"/>
                <w:sz w:val="18"/>
                <w:szCs w:val="18"/>
                <w:color w:val="auto"/>
              </w:rPr>
              <w:t>Lease rental income - owned fleet</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w w:val="86"/>
              </w:rPr>
              <w:t>538,425</w:t>
            </w:r>
          </w:p>
        </w:tc>
        <w:tc>
          <w:tcPr>
            <w:tcW w:w="200" w:type="dxa"/>
            <w:vAlign w:val="bottom"/>
            <w:shd w:val="clear" w:color="auto" w:fill="CCEEFF"/>
          </w:tcPr>
          <w:p>
            <w:pPr>
              <w:spacing w:after="0"/>
              <w:rPr>
                <w:sz w:val="18"/>
                <w:szCs w:val="18"/>
                <w:color w:val="auto"/>
              </w:rPr>
            </w:pP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w w:val="89"/>
              </w:rPr>
              <w:t>517,859</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281"/>
              <w:spacing w:after="0"/>
              <w:rPr>
                <w:sz w:val="20"/>
                <w:szCs w:val="20"/>
                <w:color w:val="auto"/>
              </w:rPr>
            </w:pPr>
            <w:r>
              <w:rPr>
                <w:rFonts w:ascii="Arial" w:cs="Arial" w:eastAsia="Arial" w:hAnsi="Arial"/>
                <w:sz w:val="18"/>
                <w:szCs w:val="18"/>
                <w:color w:val="auto"/>
              </w:rPr>
              <w:t>20,566</w:t>
            </w: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4.0%</w:t>
            </w:r>
          </w:p>
        </w:tc>
        <w:tc>
          <w:tcPr>
            <w:tcW w:w="0" w:type="dxa"/>
            <w:vAlign w:val="bottom"/>
          </w:tcPr>
          <w:p>
            <w:pPr>
              <w:spacing w:after="0"/>
              <w:rPr>
                <w:sz w:val="1"/>
                <w:szCs w:val="1"/>
                <w:color w:val="auto"/>
              </w:rPr>
            </w:pPr>
          </w:p>
        </w:tc>
      </w:tr>
      <w:tr>
        <w:trPr>
          <w:trHeight w:val="216"/>
        </w:trPr>
        <w:tc>
          <w:tcPr>
            <w:tcW w:w="6040" w:type="dxa"/>
            <w:vAlign w:val="bottom"/>
          </w:tcPr>
          <w:p>
            <w:pPr>
              <w:spacing w:after="0"/>
              <w:rPr>
                <w:sz w:val="20"/>
                <w:szCs w:val="20"/>
                <w:color w:val="auto"/>
              </w:rPr>
            </w:pPr>
            <w:r>
              <w:rPr>
                <w:rFonts w:ascii="Arial" w:cs="Arial" w:eastAsia="Arial" w:hAnsi="Arial"/>
                <w:sz w:val="18"/>
                <w:szCs w:val="18"/>
                <w:color w:val="auto"/>
              </w:rPr>
              <w:t>Lease rental income - managed fleet</w:t>
            </w:r>
          </w:p>
        </w:tc>
        <w:tc>
          <w:tcPr>
            <w:tcW w:w="100" w:type="dxa"/>
            <w:vAlign w:val="bottom"/>
          </w:tcPr>
          <w:p>
            <w:pPr>
              <w:spacing w:after="0"/>
              <w:rPr>
                <w:sz w:val="18"/>
                <w:szCs w:val="18"/>
                <w:color w:val="auto"/>
              </w:rPr>
            </w:pPr>
          </w:p>
        </w:tc>
        <w:tc>
          <w:tcPr>
            <w:tcW w:w="580" w:type="dxa"/>
            <w:vAlign w:val="bottom"/>
          </w:tcPr>
          <w:p>
            <w:pPr>
              <w:jc w:val="right"/>
              <w:spacing w:after="0"/>
              <w:rPr>
                <w:sz w:val="20"/>
                <w:szCs w:val="20"/>
                <w:color w:val="auto"/>
              </w:rPr>
            </w:pPr>
            <w:r>
              <w:rPr>
                <w:rFonts w:ascii="Arial" w:cs="Arial" w:eastAsia="Arial" w:hAnsi="Arial"/>
                <w:sz w:val="18"/>
                <w:szCs w:val="18"/>
                <w:color w:val="auto"/>
              </w:rPr>
              <w:t>62,448</w:t>
            </w:r>
          </w:p>
        </w:tc>
        <w:tc>
          <w:tcPr>
            <w:tcW w:w="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w w:val="89"/>
              </w:rPr>
              <w:t>101,901</w:t>
            </w:r>
          </w:p>
        </w:tc>
        <w:tc>
          <w:tcPr>
            <w:tcW w:w="3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40" w:type="dxa"/>
            <w:vAlign w:val="bottom"/>
            <w:gridSpan w:val="2"/>
          </w:tcPr>
          <w:p>
            <w:pPr>
              <w:jc w:val="right"/>
              <w:ind w:right="221"/>
              <w:spacing w:after="0"/>
              <w:rPr>
                <w:sz w:val="20"/>
                <w:szCs w:val="20"/>
                <w:color w:val="auto"/>
              </w:rPr>
            </w:pPr>
            <w:r>
              <w:rPr>
                <w:rFonts w:ascii="Arial" w:cs="Arial" w:eastAsia="Arial" w:hAnsi="Arial"/>
                <w:sz w:val="18"/>
                <w:szCs w:val="18"/>
                <w:color w:val="auto"/>
                <w:w w:val="92"/>
              </w:rPr>
              <w:t>(39,453)</w:t>
            </w:r>
          </w:p>
        </w:tc>
        <w:tc>
          <w:tcPr>
            <w:tcW w:w="920" w:type="dxa"/>
            <w:vAlign w:val="bottom"/>
            <w:gridSpan w:val="2"/>
          </w:tcPr>
          <w:p>
            <w:pPr>
              <w:jc w:val="right"/>
              <w:ind w:right="40"/>
              <w:spacing w:after="0"/>
              <w:rPr>
                <w:sz w:val="20"/>
                <w:szCs w:val="20"/>
                <w:color w:val="auto"/>
              </w:rPr>
            </w:pPr>
            <w:r>
              <w:rPr>
                <w:rFonts w:ascii="Arial" w:cs="Arial" w:eastAsia="Arial" w:hAnsi="Arial"/>
                <w:sz w:val="18"/>
                <w:szCs w:val="18"/>
                <w:color w:val="auto"/>
              </w:rPr>
              <w:t>(38.7%)</w:t>
            </w:r>
          </w:p>
        </w:tc>
        <w:tc>
          <w:tcPr>
            <w:tcW w:w="0" w:type="dxa"/>
            <w:vAlign w:val="bottom"/>
          </w:tcPr>
          <w:p>
            <w:pPr>
              <w:spacing w:after="0"/>
              <w:rPr>
                <w:sz w:val="1"/>
                <w:szCs w:val="1"/>
                <w:color w:val="auto"/>
              </w:rPr>
            </w:pPr>
          </w:p>
        </w:tc>
      </w:tr>
      <w:tr>
        <w:trPr>
          <w:trHeight w:val="27"/>
        </w:trPr>
        <w:tc>
          <w:tcPr>
            <w:tcW w:w="60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20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3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360" w:type="dxa"/>
            <w:vAlign w:val="bottom"/>
          </w:tcPr>
          <w:p>
            <w:pPr>
              <w:spacing w:after="0"/>
              <w:rPr>
                <w:sz w:val="2"/>
                <w:szCs w:val="2"/>
                <w:color w:val="auto"/>
              </w:rPr>
            </w:pPr>
          </w:p>
        </w:tc>
        <w:tc>
          <w:tcPr>
            <w:tcW w:w="660" w:type="dxa"/>
            <w:vAlign w:val="bottom"/>
          </w:tcPr>
          <w:p>
            <w:pPr>
              <w:spacing w:after="0"/>
              <w:rPr>
                <w:sz w:val="2"/>
                <w:szCs w:val="2"/>
                <w:color w:val="auto"/>
              </w:rPr>
            </w:pPr>
          </w:p>
        </w:tc>
        <w:tc>
          <w:tcPr>
            <w:tcW w:w="2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0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Lease rental income</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u w:val="single" w:color="auto"/>
                <w:color w:val="auto"/>
                <w:w w:val="71"/>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6"/>
              </w:rPr>
              <w:t>600,873</w:t>
            </w:r>
          </w:p>
        </w:tc>
        <w:tc>
          <w:tcPr>
            <w:tcW w:w="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619,760</w:t>
            </w:r>
          </w:p>
        </w:tc>
        <w:tc>
          <w:tcPr>
            <w:tcW w:w="36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940" w:type="dxa"/>
            <w:vAlign w:val="bottom"/>
            <w:gridSpan w:val="2"/>
            <w:shd w:val="clear" w:color="auto" w:fill="CCEEFF"/>
          </w:tcPr>
          <w:p>
            <w:pPr>
              <w:jc w:val="right"/>
              <w:ind w:right="221"/>
              <w:spacing w:after="0"/>
              <w:rPr>
                <w:sz w:val="20"/>
                <w:szCs w:val="20"/>
                <w:color w:val="auto"/>
              </w:rPr>
            </w:pPr>
            <w:r>
              <w:rPr>
                <w:rFonts w:ascii="Arial" w:cs="Arial" w:eastAsia="Arial" w:hAnsi="Arial"/>
                <w:sz w:val="18"/>
                <w:szCs w:val="18"/>
                <w:color w:val="auto"/>
                <w:w w:val="92"/>
              </w:rPr>
              <w:t>(18,887)</w:t>
            </w:r>
          </w:p>
        </w:tc>
        <w:tc>
          <w:tcPr>
            <w:tcW w:w="9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(3.0%)</w:t>
            </w:r>
          </w:p>
        </w:tc>
        <w:tc>
          <w:tcPr>
            <w:tcW w:w="0" w:type="dxa"/>
            <w:vAlign w:val="bottom"/>
          </w:tcPr>
          <w:p>
            <w:pPr>
              <w:spacing w:after="0"/>
              <w:rPr>
                <w:sz w:val="1"/>
                <w:szCs w:val="1"/>
                <w:color w:val="auto"/>
              </w:rPr>
            </w:pPr>
          </w:p>
        </w:tc>
      </w:tr>
      <w:tr>
        <w:trPr>
          <w:trHeight w:val="20"/>
        </w:trPr>
        <w:tc>
          <w:tcPr>
            <w:tcW w:w="6040" w:type="dxa"/>
            <w:vAlign w:val="bottom"/>
            <w:vMerge w:val="restart"/>
          </w:tcPr>
          <w:p>
            <w:pPr>
              <w:spacing w:after="0"/>
              <w:rPr>
                <w:sz w:val="20"/>
                <w:szCs w:val="20"/>
                <w:color w:val="auto"/>
              </w:rPr>
            </w:pPr>
            <w:r>
              <w:rPr>
                <w:rFonts w:ascii="Arial" w:cs="Arial" w:eastAsia="Arial" w:hAnsi="Arial"/>
                <w:sz w:val="18"/>
                <w:szCs w:val="18"/>
                <w:color w:val="auto"/>
              </w:rPr>
              <w:t>Management fees - non-leasing</w:t>
            </w: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920" w:type="dxa"/>
            <w:vAlign w:val="bottom"/>
            <w:gridSpan w:val="2"/>
            <w:vMerge w:val="restart"/>
          </w:tcPr>
          <w:p>
            <w:pPr>
              <w:jc w:val="right"/>
              <w:ind w:right="40"/>
              <w:spacing w:after="0"/>
              <w:rPr>
                <w:sz w:val="20"/>
                <w:szCs w:val="20"/>
                <w:color w:val="auto"/>
              </w:rPr>
            </w:pPr>
            <w:r>
              <w:rPr>
                <w:rFonts w:ascii="Arial" w:cs="Arial" w:eastAsia="Arial" w:hAnsi="Arial"/>
                <w:sz w:val="18"/>
                <w:szCs w:val="18"/>
                <w:color w:val="auto"/>
              </w:rPr>
              <w:t>(30.6%)</w:t>
            </w:r>
          </w:p>
        </w:tc>
        <w:tc>
          <w:tcPr>
            <w:tcW w:w="0" w:type="dxa"/>
            <w:vAlign w:val="bottom"/>
          </w:tcPr>
          <w:p>
            <w:pPr>
              <w:spacing w:after="0" w:line="20" w:lineRule="exact"/>
              <w:rPr>
                <w:sz w:val="1"/>
                <w:szCs w:val="1"/>
                <w:color w:val="auto"/>
              </w:rPr>
            </w:pPr>
          </w:p>
        </w:tc>
      </w:tr>
      <w:tr>
        <w:trPr>
          <w:trHeight w:val="210"/>
        </w:trPr>
        <w:tc>
          <w:tcPr>
            <w:tcW w:w="6040" w:type="dxa"/>
            <w:vAlign w:val="bottom"/>
            <w:vMerge w:val="continue"/>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5,271</w:t>
            </w:r>
          </w:p>
        </w:tc>
        <w:tc>
          <w:tcPr>
            <w:tcW w:w="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7,590</w:t>
            </w:r>
          </w:p>
        </w:tc>
        <w:tc>
          <w:tcPr>
            <w:tcW w:w="36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(2,319</w:t>
            </w:r>
          </w:p>
        </w:tc>
        <w:tc>
          <w:tcPr>
            <w:tcW w:w="360" w:type="dxa"/>
            <w:vAlign w:val="bottom"/>
          </w:tcPr>
          <w:p>
            <w:pPr>
              <w:jc w:val="right"/>
              <w:ind w:right="221"/>
              <w:spacing w:after="0"/>
              <w:rPr>
                <w:sz w:val="20"/>
                <w:szCs w:val="20"/>
                <w:color w:val="auto"/>
              </w:rPr>
            </w:pPr>
            <w:r>
              <w:rPr>
                <w:rFonts w:ascii="Arial" w:cs="Arial" w:eastAsia="Arial" w:hAnsi="Arial"/>
                <w:sz w:val="16"/>
                <w:szCs w:val="16"/>
                <w:color w:val="auto"/>
                <w:w w:val="74"/>
              </w:rPr>
              <w:t>)</w:t>
            </w:r>
          </w:p>
        </w:tc>
        <w:tc>
          <w:tcPr>
            <w:tcW w:w="920" w:type="dxa"/>
            <w:vAlign w:val="bottom"/>
            <w:gridSpan w:val="2"/>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60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6040" w:type="dxa"/>
            <w:vAlign w:val="bottom"/>
            <w:shd w:val="clear" w:color="auto" w:fill="CCEEFF"/>
          </w:tcPr>
          <w:p>
            <w:pPr>
              <w:spacing w:after="0"/>
              <w:rPr>
                <w:sz w:val="20"/>
                <w:szCs w:val="20"/>
                <w:color w:val="auto"/>
              </w:rPr>
            </w:pPr>
            <w:r>
              <w:rPr>
                <w:rFonts w:ascii="Arial" w:cs="Arial" w:eastAsia="Arial" w:hAnsi="Arial"/>
                <w:sz w:val="18"/>
                <w:szCs w:val="18"/>
                <w:color w:val="auto"/>
              </w:rPr>
              <w:t>Trading container sales proceeds</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31,941</w:t>
            </w:r>
          </w:p>
        </w:tc>
        <w:tc>
          <w:tcPr>
            <w:tcW w:w="200" w:type="dxa"/>
            <w:vAlign w:val="bottom"/>
            <w:shd w:val="clear" w:color="auto" w:fill="CCEEFF"/>
          </w:tcPr>
          <w:p>
            <w:pPr>
              <w:spacing w:after="0"/>
              <w:rPr>
                <w:sz w:val="18"/>
                <w:szCs w:val="18"/>
                <w:color w:val="auto"/>
              </w:rPr>
            </w:pP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58,734</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221"/>
              <w:spacing w:after="0"/>
              <w:rPr>
                <w:sz w:val="20"/>
                <w:szCs w:val="20"/>
                <w:color w:val="auto"/>
              </w:rPr>
            </w:pPr>
            <w:r>
              <w:rPr>
                <w:rFonts w:ascii="Arial" w:cs="Arial" w:eastAsia="Arial" w:hAnsi="Arial"/>
                <w:sz w:val="18"/>
                <w:szCs w:val="18"/>
                <w:color w:val="auto"/>
                <w:w w:val="92"/>
              </w:rPr>
              <w:t>(26,793)</w:t>
            </w:r>
          </w:p>
        </w:tc>
        <w:tc>
          <w:tcPr>
            <w:tcW w:w="9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(45.6%)</w:t>
            </w:r>
          </w:p>
        </w:tc>
        <w:tc>
          <w:tcPr>
            <w:tcW w:w="0" w:type="dxa"/>
            <w:vAlign w:val="bottom"/>
          </w:tcPr>
          <w:p>
            <w:pPr>
              <w:spacing w:after="0"/>
              <w:rPr>
                <w:sz w:val="1"/>
                <w:szCs w:val="1"/>
                <w:color w:val="auto"/>
              </w:rPr>
            </w:pPr>
          </w:p>
        </w:tc>
      </w:tr>
      <w:tr>
        <w:trPr>
          <w:trHeight w:val="216"/>
        </w:trPr>
        <w:tc>
          <w:tcPr>
            <w:tcW w:w="6040" w:type="dxa"/>
            <w:vAlign w:val="bottom"/>
          </w:tcPr>
          <w:p>
            <w:pPr>
              <w:spacing w:after="0"/>
              <w:rPr>
                <w:sz w:val="20"/>
                <w:szCs w:val="20"/>
                <w:color w:val="auto"/>
              </w:rPr>
            </w:pPr>
            <w:r>
              <w:rPr>
                <w:rFonts w:ascii="Arial" w:cs="Arial" w:eastAsia="Arial" w:hAnsi="Arial"/>
                <w:sz w:val="18"/>
                <w:szCs w:val="18"/>
                <w:color w:val="auto"/>
              </w:rPr>
              <w:t>Cost of trading containers sold</w:t>
            </w:r>
          </w:p>
        </w:tc>
        <w:tc>
          <w:tcPr>
            <w:tcW w:w="100" w:type="dxa"/>
            <w:vAlign w:val="bottom"/>
          </w:tcPr>
          <w:p>
            <w:pPr>
              <w:spacing w:after="0"/>
              <w:rPr>
                <w:sz w:val="18"/>
                <w:szCs w:val="18"/>
                <w:color w:val="auto"/>
              </w:rPr>
            </w:pPr>
          </w:p>
        </w:tc>
        <w:tc>
          <w:tcPr>
            <w:tcW w:w="800" w:type="dxa"/>
            <w:vAlign w:val="bottom"/>
            <w:gridSpan w:val="3"/>
          </w:tcPr>
          <w:p>
            <w:pPr>
              <w:jc w:val="right"/>
              <w:ind w:right="160"/>
              <w:spacing w:after="0"/>
              <w:rPr>
                <w:sz w:val="20"/>
                <w:szCs w:val="20"/>
                <w:color w:val="auto"/>
              </w:rPr>
            </w:pPr>
            <w:r>
              <w:rPr>
                <w:rFonts w:ascii="Arial" w:cs="Arial" w:eastAsia="Arial" w:hAnsi="Arial"/>
                <w:sz w:val="18"/>
                <w:szCs w:val="18"/>
                <w:color w:val="auto"/>
                <w:w w:val="92"/>
              </w:rPr>
              <w:t>(28,409)</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60" w:type="dxa"/>
            <w:vAlign w:val="bottom"/>
            <w:gridSpan w:val="2"/>
          </w:tcPr>
          <w:p>
            <w:pPr>
              <w:jc w:val="right"/>
              <w:ind w:right="300"/>
              <w:spacing w:after="0"/>
              <w:rPr>
                <w:sz w:val="20"/>
                <w:szCs w:val="20"/>
                <w:color w:val="auto"/>
              </w:rPr>
            </w:pPr>
            <w:r>
              <w:rPr>
                <w:rFonts w:ascii="Arial" w:cs="Arial" w:eastAsia="Arial" w:hAnsi="Arial"/>
                <w:sz w:val="18"/>
                <w:szCs w:val="18"/>
                <w:color w:val="auto"/>
                <w:w w:val="95"/>
              </w:rPr>
              <w:t>(51,336)</w:t>
            </w:r>
          </w:p>
        </w:tc>
        <w:tc>
          <w:tcPr>
            <w:tcW w:w="100" w:type="dxa"/>
            <w:vAlign w:val="bottom"/>
          </w:tcPr>
          <w:p>
            <w:pPr>
              <w:spacing w:after="0"/>
              <w:rPr>
                <w:sz w:val="18"/>
                <w:szCs w:val="18"/>
                <w:color w:val="auto"/>
              </w:rPr>
            </w:pPr>
          </w:p>
        </w:tc>
        <w:tc>
          <w:tcPr>
            <w:tcW w:w="940" w:type="dxa"/>
            <w:vAlign w:val="bottom"/>
            <w:gridSpan w:val="2"/>
          </w:tcPr>
          <w:p>
            <w:pPr>
              <w:jc w:val="right"/>
              <w:ind w:right="281"/>
              <w:spacing w:after="0"/>
              <w:rPr>
                <w:sz w:val="20"/>
                <w:szCs w:val="20"/>
                <w:color w:val="auto"/>
              </w:rPr>
            </w:pPr>
            <w:r>
              <w:rPr>
                <w:rFonts w:ascii="Arial" w:cs="Arial" w:eastAsia="Arial" w:hAnsi="Arial"/>
                <w:sz w:val="18"/>
                <w:szCs w:val="18"/>
                <w:color w:val="auto"/>
              </w:rPr>
              <w:t>22,927</w:t>
            </w:r>
          </w:p>
        </w:tc>
        <w:tc>
          <w:tcPr>
            <w:tcW w:w="920" w:type="dxa"/>
            <w:vAlign w:val="bottom"/>
            <w:gridSpan w:val="2"/>
          </w:tcPr>
          <w:p>
            <w:pPr>
              <w:jc w:val="right"/>
              <w:ind w:right="40"/>
              <w:spacing w:after="0"/>
              <w:rPr>
                <w:sz w:val="20"/>
                <w:szCs w:val="20"/>
                <w:color w:val="auto"/>
              </w:rPr>
            </w:pPr>
            <w:r>
              <w:rPr>
                <w:rFonts w:ascii="Arial" w:cs="Arial" w:eastAsia="Arial" w:hAnsi="Arial"/>
                <w:sz w:val="18"/>
                <w:szCs w:val="18"/>
                <w:color w:val="auto"/>
              </w:rPr>
              <w:t>(44.7%)</w:t>
            </w:r>
          </w:p>
        </w:tc>
        <w:tc>
          <w:tcPr>
            <w:tcW w:w="0" w:type="dxa"/>
            <w:vAlign w:val="bottom"/>
          </w:tcPr>
          <w:p>
            <w:pPr>
              <w:spacing w:after="0"/>
              <w:rPr>
                <w:sz w:val="1"/>
                <w:szCs w:val="1"/>
                <w:color w:val="auto"/>
              </w:rPr>
            </w:pPr>
          </w:p>
        </w:tc>
      </w:tr>
      <w:tr>
        <w:trPr>
          <w:trHeight w:val="27"/>
        </w:trPr>
        <w:tc>
          <w:tcPr>
            <w:tcW w:w="60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20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3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360" w:type="dxa"/>
            <w:vAlign w:val="bottom"/>
          </w:tcPr>
          <w:p>
            <w:pPr>
              <w:spacing w:after="0"/>
              <w:rPr>
                <w:sz w:val="2"/>
                <w:szCs w:val="2"/>
                <w:color w:val="auto"/>
              </w:rPr>
            </w:pPr>
          </w:p>
        </w:tc>
        <w:tc>
          <w:tcPr>
            <w:tcW w:w="660" w:type="dxa"/>
            <w:vAlign w:val="bottom"/>
          </w:tcPr>
          <w:p>
            <w:pPr>
              <w:spacing w:after="0"/>
              <w:rPr>
                <w:sz w:val="2"/>
                <w:szCs w:val="2"/>
                <w:color w:val="auto"/>
              </w:rPr>
            </w:pPr>
          </w:p>
        </w:tc>
        <w:tc>
          <w:tcPr>
            <w:tcW w:w="2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0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Trading container margin</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3,532</w:t>
            </w:r>
          </w:p>
        </w:tc>
        <w:tc>
          <w:tcPr>
            <w:tcW w:w="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7,398</w:t>
            </w:r>
          </w:p>
        </w:tc>
        <w:tc>
          <w:tcPr>
            <w:tcW w:w="36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221"/>
              <w:spacing w:after="0"/>
              <w:rPr>
                <w:sz w:val="20"/>
                <w:szCs w:val="20"/>
                <w:color w:val="auto"/>
              </w:rPr>
            </w:pPr>
            <w:r>
              <w:rPr>
                <w:rFonts w:ascii="Arial" w:cs="Arial" w:eastAsia="Arial" w:hAnsi="Arial"/>
                <w:sz w:val="18"/>
                <w:szCs w:val="18"/>
                <w:color w:val="auto"/>
              </w:rPr>
              <w:t>(3,866)</w:t>
            </w:r>
          </w:p>
        </w:tc>
        <w:tc>
          <w:tcPr>
            <w:tcW w:w="9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(52.3%)</w:t>
            </w:r>
          </w:p>
        </w:tc>
        <w:tc>
          <w:tcPr>
            <w:tcW w:w="0" w:type="dxa"/>
            <w:vAlign w:val="bottom"/>
          </w:tcPr>
          <w:p>
            <w:pPr>
              <w:spacing w:after="0"/>
              <w:rPr>
                <w:sz w:val="1"/>
                <w:szCs w:val="1"/>
                <w:color w:val="auto"/>
              </w:rPr>
            </w:pPr>
          </w:p>
        </w:tc>
      </w:tr>
      <w:tr>
        <w:trPr>
          <w:trHeight w:val="20"/>
        </w:trPr>
        <w:tc>
          <w:tcPr>
            <w:tcW w:w="6040" w:type="dxa"/>
            <w:vAlign w:val="bottom"/>
            <w:vMerge w:val="restart"/>
          </w:tcPr>
          <w:p>
            <w:pPr>
              <w:spacing w:after="0"/>
              <w:rPr>
                <w:sz w:val="20"/>
                <w:szCs w:val="20"/>
                <w:color w:val="auto"/>
              </w:rPr>
            </w:pPr>
            <w:r>
              <w:rPr>
                <w:rFonts w:ascii="Arial" w:cs="Arial" w:eastAsia="Arial" w:hAnsi="Arial"/>
                <w:sz w:val="18"/>
                <w:szCs w:val="18"/>
                <w:color w:val="auto"/>
              </w:rPr>
              <w:t>Gain on sale of owned fleet containers, net</w:t>
            </w: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920" w:type="dxa"/>
            <w:vAlign w:val="bottom"/>
            <w:gridSpan w:val="2"/>
            <w:vMerge w:val="restart"/>
          </w:tcPr>
          <w:p>
            <w:pPr>
              <w:jc w:val="right"/>
              <w:ind w:right="100"/>
              <w:spacing w:after="0"/>
              <w:rPr>
                <w:sz w:val="20"/>
                <w:szCs w:val="20"/>
                <w:color w:val="auto"/>
              </w:rPr>
            </w:pPr>
            <w:r>
              <w:rPr>
                <w:rFonts w:ascii="Arial" w:cs="Arial" w:eastAsia="Arial" w:hAnsi="Arial"/>
                <w:sz w:val="18"/>
                <w:szCs w:val="18"/>
                <w:color w:val="auto"/>
              </w:rPr>
              <w:t>27.3%</w:t>
            </w:r>
          </w:p>
        </w:tc>
        <w:tc>
          <w:tcPr>
            <w:tcW w:w="0" w:type="dxa"/>
            <w:vAlign w:val="bottom"/>
          </w:tcPr>
          <w:p>
            <w:pPr>
              <w:spacing w:after="0" w:line="20" w:lineRule="exact"/>
              <w:rPr>
                <w:sz w:val="1"/>
                <w:szCs w:val="1"/>
                <w:color w:val="auto"/>
              </w:rPr>
            </w:pPr>
          </w:p>
        </w:tc>
      </w:tr>
      <w:tr>
        <w:trPr>
          <w:trHeight w:val="210"/>
        </w:trPr>
        <w:tc>
          <w:tcPr>
            <w:tcW w:w="6040" w:type="dxa"/>
            <w:vAlign w:val="bottom"/>
            <w:vMerge w:val="continue"/>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27,230</w:t>
            </w:r>
          </w:p>
        </w:tc>
        <w:tc>
          <w:tcPr>
            <w:tcW w:w="20" w:type="dxa"/>
            <w:vAlign w:val="bottom"/>
            <w:tcBorders>
              <w:bottom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21,397</w:t>
            </w:r>
          </w:p>
        </w:tc>
        <w:tc>
          <w:tcPr>
            <w:tcW w:w="36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5,833</w:t>
            </w:r>
          </w:p>
        </w:tc>
        <w:tc>
          <w:tcPr>
            <w:tcW w:w="360" w:type="dxa"/>
            <w:vAlign w:val="bottom"/>
          </w:tcPr>
          <w:p>
            <w:pPr>
              <w:spacing w:after="0"/>
              <w:rPr>
                <w:sz w:val="18"/>
                <w:szCs w:val="18"/>
                <w:color w:val="auto"/>
              </w:rPr>
            </w:pPr>
          </w:p>
        </w:tc>
        <w:tc>
          <w:tcPr>
            <w:tcW w:w="920" w:type="dxa"/>
            <w:vAlign w:val="bottom"/>
            <w:gridSpan w:val="2"/>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60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right="120" w:firstLine="440"/>
        <w:spacing w:after="0" w:line="263" w:lineRule="auto"/>
        <w:rPr>
          <w:sz w:val="20"/>
          <w:szCs w:val="20"/>
          <w:color w:val="auto"/>
        </w:rPr>
      </w:pPr>
      <w:r>
        <w:rPr>
          <w:rFonts w:ascii="Arial" w:cs="Arial" w:eastAsia="Arial" w:hAnsi="Arial"/>
          <w:sz w:val="18"/>
          <w:szCs w:val="18"/>
          <w:color w:val="auto"/>
        </w:rPr>
        <w:t>Lease rental income - owned fleet increased $20,566 (4.0%) from 2019 to 2020 primarily due to an increase of $21,532 in the growth of our fleet on finance leases and an increase of $12,347 (2.7%) in our total operating fleet that was available for lease, partially offset by a decrease of $10,420 (-1.3%) in average per diem rental rates and a decrease of $4,986 (-1.1%) in utilization.</w:t>
      </w:r>
    </w:p>
    <w:p>
      <w:pPr>
        <w:spacing w:after="0" w:line="184" w:lineRule="exact"/>
        <w:rPr>
          <w:sz w:val="20"/>
          <w:szCs w:val="20"/>
          <w:color w:val="auto"/>
        </w:rPr>
      </w:pPr>
    </w:p>
    <w:p>
      <w:pPr>
        <w:ind w:right="320" w:firstLine="440"/>
        <w:spacing w:after="0" w:line="277" w:lineRule="auto"/>
        <w:rPr>
          <w:sz w:val="20"/>
          <w:szCs w:val="20"/>
          <w:color w:val="auto"/>
        </w:rPr>
      </w:pPr>
      <w:r>
        <w:rPr>
          <w:rFonts w:ascii="Arial" w:cs="Arial" w:eastAsia="Arial" w:hAnsi="Arial"/>
          <w:sz w:val="18"/>
          <w:szCs w:val="18"/>
          <w:color w:val="auto"/>
        </w:rPr>
        <w:t>Lease rental income – managed fleet decreased $39,453 (-38.7%) from 2019 to 2020 primarily due to our acquisition of a previously managed fleet at December 31, 2019 and a decrease in average per diem rental rates and utilization.</w:t>
      </w:r>
    </w:p>
    <w:p>
      <w:pPr>
        <w:spacing w:after="0" w:line="170" w:lineRule="exact"/>
        <w:rPr>
          <w:sz w:val="20"/>
          <w:szCs w:val="20"/>
          <w:color w:val="auto"/>
        </w:rPr>
      </w:pPr>
    </w:p>
    <w:p>
      <w:pPr>
        <w:jc w:val="both"/>
        <w:ind w:right="880" w:firstLine="440"/>
        <w:spacing w:after="0" w:line="263" w:lineRule="auto"/>
        <w:rPr>
          <w:sz w:val="20"/>
          <w:szCs w:val="20"/>
          <w:color w:val="auto"/>
        </w:rPr>
      </w:pPr>
      <w:r>
        <w:rPr>
          <w:rFonts w:ascii="Arial" w:cs="Arial" w:eastAsia="Arial" w:hAnsi="Arial"/>
          <w:sz w:val="18"/>
          <w:szCs w:val="18"/>
          <w:color w:val="auto"/>
        </w:rPr>
        <w:t>Management fees – non-leasing decreased $2,319 (-30.6%) from 2019 to 2020; $1,210 of the decrease resulted from a reduction in the amortization of acquisition fees on container purchases for the managed fleet mainly due to our acquisition of a previously managed fleet at December 31, 2019 and a $975 decrease in sales commissions.</w:t>
      </w:r>
    </w:p>
    <w:p>
      <w:pPr>
        <w:spacing w:after="0" w:line="184" w:lineRule="exact"/>
        <w:rPr>
          <w:sz w:val="20"/>
          <w:szCs w:val="20"/>
          <w:color w:val="auto"/>
        </w:rPr>
      </w:pPr>
    </w:p>
    <w:p>
      <w:pPr>
        <w:ind w:right="260" w:firstLine="440"/>
        <w:spacing w:after="0" w:line="277" w:lineRule="auto"/>
        <w:rPr>
          <w:sz w:val="20"/>
          <w:szCs w:val="20"/>
          <w:color w:val="auto"/>
        </w:rPr>
      </w:pPr>
      <w:r>
        <w:rPr>
          <w:rFonts w:ascii="Arial" w:cs="Arial" w:eastAsia="Arial" w:hAnsi="Arial"/>
          <w:sz w:val="18"/>
          <w:szCs w:val="18"/>
          <w:color w:val="auto"/>
        </w:rPr>
        <w:t>Trading container margin decreased $3,866 (-52.3%) from 2019 to 2020; $4,255 of the decrease resulted from a reduction in unit sales volume, partially offset by a $389 increase due to an improvement in per unit margin.</w:t>
      </w:r>
    </w:p>
    <w:p>
      <w:pPr>
        <w:spacing w:after="0" w:line="170" w:lineRule="exact"/>
        <w:rPr>
          <w:sz w:val="20"/>
          <w:szCs w:val="20"/>
          <w:color w:val="auto"/>
        </w:rPr>
      </w:pPr>
    </w:p>
    <w:p>
      <w:pPr>
        <w:ind w:right="60" w:firstLine="440"/>
        <w:spacing w:after="0" w:line="277" w:lineRule="auto"/>
        <w:rPr>
          <w:sz w:val="20"/>
          <w:szCs w:val="20"/>
          <w:color w:val="auto"/>
        </w:rPr>
      </w:pPr>
      <w:r>
        <w:rPr>
          <w:rFonts w:ascii="Arial" w:cs="Arial" w:eastAsia="Arial" w:hAnsi="Arial"/>
          <w:sz w:val="18"/>
          <w:szCs w:val="18"/>
          <w:color w:val="auto"/>
        </w:rPr>
        <w:t>Gain on sale of owned fleet containers, net, increased $5,833 (27.3%) from 2019 to 2020; $4,911 of the increase resulted from an improvement in average gain per container sold and $838 of the increase resulted from a decrease in day-one loss on sales-type leases.</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57</w:t>
      </w:r>
    </w:p>
    <w:p>
      <w:pPr>
        <w:sectPr>
          <w:pgSz w:w="11900" w:h="16838" w:orient="portrait"/>
          <w:cols w:equalWidth="0" w:num="1">
            <w:col w:w="11000"/>
          </w:cols>
          <w:pgMar w:left="440" w:top="270" w:right="459" w:bottom="1440" w:gutter="0" w:footer="0" w:header="0"/>
        </w:sectPr>
      </w:pPr>
    </w:p>
    <w:bookmarkStart w:id="71" w:name="page72"/>
    <w:bookmarkEnd w:id="71"/>
    <w:p>
      <w:pPr>
        <w:ind w:right="560"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The following table summarizes our total operating expenses for the years ended December 31, 2020 and 2019 and changes between those periods:</w:t>
      </w:r>
    </w:p>
    <w:p>
      <w:pPr>
        <w:spacing w:after="0" w:line="189" w:lineRule="exact"/>
        <w:rPr>
          <w:sz w:val="20"/>
          <w:szCs w:val="20"/>
          <w:color w:val="auto"/>
        </w:rPr>
      </w:pPr>
    </w:p>
    <w:tbl>
      <w:tblPr>
        <w:tblLayout w:type="fixed"/>
        <w:tblInd w:w="440" w:type="dxa"/>
        <w:tblCellMar>
          <w:top w:w="0" w:type="dxa"/>
          <w:left w:w="0" w:type="dxa"/>
          <w:bottom w:w="0" w:type="dxa"/>
          <w:right w:w="0" w:type="dxa"/>
        </w:tblCellMar>
      </w:tblPr>
      <w:tr>
        <w:trPr>
          <w:trHeight w:val="171"/>
        </w:trPr>
        <w:tc>
          <w:tcPr>
            <w:tcW w:w="6040" w:type="dxa"/>
            <w:vAlign w:val="bottom"/>
          </w:tcPr>
          <w:p>
            <w:pPr>
              <w:spacing w:after="0"/>
              <w:rPr>
                <w:sz w:val="14"/>
                <w:szCs w:val="14"/>
                <w:color w:val="auto"/>
              </w:rPr>
            </w:pPr>
          </w:p>
        </w:tc>
        <w:tc>
          <w:tcPr>
            <w:tcW w:w="2120" w:type="dxa"/>
            <w:vAlign w:val="bottom"/>
            <w:gridSpan w:val="8"/>
          </w:tcPr>
          <w:p>
            <w:pPr>
              <w:jc w:val="right"/>
              <w:ind w:right="440"/>
              <w:spacing w:after="0"/>
              <w:rPr>
                <w:sz w:val="20"/>
                <w:szCs w:val="20"/>
                <w:color w:val="auto"/>
              </w:rPr>
            </w:pPr>
            <w:r>
              <w:rPr>
                <w:rFonts w:ascii="Arial" w:cs="Arial" w:eastAsia="Arial" w:hAnsi="Arial"/>
                <w:sz w:val="14"/>
                <w:szCs w:val="14"/>
                <w:b w:val="1"/>
                <w:bCs w:val="1"/>
                <w:color w:val="auto"/>
                <w:w w:val="96"/>
              </w:rPr>
              <w:t>Year Ended December 31,</w:t>
            </w:r>
          </w:p>
        </w:tc>
        <w:tc>
          <w:tcPr>
            <w:tcW w:w="100" w:type="dxa"/>
            <w:vAlign w:val="bottom"/>
          </w:tcPr>
          <w:p>
            <w:pPr>
              <w:spacing w:after="0"/>
              <w:rPr>
                <w:sz w:val="14"/>
                <w:szCs w:val="14"/>
                <w:color w:val="auto"/>
              </w:rPr>
            </w:pPr>
          </w:p>
        </w:tc>
        <w:tc>
          <w:tcPr>
            <w:tcW w:w="1860" w:type="dxa"/>
            <w:vAlign w:val="bottom"/>
            <w:gridSpan w:val="4"/>
          </w:tcPr>
          <w:p>
            <w:pPr>
              <w:jc w:val="right"/>
              <w:ind w:right="720"/>
              <w:spacing w:after="0"/>
              <w:rPr>
                <w:sz w:val="20"/>
                <w:szCs w:val="20"/>
                <w:color w:val="auto"/>
              </w:rPr>
            </w:pPr>
            <w:r>
              <w:rPr>
                <w:rFonts w:ascii="Arial" w:cs="Arial" w:eastAsia="Arial" w:hAnsi="Arial"/>
                <w:sz w:val="14"/>
                <w:szCs w:val="14"/>
                <w:b w:val="1"/>
                <w:bCs w:val="1"/>
                <w:color w:val="auto"/>
              </w:rPr>
              <w:t>2020 vs 2019</w:t>
            </w:r>
          </w:p>
        </w:tc>
      </w:tr>
      <w:tr>
        <w:trPr>
          <w:trHeight w:val="142"/>
        </w:trPr>
        <w:tc>
          <w:tcPr>
            <w:tcW w:w="604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580" w:type="dxa"/>
            <w:vAlign w:val="bottom"/>
            <w:tcBorders>
              <w:top w:val="single" w:sz="8" w:color="auto"/>
            </w:tcBorders>
          </w:tcPr>
          <w:p>
            <w:pPr>
              <w:jc w:val="right"/>
              <w:ind w:right="113"/>
              <w:spacing w:after="0" w:line="142" w:lineRule="exact"/>
              <w:rPr>
                <w:sz w:val="20"/>
                <w:szCs w:val="20"/>
                <w:color w:val="auto"/>
              </w:rPr>
            </w:pPr>
            <w:r>
              <w:rPr>
                <w:rFonts w:ascii="Arial" w:cs="Arial" w:eastAsia="Arial" w:hAnsi="Arial"/>
                <w:sz w:val="14"/>
                <w:szCs w:val="14"/>
                <w:b w:val="1"/>
                <w:bCs w:val="1"/>
                <w:color w:val="auto"/>
              </w:rPr>
              <w:t>2020</w:t>
            </w:r>
          </w:p>
        </w:tc>
        <w:tc>
          <w:tcPr>
            <w:tcW w:w="20" w:type="dxa"/>
            <w:vAlign w:val="bottom"/>
            <w:tcBorders>
              <w:top w:val="single" w:sz="8" w:color="auto"/>
            </w:tcBorders>
          </w:tcPr>
          <w:p>
            <w:pPr>
              <w:spacing w:after="0"/>
              <w:rPr>
                <w:sz w:val="12"/>
                <w:szCs w:val="12"/>
                <w:color w:val="auto"/>
              </w:rPr>
            </w:pPr>
          </w:p>
        </w:tc>
        <w:tc>
          <w:tcPr>
            <w:tcW w:w="200" w:type="dxa"/>
            <w:vAlign w:val="bottom"/>
            <w:tcBorders>
              <w:top w:val="single" w:sz="8" w:color="auto"/>
            </w:tcBorders>
          </w:tcPr>
          <w:p>
            <w:pPr>
              <w:spacing w:after="0"/>
              <w:rPr>
                <w:sz w:val="12"/>
                <w:szCs w:val="12"/>
                <w:color w:val="auto"/>
              </w:rPr>
            </w:pPr>
          </w:p>
        </w:tc>
        <w:tc>
          <w:tcPr>
            <w:tcW w:w="160" w:type="dxa"/>
            <w:vAlign w:val="bottom"/>
            <w:tcBorders>
              <w:top w:val="single" w:sz="8" w:color="auto"/>
            </w:tcBorders>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600" w:type="dxa"/>
            <w:vAlign w:val="bottom"/>
            <w:tcBorders>
              <w:top w:val="single" w:sz="8" w:color="auto"/>
            </w:tcBorders>
          </w:tcPr>
          <w:p>
            <w:pPr>
              <w:jc w:val="right"/>
              <w:ind w:right="112"/>
              <w:spacing w:after="0" w:line="142" w:lineRule="exact"/>
              <w:rPr>
                <w:sz w:val="20"/>
                <w:szCs w:val="20"/>
                <w:color w:val="auto"/>
              </w:rPr>
            </w:pPr>
            <w:r>
              <w:rPr>
                <w:rFonts w:ascii="Arial" w:cs="Arial" w:eastAsia="Arial" w:hAnsi="Arial"/>
                <w:sz w:val="14"/>
                <w:szCs w:val="14"/>
                <w:b w:val="1"/>
                <w:bCs w:val="1"/>
                <w:color w:val="auto"/>
              </w:rPr>
              <w:t>2019</w:t>
            </w:r>
          </w:p>
        </w:tc>
        <w:tc>
          <w:tcPr>
            <w:tcW w:w="360" w:type="dxa"/>
            <w:vAlign w:val="bottom"/>
          </w:tcPr>
          <w:p>
            <w:pPr>
              <w:spacing w:after="0"/>
              <w:rPr>
                <w:sz w:val="12"/>
                <w:szCs w:val="12"/>
                <w:color w:val="auto"/>
              </w:rPr>
            </w:pPr>
          </w:p>
        </w:tc>
        <w:tc>
          <w:tcPr>
            <w:tcW w:w="1040" w:type="dxa"/>
            <w:vAlign w:val="bottom"/>
            <w:tcBorders>
              <w:top w:val="single" w:sz="8" w:color="auto"/>
            </w:tcBorders>
            <w:gridSpan w:val="3"/>
          </w:tcPr>
          <w:p>
            <w:pPr>
              <w:jc w:val="right"/>
              <w:ind w:right="341"/>
              <w:spacing w:after="0" w:line="142" w:lineRule="exact"/>
              <w:rPr>
                <w:sz w:val="20"/>
                <w:szCs w:val="20"/>
                <w:color w:val="auto"/>
              </w:rPr>
            </w:pPr>
            <w:r>
              <w:rPr>
                <w:rFonts w:ascii="Arial" w:cs="Arial" w:eastAsia="Arial" w:hAnsi="Arial"/>
                <w:sz w:val="14"/>
                <w:szCs w:val="14"/>
                <w:b w:val="1"/>
                <w:bCs w:val="1"/>
                <w:color w:val="auto"/>
                <w:w w:val="95"/>
              </w:rPr>
              <w:t>$ Change</w:t>
            </w:r>
          </w:p>
        </w:tc>
        <w:tc>
          <w:tcPr>
            <w:tcW w:w="66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94"/>
              </w:rPr>
              <w:t>% Change</w:t>
            </w:r>
          </w:p>
        </w:tc>
        <w:tc>
          <w:tcPr>
            <w:tcW w:w="260" w:type="dxa"/>
            <w:vAlign w:val="bottom"/>
          </w:tcPr>
          <w:p>
            <w:pPr>
              <w:spacing w:after="0"/>
              <w:rPr>
                <w:sz w:val="12"/>
                <w:szCs w:val="12"/>
                <w:color w:val="auto"/>
              </w:rPr>
            </w:pPr>
          </w:p>
        </w:tc>
      </w:tr>
      <w:tr>
        <w:trPr>
          <w:trHeight w:val="142"/>
        </w:trPr>
        <w:tc>
          <w:tcPr>
            <w:tcW w:w="604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1660" w:type="dxa"/>
            <w:vAlign w:val="bottom"/>
            <w:tcBorders>
              <w:top w:val="single" w:sz="8" w:color="auto"/>
            </w:tcBorders>
            <w:gridSpan w:val="6"/>
          </w:tcPr>
          <w:p>
            <w:pPr>
              <w:jc w:val="right"/>
              <w:ind w:right="112"/>
              <w:spacing w:after="0" w:line="142" w:lineRule="exact"/>
              <w:rPr>
                <w:sz w:val="20"/>
                <w:szCs w:val="20"/>
                <w:color w:val="auto"/>
              </w:rPr>
            </w:pPr>
            <w:r>
              <w:rPr>
                <w:rFonts w:ascii="Arial" w:cs="Arial" w:eastAsia="Arial" w:hAnsi="Arial"/>
                <w:sz w:val="14"/>
                <w:szCs w:val="14"/>
                <w:b w:val="1"/>
                <w:bCs w:val="1"/>
                <w:color w:val="auto"/>
                <w:w w:val="97"/>
              </w:rPr>
              <w:t>(Dollars in thousands)</w:t>
            </w:r>
          </w:p>
        </w:tc>
        <w:tc>
          <w:tcPr>
            <w:tcW w:w="36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580" w:type="dxa"/>
            <w:vAlign w:val="bottom"/>
            <w:tcBorders>
              <w:top w:val="single" w:sz="8" w:color="auto"/>
            </w:tcBorders>
          </w:tcPr>
          <w:p>
            <w:pPr>
              <w:spacing w:after="0"/>
              <w:rPr>
                <w:sz w:val="12"/>
                <w:szCs w:val="12"/>
                <w:color w:val="auto"/>
              </w:rPr>
            </w:pPr>
          </w:p>
        </w:tc>
        <w:tc>
          <w:tcPr>
            <w:tcW w:w="360" w:type="dxa"/>
            <w:vAlign w:val="bottom"/>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260" w:type="dxa"/>
            <w:vAlign w:val="bottom"/>
          </w:tcPr>
          <w:p>
            <w:pPr>
              <w:spacing w:after="0"/>
              <w:rPr>
                <w:sz w:val="12"/>
                <w:szCs w:val="12"/>
                <w:color w:val="auto"/>
              </w:rPr>
            </w:pPr>
          </w:p>
        </w:tc>
      </w:tr>
      <w:tr>
        <w:trPr>
          <w:trHeight w:val="216"/>
        </w:trPr>
        <w:tc>
          <w:tcPr>
            <w:tcW w:w="6040" w:type="dxa"/>
            <w:vAlign w:val="bottom"/>
            <w:shd w:val="clear" w:color="auto" w:fill="CCEEFF"/>
          </w:tcPr>
          <w:p>
            <w:pPr>
              <w:spacing w:after="0"/>
              <w:rPr>
                <w:sz w:val="20"/>
                <w:szCs w:val="20"/>
                <w:color w:val="auto"/>
              </w:rPr>
            </w:pPr>
            <w:r>
              <w:rPr>
                <w:rFonts w:ascii="Arial" w:cs="Arial" w:eastAsia="Arial" w:hAnsi="Arial"/>
                <w:sz w:val="18"/>
                <w:szCs w:val="18"/>
                <w:color w:val="auto"/>
              </w:rPr>
              <w:t>Direct container expense - owned fleet</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55,222</w:t>
            </w:r>
          </w:p>
        </w:tc>
        <w:tc>
          <w:tcPr>
            <w:tcW w:w="200" w:type="dxa"/>
            <w:vAlign w:val="bottom"/>
            <w:shd w:val="clear" w:color="auto" w:fill="CCEEFF"/>
          </w:tcPr>
          <w:p>
            <w:pPr>
              <w:spacing w:after="0"/>
              <w:rPr>
                <w:sz w:val="18"/>
                <w:szCs w:val="18"/>
                <w:color w:val="auto"/>
              </w:rPr>
            </w:pP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45,831</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281"/>
              <w:spacing w:after="0"/>
              <w:rPr>
                <w:sz w:val="20"/>
                <w:szCs w:val="20"/>
                <w:color w:val="auto"/>
              </w:rPr>
            </w:pPr>
            <w:r>
              <w:rPr>
                <w:rFonts w:ascii="Arial" w:cs="Arial" w:eastAsia="Arial" w:hAnsi="Arial"/>
                <w:sz w:val="18"/>
                <w:szCs w:val="18"/>
                <w:color w:val="auto"/>
              </w:rPr>
              <w:t>9,391</w:t>
            </w: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20.5%</w:t>
            </w:r>
          </w:p>
        </w:tc>
      </w:tr>
      <w:tr>
        <w:trPr>
          <w:trHeight w:val="216"/>
        </w:trPr>
        <w:tc>
          <w:tcPr>
            <w:tcW w:w="6040" w:type="dxa"/>
            <w:vAlign w:val="bottom"/>
          </w:tcPr>
          <w:p>
            <w:pPr>
              <w:spacing w:after="0"/>
              <w:rPr>
                <w:sz w:val="20"/>
                <w:szCs w:val="20"/>
                <w:color w:val="auto"/>
              </w:rPr>
            </w:pPr>
            <w:r>
              <w:rPr>
                <w:rFonts w:ascii="Arial" w:cs="Arial" w:eastAsia="Arial" w:hAnsi="Arial"/>
                <w:sz w:val="18"/>
                <w:szCs w:val="18"/>
                <w:color w:val="auto"/>
              </w:rPr>
              <w:t>Distribution expense to managed fleet container investors</w:t>
            </w:r>
          </w:p>
        </w:tc>
        <w:tc>
          <w:tcPr>
            <w:tcW w:w="100" w:type="dxa"/>
            <w:vAlign w:val="bottom"/>
          </w:tcPr>
          <w:p>
            <w:pPr>
              <w:spacing w:after="0"/>
              <w:rPr>
                <w:sz w:val="18"/>
                <w:szCs w:val="18"/>
                <w:color w:val="auto"/>
              </w:rPr>
            </w:pPr>
          </w:p>
        </w:tc>
        <w:tc>
          <w:tcPr>
            <w:tcW w:w="600" w:type="dxa"/>
            <w:vAlign w:val="bottom"/>
            <w:gridSpan w:val="2"/>
          </w:tcPr>
          <w:p>
            <w:pPr>
              <w:jc w:val="right"/>
              <w:ind w:right="20"/>
              <w:spacing w:after="0"/>
              <w:rPr>
                <w:sz w:val="20"/>
                <w:szCs w:val="20"/>
                <w:color w:val="auto"/>
              </w:rPr>
            </w:pPr>
            <w:r>
              <w:rPr>
                <w:rFonts w:ascii="Arial" w:cs="Arial" w:eastAsia="Arial" w:hAnsi="Arial"/>
                <w:sz w:val="18"/>
                <w:szCs w:val="18"/>
                <w:color w:val="auto"/>
              </w:rPr>
              <w:t>57,311</w:t>
            </w:r>
          </w:p>
        </w:tc>
        <w:tc>
          <w:tcPr>
            <w:tcW w:w="2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60" w:type="dxa"/>
            <w:vAlign w:val="bottom"/>
            <w:gridSpan w:val="2"/>
          </w:tcPr>
          <w:p>
            <w:pPr>
              <w:jc w:val="right"/>
              <w:ind w:right="360"/>
              <w:spacing w:after="0"/>
              <w:rPr>
                <w:sz w:val="20"/>
                <w:szCs w:val="20"/>
                <w:color w:val="auto"/>
              </w:rPr>
            </w:pPr>
            <w:r>
              <w:rPr>
                <w:rFonts w:ascii="Arial" w:cs="Arial" w:eastAsia="Arial" w:hAnsi="Arial"/>
                <w:sz w:val="18"/>
                <w:szCs w:val="18"/>
                <w:color w:val="auto"/>
              </w:rPr>
              <w:t>93,858</w:t>
            </w:r>
          </w:p>
        </w:tc>
        <w:tc>
          <w:tcPr>
            <w:tcW w:w="100" w:type="dxa"/>
            <w:vAlign w:val="bottom"/>
          </w:tcPr>
          <w:p>
            <w:pPr>
              <w:spacing w:after="0"/>
              <w:rPr>
                <w:sz w:val="18"/>
                <w:szCs w:val="18"/>
                <w:color w:val="auto"/>
              </w:rPr>
            </w:pPr>
          </w:p>
        </w:tc>
        <w:tc>
          <w:tcPr>
            <w:tcW w:w="940" w:type="dxa"/>
            <w:vAlign w:val="bottom"/>
            <w:gridSpan w:val="2"/>
          </w:tcPr>
          <w:p>
            <w:pPr>
              <w:jc w:val="right"/>
              <w:ind w:right="221"/>
              <w:spacing w:after="0"/>
              <w:rPr>
                <w:sz w:val="20"/>
                <w:szCs w:val="20"/>
                <w:color w:val="auto"/>
              </w:rPr>
            </w:pPr>
            <w:r>
              <w:rPr>
                <w:rFonts w:ascii="Arial" w:cs="Arial" w:eastAsia="Arial" w:hAnsi="Arial"/>
                <w:sz w:val="18"/>
                <w:szCs w:val="18"/>
                <w:color w:val="auto"/>
                <w:w w:val="92"/>
              </w:rPr>
              <w:t>(36,547)</w:t>
            </w:r>
          </w:p>
        </w:tc>
        <w:tc>
          <w:tcPr>
            <w:tcW w:w="920" w:type="dxa"/>
            <w:vAlign w:val="bottom"/>
            <w:gridSpan w:val="2"/>
          </w:tcPr>
          <w:p>
            <w:pPr>
              <w:jc w:val="right"/>
              <w:ind w:right="40"/>
              <w:spacing w:after="0"/>
              <w:rPr>
                <w:sz w:val="20"/>
                <w:szCs w:val="20"/>
                <w:color w:val="auto"/>
              </w:rPr>
            </w:pPr>
            <w:r>
              <w:rPr>
                <w:rFonts w:ascii="Arial" w:cs="Arial" w:eastAsia="Arial" w:hAnsi="Arial"/>
                <w:sz w:val="18"/>
                <w:szCs w:val="18"/>
                <w:color w:val="auto"/>
              </w:rPr>
              <w:t>(38.9%)</w:t>
            </w:r>
          </w:p>
        </w:tc>
      </w:tr>
      <w:tr>
        <w:trPr>
          <w:trHeight w:val="216"/>
        </w:trPr>
        <w:tc>
          <w:tcPr>
            <w:tcW w:w="6040" w:type="dxa"/>
            <w:vAlign w:val="bottom"/>
            <w:shd w:val="clear" w:color="auto" w:fill="CCEEFF"/>
          </w:tcPr>
          <w:p>
            <w:pPr>
              <w:spacing w:after="0"/>
              <w:rPr>
                <w:sz w:val="20"/>
                <w:szCs w:val="20"/>
                <w:color w:val="auto"/>
              </w:rPr>
            </w:pPr>
            <w:r>
              <w:rPr>
                <w:rFonts w:ascii="Arial" w:cs="Arial" w:eastAsia="Arial" w:hAnsi="Arial"/>
                <w:sz w:val="18"/>
                <w:szCs w:val="18"/>
                <w:color w:val="auto"/>
              </w:rPr>
              <w:t>Depreciation expense</w:t>
            </w:r>
          </w:p>
        </w:tc>
        <w:tc>
          <w:tcPr>
            <w:tcW w:w="100" w:type="dxa"/>
            <w:vAlign w:val="bottom"/>
            <w:shd w:val="clear" w:color="auto" w:fill="CCEEFF"/>
          </w:tcPr>
          <w:p>
            <w:pPr>
              <w:spacing w:after="0"/>
              <w:rPr>
                <w:sz w:val="18"/>
                <w:szCs w:val="18"/>
                <w:color w:val="auto"/>
              </w:rPr>
            </w:pPr>
          </w:p>
        </w:tc>
        <w:tc>
          <w:tcPr>
            <w:tcW w:w="6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w w:val="86"/>
              </w:rPr>
              <w:t>261,665</w:t>
            </w:r>
          </w:p>
        </w:tc>
        <w:tc>
          <w:tcPr>
            <w:tcW w:w="2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w w:val="89"/>
              </w:rPr>
              <w:t>260,372</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81"/>
              <w:spacing w:after="0"/>
              <w:rPr>
                <w:sz w:val="20"/>
                <w:szCs w:val="20"/>
                <w:color w:val="auto"/>
              </w:rPr>
            </w:pPr>
            <w:r>
              <w:rPr>
                <w:rFonts w:ascii="Arial" w:cs="Arial" w:eastAsia="Arial" w:hAnsi="Arial"/>
                <w:sz w:val="18"/>
                <w:szCs w:val="18"/>
                <w:color w:val="auto"/>
              </w:rPr>
              <w:t>1,293</w:t>
            </w: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0.5%</w:t>
            </w:r>
          </w:p>
        </w:tc>
      </w:tr>
      <w:tr>
        <w:trPr>
          <w:trHeight w:val="216"/>
        </w:trPr>
        <w:tc>
          <w:tcPr>
            <w:tcW w:w="6040" w:type="dxa"/>
            <w:vAlign w:val="bottom"/>
          </w:tcPr>
          <w:p>
            <w:pPr>
              <w:spacing w:after="0"/>
              <w:rPr>
                <w:sz w:val="20"/>
                <w:szCs w:val="20"/>
                <w:color w:val="auto"/>
              </w:rPr>
            </w:pPr>
            <w:r>
              <w:rPr>
                <w:rFonts w:ascii="Arial" w:cs="Arial" w:eastAsia="Arial" w:hAnsi="Arial"/>
                <w:sz w:val="18"/>
                <w:szCs w:val="18"/>
                <w:color w:val="auto"/>
              </w:rPr>
              <w:t>Amortization expense</w:t>
            </w:r>
          </w:p>
        </w:tc>
        <w:tc>
          <w:tcPr>
            <w:tcW w:w="100" w:type="dxa"/>
            <w:vAlign w:val="bottom"/>
          </w:tcPr>
          <w:p>
            <w:pPr>
              <w:spacing w:after="0"/>
              <w:rPr>
                <w:sz w:val="18"/>
                <w:szCs w:val="18"/>
                <w:color w:val="auto"/>
              </w:rPr>
            </w:pPr>
          </w:p>
        </w:tc>
        <w:tc>
          <w:tcPr>
            <w:tcW w:w="600" w:type="dxa"/>
            <w:vAlign w:val="bottom"/>
            <w:gridSpan w:val="2"/>
          </w:tcPr>
          <w:p>
            <w:pPr>
              <w:jc w:val="right"/>
              <w:ind w:right="20"/>
              <w:spacing w:after="0"/>
              <w:rPr>
                <w:sz w:val="20"/>
                <w:szCs w:val="20"/>
                <w:color w:val="auto"/>
              </w:rPr>
            </w:pPr>
            <w:r>
              <w:rPr>
                <w:rFonts w:ascii="Arial" w:cs="Arial" w:eastAsia="Arial" w:hAnsi="Arial"/>
                <w:sz w:val="18"/>
                <w:szCs w:val="18"/>
                <w:color w:val="auto"/>
              </w:rPr>
              <w:t>2,572</w:t>
            </w:r>
          </w:p>
        </w:tc>
        <w:tc>
          <w:tcPr>
            <w:tcW w:w="2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60" w:type="dxa"/>
            <w:vAlign w:val="bottom"/>
            <w:gridSpan w:val="2"/>
          </w:tcPr>
          <w:p>
            <w:pPr>
              <w:jc w:val="right"/>
              <w:ind w:right="360"/>
              <w:spacing w:after="0"/>
              <w:rPr>
                <w:sz w:val="20"/>
                <w:szCs w:val="20"/>
                <w:color w:val="auto"/>
              </w:rPr>
            </w:pPr>
            <w:r>
              <w:rPr>
                <w:rFonts w:ascii="Arial" w:cs="Arial" w:eastAsia="Arial" w:hAnsi="Arial"/>
                <w:sz w:val="18"/>
                <w:szCs w:val="18"/>
                <w:color w:val="auto"/>
              </w:rPr>
              <w:t>2,093</w:t>
            </w:r>
          </w:p>
        </w:tc>
        <w:tc>
          <w:tcPr>
            <w:tcW w:w="100" w:type="dxa"/>
            <w:vAlign w:val="bottom"/>
          </w:tcPr>
          <w:p>
            <w:pPr>
              <w:spacing w:after="0"/>
              <w:rPr>
                <w:sz w:val="18"/>
                <w:szCs w:val="18"/>
                <w:color w:val="auto"/>
              </w:rPr>
            </w:pPr>
          </w:p>
        </w:tc>
        <w:tc>
          <w:tcPr>
            <w:tcW w:w="940" w:type="dxa"/>
            <w:vAlign w:val="bottom"/>
            <w:gridSpan w:val="2"/>
          </w:tcPr>
          <w:p>
            <w:pPr>
              <w:jc w:val="right"/>
              <w:ind w:right="281"/>
              <w:spacing w:after="0"/>
              <w:rPr>
                <w:sz w:val="20"/>
                <w:szCs w:val="20"/>
                <w:color w:val="auto"/>
              </w:rPr>
            </w:pPr>
            <w:r>
              <w:rPr>
                <w:rFonts w:ascii="Arial" w:cs="Arial" w:eastAsia="Arial" w:hAnsi="Arial"/>
                <w:sz w:val="18"/>
                <w:szCs w:val="18"/>
                <w:color w:val="auto"/>
              </w:rPr>
              <w:t>479</w:t>
            </w:r>
          </w:p>
        </w:tc>
        <w:tc>
          <w:tcPr>
            <w:tcW w:w="920" w:type="dxa"/>
            <w:vAlign w:val="bottom"/>
            <w:gridSpan w:val="2"/>
          </w:tcPr>
          <w:p>
            <w:pPr>
              <w:jc w:val="right"/>
              <w:ind w:right="100"/>
              <w:spacing w:after="0"/>
              <w:rPr>
                <w:sz w:val="20"/>
                <w:szCs w:val="20"/>
                <w:color w:val="auto"/>
              </w:rPr>
            </w:pPr>
            <w:r>
              <w:rPr>
                <w:rFonts w:ascii="Arial" w:cs="Arial" w:eastAsia="Arial" w:hAnsi="Arial"/>
                <w:sz w:val="18"/>
                <w:szCs w:val="18"/>
                <w:color w:val="auto"/>
              </w:rPr>
              <w:t>22.9%</w:t>
            </w:r>
          </w:p>
        </w:tc>
      </w:tr>
      <w:tr>
        <w:trPr>
          <w:trHeight w:val="216"/>
        </w:trPr>
        <w:tc>
          <w:tcPr>
            <w:tcW w:w="6040" w:type="dxa"/>
            <w:vAlign w:val="bottom"/>
            <w:shd w:val="clear" w:color="auto" w:fill="CCEEFF"/>
          </w:tcPr>
          <w:p>
            <w:pPr>
              <w:spacing w:after="0"/>
              <w:rPr>
                <w:sz w:val="20"/>
                <w:szCs w:val="20"/>
                <w:color w:val="auto"/>
              </w:rPr>
            </w:pPr>
            <w:r>
              <w:rPr>
                <w:rFonts w:ascii="Arial" w:cs="Arial" w:eastAsia="Arial" w:hAnsi="Arial"/>
                <w:sz w:val="18"/>
                <w:szCs w:val="18"/>
                <w:color w:val="auto"/>
              </w:rPr>
              <w:t>General and administrative expense</w:t>
            </w:r>
          </w:p>
        </w:tc>
        <w:tc>
          <w:tcPr>
            <w:tcW w:w="100" w:type="dxa"/>
            <w:vAlign w:val="bottom"/>
            <w:shd w:val="clear" w:color="auto" w:fill="CCEEFF"/>
          </w:tcPr>
          <w:p>
            <w:pPr>
              <w:spacing w:after="0"/>
              <w:rPr>
                <w:sz w:val="18"/>
                <w:szCs w:val="18"/>
                <w:color w:val="auto"/>
              </w:rPr>
            </w:pPr>
          </w:p>
        </w:tc>
        <w:tc>
          <w:tcPr>
            <w:tcW w:w="6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41,880</w:t>
            </w:r>
          </w:p>
        </w:tc>
        <w:tc>
          <w:tcPr>
            <w:tcW w:w="2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38,142</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81"/>
              <w:spacing w:after="0"/>
              <w:rPr>
                <w:sz w:val="20"/>
                <w:szCs w:val="20"/>
                <w:color w:val="auto"/>
              </w:rPr>
            </w:pPr>
            <w:r>
              <w:rPr>
                <w:rFonts w:ascii="Arial" w:cs="Arial" w:eastAsia="Arial" w:hAnsi="Arial"/>
                <w:sz w:val="18"/>
                <w:szCs w:val="18"/>
                <w:color w:val="auto"/>
              </w:rPr>
              <w:t>3,738</w:t>
            </w: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9.8%</w:t>
            </w:r>
          </w:p>
        </w:tc>
      </w:tr>
      <w:tr>
        <w:trPr>
          <w:trHeight w:val="216"/>
        </w:trPr>
        <w:tc>
          <w:tcPr>
            <w:tcW w:w="6040" w:type="dxa"/>
            <w:vAlign w:val="bottom"/>
          </w:tcPr>
          <w:p>
            <w:pPr>
              <w:spacing w:after="0"/>
              <w:rPr>
                <w:sz w:val="20"/>
                <w:szCs w:val="20"/>
                <w:color w:val="auto"/>
              </w:rPr>
            </w:pPr>
            <w:r>
              <w:rPr>
                <w:rFonts w:ascii="Arial" w:cs="Arial" w:eastAsia="Arial" w:hAnsi="Arial"/>
                <w:sz w:val="18"/>
                <w:szCs w:val="18"/>
                <w:color w:val="auto"/>
              </w:rPr>
              <w:t>Bad debt (recovery) expense, net</w:t>
            </w:r>
          </w:p>
        </w:tc>
        <w:tc>
          <w:tcPr>
            <w:tcW w:w="100" w:type="dxa"/>
            <w:vAlign w:val="bottom"/>
          </w:tcPr>
          <w:p>
            <w:pPr>
              <w:spacing w:after="0"/>
              <w:rPr>
                <w:sz w:val="18"/>
                <w:szCs w:val="18"/>
                <w:color w:val="auto"/>
              </w:rPr>
            </w:pPr>
          </w:p>
        </w:tc>
        <w:tc>
          <w:tcPr>
            <w:tcW w:w="800" w:type="dxa"/>
            <w:vAlign w:val="bottom"/>
            <w:gridSpan w:val="3"/>
          </w:tcPr>
          <w:p>
            <w:pPr>
              <w:jc w:val="right"/>
              <w:ind w:right="160"/>
              <w:spacing w:after="0"/>
              <w:rPr>
                <w:sz w:val="20"/>
                <w:szCs w:val="20"/>
                <w:color w:val="auto"/>
              </w:rPr>
            </w:pPr>
            <w:r>
              <w:rPr>
                <w:rFonts w:ascii="Arial" w:cs="Arial" w:eastAsia="Arial" w:hAnsi="Arial"/>
                <w:sz w:val="18"/>
                <w:szCs w:val="18"/>
                <w:color w:val="auto"/>
              </w:rPr>
              <w:t>(1,668)</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60" w:type="dxa"/>
            <w:vAlign w:val="bottom"/>
            <w:gridSpan w:val="2"/>
          </w:tcPr>
          <w:p>
            <w:pPr>
              <w:jc w:val="right"/>
              <w:ind w:right="360"/>
              <w:spacing w:after="0"/>
              <w:rPr>
                <w:sz w:val="20"/>
                <w:szCs w:val="20"/>
                <w:color w:val="auto"/>
              </w:rPr>
            </w:pPr>
            <w:r>
              <w:rPr>
                <w:rFonts w:ascii="Arial" w:cs="Arial" w:eastAsia="Arial" w:hAnsi="Arial"/>
                <w:sz w:val="18"/>
                <w:szCs w:val="18"/>
                <w:color w:val="auto"/>
              </w:rPr>
              <w:t>2,002</w:t>
            </w:r>
          </w:p>
        </w:tc>
        <w:tc>
          <w:tcPr>
            <w:tcW w:w="100" w:type="dxa"/>
            <w:vAlign w:val="bottom"/>
          </w:tcPr>
          <w:p>
            <w:pPr>
              <w:spacing w:after="0"/>
              <w:rPr>
                <w:sz w:val="18"/>
                <w:szCs w:val="18"/>
                <w:color w:val="auto"/>
              </w:rPr>
            </w:pPr>
          </w:p>
        </w:tc>
        <w:tc>
          <w:tcPr>
            <w:tcW w:w="940" w:type="dxa"/>
            <w:vAlign w:val="bottom"/>
            <w:gridSpan w:val="2"/>
          </w:tcPr>
          <w:p>
            <w:pPr>
              <w:jc w:val="right"/>
              <w:ind w:right="221"/>
              <w:spacing w:after="0"/>
              <w:rPr>
                <w:sz w:val="20"/>
                <w:szCs w:val="20"/>
                <w:color w:val="auto"/>
              </w:rPr>
            </w:pPr>
            <w:r>
              <w:rPr>
                <w:rFonts w:ascii="Arial" w:cs="Arial" w:eastAsia="Arial" w:hAnsi="Arial"/>
                <w:sz w:val="18"/>
                <w:szCs w:val="18"/>
                <w:color w:val="auto"/>
              </w:rPr>
              <w:t>(3,670)</w:t>
            </w:r>
          </w:p>
        </w:tc>
        <w:tc>
          <w:tcPr>
            <w:tcW w:w="920" w:type="dxa"/>
            <w:vAlign w:val="bottom"/>
            <w:gridSpan w:val="2"/>
          </w:tcPr>
          <w:p>
            <w:pPr>
              <w:jc w:val="right"/>
              <w:ind w:right="40"/>
              <w:spacing w:after="0"/>
              <w:rPr>
                <w:sz w:val="20"/>
                <w:szCs w:val="20"/>
                <w:color w:val="auto"/>
              </w:rPr>
            </w:pPr>
            <w:r>
              <w:rPr>
                <w:rFonts w:ascii="Arial" w:cs="Arial" w:eastAsia="Arial" w:hAnsi="Arial"/>
                <w:sz w:val="18"/>
                <w:szCs w:val="18"/>
                <w:color w:val="auto"/>
              </w:rPr>
              <w:t>(183.3%)</w:t>
            </w:r>
          </w:p>
        </w:tc>
      </w:tr>
      <w:tr>
        <w:trPr>
          <w:trHeight w:val="216"/>
        </w:trPr>
        <w:tc>
          <w:tcPr>
            <w:tcW w:w="6040" w:type="dxa"/>
            <w:vAlign w:val="bottom"/>
            <w:shd w:val="clear" w:color="auto" w:fill="CCEEFF"/>
          </w:tcPr>
          <w:p>
            <w:pPr>
              <w:spacing w:after="0"/>
              <w:rPr>
                <w:sz w:val="20"/>
                <w:szCs w:val="20"/>
                <w:color w:val="auto"/>
              </w:rPr>
            </w:pPr>
            <w:r>
              <w:rPr>
                <w:rFonts w:ascii="Arial" w:cs="Arial" w:eastAsia="Arial" w:hAnsi="Arial"/>
                <w:sz w:val="18"/>
                <w:szCs w:val="18"/>
                <w:color w:val="auto"/>
              </w:rPr>
              <w:t>Container lessee default (recovery) expense, net</w:t>
            </w:r>
          </w:p>
        </w:tc>
        <w:tc>
          <w:tcPr>
            <w:tcW w:w="100" w:type="dxa"/>
            <w:vAlign w:val="bottom"/>
            <w:shd w:val="clear" w:color="auto" w:fill="CCEEFF"/>
          </w:tcPr>
          <w:p>
            <w:pPr>
              <w:spacing w:after="0"/>
              <w:rPr>
                <w:sz w:val="18"/>
                <w:szCs w:val="18"/>
                <w:color w:val="auto"/>
              </w:rPr>
            </w:pPr>
          </w:p>
        </w:tc>
        <w:tc>
          <w:tcPr>
            <w:tcW w:w="80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(1,675)</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7,867</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21"/>
              <w:spacing w:after="0"/>
              <w:rPr>
                <w:sz w:val="20"/>
                <w:szCs w:val="20"/>
                <w:color w:val="auto"/>
              </w:rPr>
            </w:pPr>
            <w:r>
              <w:rPr>
                <w:rFonts w:ascii="Arial" w:cs="Arial" w:eastAsia="Arial" w:hAnsi="Arial"/>
                <w:sz w:val="18"/>
                <w:szCs w:val="18"/>
                <w:color w:val="auto"/>
              </w:rPr>
              <w:t>(9,542)</w:t>
            </w:r>
          </w:p>
        </w:tc>
        <w:tc>
          <w:tcPr>
            <w:tcW w:w="9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(121.3%)</w:t>
            </w:r>
          </w:p>
        </w:tc>
      </w:tr>
      <w:tr>
        <w:trPr>
          <w:trHeight w:val="216"/>
        </w:trPr>
        <w:tc>
          <w:tcPr>
            <w:tcW w:w="6040" w:type="dxa"/>
            <w:vAlign w:val="bottom"/>
          </w:tcPr>
          <w:p>
            <w:pPr>
              <w:spacing w:after="0"/>
              <w:rPr>
                <w:sz w:val="20"/>
                <w:szCs w:val="20"/>
                <w:color w:val="auto"/>
              </w:rPr>
            </w:pPr>
            <w:r>
              <w:rPr>
                <w:rFonts w:ascii="Arial" w:cs="Arial" w:eastAsia="Arial" w:hAnsi="Arial"/>
                <w:sz w:val="18"/>
                <w:szCs w:val="18"/>
                <w:color w:val="auto"/>
              </w:rPr>
              <w:t>Gain on insurance recovery and legal settlement</w:t>
            </w:r>
          </w:p>
        </w:tc>
        <w:tc>
          <w:tcPr>
            <w:tcW w:w="100" w:type="dxa"/>
            <w:vAlign w:val="bottom"/>
          </w:tcPr>
          <w:p>
            <w:pPr>
              <w:spacing w:after="0"/>
              <w:rPr>
                <w:sz w:val="18"/>
                <w:szCs w:val="18"/>
                <w:color w:val="auto"/>
              </w:rPr>
            </w:pPr>
          </w:p>
        </w:tc>
        <w:tc>
          <w:tcPr>
            <w:tcW w:w="800" w:type="dxa"/>
            <w:vAlign w:val="bottom"/>
            <w:gridSpan w:val="3"/>
          </w:tcPr>
          <w:p>
            <w:pPr>
              <w:jc w:val="right"/>
              <w:ind w:right="30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60" w:type="dxa"/>
            <w:vAlign w:val="bottom"/>
            <w:gridSpan w:val="2"/>
          </w:tcPr>
          <w:p>
            <w:pPr>
              <w:jc w:val="right"/>
              <w:ind w:right="300"/>
              <w:spacing w:after="0"/>
              <w:rPr>
                <w:sz w:val="20"/>
                <w:szCs w:val="20"/>
                <w:color w:val="auto"/>
              </w:rPr>
            </w:pPr>
            <w:r>
              <w:rPr>
                <w:rFonts w:ascii="Arial" w:cs="Arial" w:eastAsia="Arial" w:hAnsi="Arial"/>
                <w:sz w:val="18"/>
                <w:szCs w:val="18"/>
                <w:color w:val="auto"/>
                <w:w w:val="95"/>
              </w:rPr>
              <w:t>(14,881)</w:t>
            </w:r>
          </w:p>
        </w:tc>
        <w:tc>
          <w:tcPr>
            <w:tcW w:w="100" w:type="dxa"/>
            <w:vAlign w:val="bottom"/>
          </w:tcPr>
          <w:p>
            <w:pPr>
              <w:spacing w:after="0"/>
              <w:rPr>
                <w:sz w:val="18"/>
                <w:szCs w:val="18"/>
                <w:color w:val="auto"/>
              </w:rPr>
            </w:pPr>
          </w:p>
        </w:tc>
        <w:tc>
          <w:tcPr>
            <w:tcW w:w="940" w:type="dxa"/>
            <w:vAlign w:val="bottom"/>
            <w:gridSpan w:val="2"/>
          </w:tcPr>
          <w:p>
            <w:pPr>
              <w:jc w:val="right"/>
              <w:ind w:right="281"/>
              <w:spacing w:after="0"/>
              <w:rPr>
                <w:sz w:val="20"/>
                <w:szCs w:val="20"/>
                <w:color w:val="auto"/>
              </w:rPr>
            </w:pPr>
            <w:r>
              <w:rPr>
                <w:rFonts w:ascii="Arial" w:cs="Arial" w:eastAsia="Arial" w:hAnsi="Arial"/>
                <w:sz w:val="18"/>
                <w:szCs w:val="18"/>
                <w:color w:val="auto"/>
              </w:rPr>
              <w:t>14,881</w:t>
            </w:r>
          </w:p>
        </w:tc>
        <w:tc>
          <w:tcPr>
            <w:tcW w:w="920" w:type="dxa"/>
            <w:vAlign w:val="bottom"/>
            <w:gridSpan w:val="2"/>
          </w:tcPr>
          <w:p>
            <w:pPr>
              <w:jc w:val="right"/>
              <w:ind w:right="40"/>
              <w:spacing w:after="0"/>
              <w:rPr>
                <w:sz w:val="20"/>
                <w:szCs w:val="20"/>
                <w:color w:val="auto"/>
              </w:rPr>
            </w:pPr>
            <w:r>
              <w:rPr>
                <w:rFonts w:ascii="Arial" w:cs="Arial" w:eastAsia="Arial" w:hAnsi="Arial"/>
                <w:sz w:val="18"/>
                <w:szCs w:val="18"/>
                <w:color w:val="auto"/>
              </w:rPr>
              <w:t>(100.0%)</w:t>
            </w:r>
          </w:p>
        </w:tc>
      </w:tr>
      <w:tr>
        <w:trPr>
          <w:trHeight w:val="216"/>
        </w:trPr>
        <w:tc>
          <w:tcPr>
            <w:tcW w:w="6040" w:type="dxa"/>
            <w:vAlign w:val="bottom"/>
            <w:shd w:val="clear" w:color="auto" w:fill="CCEEFF"/>
          </w:tcPr>
          <w:p>
            <w:pPr>
              <w:spacing w:after="0"/>
              <w:rPr>
                <w:sz w:val="20"/>
                <w:szCs w:val="20"/>
                <w:color w:val="auto"/>
              </w:rPr>
            </w:pPr>
            <w:r>
              <w:rPr>
                <w:rFonts w:ascii="Arial" w:cs="Arial" w:eastAsia="Arial" w:hAnsi="Arial"/>
                <w:sz w:val="18"/>
                <w:szCs w:val="18"/>
                <w:color w:val="auto"/>
              </w:rPr>
              <w:t>Gain on settlement of pre-existing management agreement</w:t>
            </w:r>
          </w:p>
        </w:tc>
        <w:tc>
          <w:tcPr>
            <w:tcW w:w="100" w:type="dxa"/>
            <w:vAlign w:val="bottom"/>
            <w:shd w:val="clear" w:color="auto" w:fill="CCEEFF"/>
          </w:tcPr>
          <w:p>
            <w:pPr>
              <w:spacing w:after="0"/>
              <w:rPr>
                <w:sz w:val="18"/>
                <w:szCs w:val="18"/>
                <w:color w:val="auto"/>
              </w:rPr>
            </w:pPr>
          </w:p>
        </w:tc>
        <w:tc>
          <w:tcPr>
            <w:tcW w:w="80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(1,823)</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81"/>
              <w:spacing w:after="0"/>
              <w:rPr>
                <w:sz w:val="20"/>
                <w:szCs w:val="20"/>
                <w:color w:val="auto"/>
              </w:rPr>
            </w:pPr>
            <w:r>
              <w:rPr>
                <w:rFonts w:ascii="Arial" w:cs="Arial" w:eastAsia="Arial" w:hAnsi="Arial"/>
                <w:sz w:val="18"/>
                <w:szCs w:val="18"/>
                <w:color w:val="auto"/>
              </w:rPr>
              <w:t>1,823</w:t>
            </w: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100.0%</w:t>
            </w:r>
          </w:p>
        </w:tc>
      </w:tr>
      <w:tr>
        <w:trPr>
          <w:trHeight w:val="223"/>
        </w:trPr>
        <w:tc>
          <w:tcPr>
            <w:tcW w:w="6040" w:type="dxa"/>
            <w:vAlign w:val="bottom"/>
          </w:tcPr>
          <w:p>
            <w:pPr>
              <w:spacing w:after="0"/>
              <w:rPr>
                <w:sz w:val="20"/>
                <w:szCs w:val="20"/>
                <w:color w:val="auto"/>
              </w:rPr>
            </w:pPr>
            <w:r>
              <w:rPr>
                <w:rFonts w:ascii="Arial" w:cs="Arial" w:eastAsia="Arial" w:hAnsi="Arial"/>
                <w:sz w:val="18"/>
                <w:szCs w:val="18"/>
                <w:color w:val="auto"/>
              </w:rPr>
              <w:t>Total operating expenses</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6"/>
              </w:rPr>
              <w:t>415,307</w:t>
            </w:r>
          </w:p>
        </w:tc>
        <w:tc>
          <w:tcPr>
            <w:tcW w:w="20" w:type="dxa"/>
            <w:vAlign w:val="bottom"/>
            <w:tcBorders>
              <w:bottom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9"/>
              </w:rPr>
              <w:t>433,461</w:t>
            </w:r>
          </w:p>
        </w:tc>
        <w:tc>
          <w:tcPr>
            <w:tcW w:w="36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1"/>
              </w:rPr>
              <w:t>(18,154</w:t>
            </w:r>
          </w:p>
        </w:tc>
        <w:tc>
          <w:tcPr>
            <w:tcW w:w="360" w:type="dxa"/>
            <w:vAlign w:val="bottom"/>
          </w:tcPr>
          <w:p>
            <w:pPr>
              <w:jc w:val="right"/>
              <w:ind w:right="221"/>
              <w:spacing w:after="0"/>
              <w:rPr>
                <w:sz w:val="20"/>
                <w:szCs w:val="20"/>
                <w:color w:val="auto"/>
              </w:rPr>
            </w:pPr>
            <w:r>
              <w:rPr>
                <w:rFonts w:ascii="Arial" w:cs="Arial" w:eastAsia="Arial" w:hAnsi="Arial"/>
                <w:sz w:val="16"/>
                <w:szCs w:val="16"/>
                <w:color w:val="auto"/>
                <w:w w:val="74"/>
              </w:rPr>
              <w:t>)</w:t>
            </w:r>
          </w:p>
        </w:tc>
        <w:tc>
          <w:tcPr>
            <w:tcW w:w="920" w:type="dxa"/>
            <w:vAlign w:val="bottom"/>
            <w:gridSpan w:val="2"/>
          </w:tcPr>
          <w:p>
            <w:pPr>
              <w:jc w:val="right"/>
              <w:ind w:right="40"/>
              <w:spacing w:after="0"/>
              <w:rPr>
                <w:sz w:val="20"/>
                <w:szCs w:val="20"/>
                <w:color w:val="auto"/>
              </w:rPr>
            </w:pPr>
            <w:r>
              <w:rPr>
                <w:rFonts w:ascii="Arial" w:cs="Arial" w:eastAsia="Arial" w:hAnsi="Arial"/>
                <w:sz w:val="18"/>
                <w:szCs w:val="18"/>
                <w:color w:val="auto"/>
              </w:rPr>
              <w:t>(4.2%)</w:t>
            </w:r>
          </w:p>
        </w:tc>
      </w:tr>
      <w:tr>
        <w:trPr>
          <w:trHeight w:val="20"/>
        </w:trPr>
        <w:tc>
          <w:tcPr>
            <w:tcW w:w="60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r>
    </w:tbl>
    <w:p>
      <w:pPr>
        <w:spacing w:after="0" w:line="215" w:lineRule="exact"/>
        <w:rPr>
          <w:sz w:val="20"/>
          <w:szCs w:val="20"/>
          <w:color w:val="auto"/>
        </w:rPr>
      </w:pPr>
    </w:p>
    <w:p>
      <w:pPr>
        <w:ind w:right="140" w:firstLine="440"/>
        <w:spacing w:after="0" w:line="277" w:lineRule="auto"/>
        <w:rPr>
          <w:sz w:val="20"/>
          <w:szCs w:val="20"/>
          <w:color w:val="auto"/>
        </w:rPr>
      </w:pPr>
      <w:r>
        <w:rPr>
          <w:rFonts w:ascii="Arial" w:cs="Arial" w:eastAsia="Arial" w:hAnsi="Arial"/>
          <w:sz w:val="18"/>
          <w:szCs w:val="18"/>
          <w:color w:val="auto"/>
        </w:rPr>
        <w:t>Direct container expense – owned fleet increased $9,391 (20.5%) from 2019 to 2020 primarily due to a $7,020 increase in storage expense and a $4,216 increase in maintenance expense, partially offset by a $1,691 decrease in insurance expense.</w:t>
      </w:r>
    </w:p>
    <w:p>
      <w:pPr>
        <w:spacing w:after="0" w:line="170" w:lineRule="exact"/>
        <w:rPr>
          <w:sz w:val="20"/>
          <w:szCs w:val="20"/>
          <w:color w:val="auto"/>
        </w:rPr>
      </w:pPr>
    </w:p>
    <w:p>
      <w:pPr>
        <w:ind w:right="300" w:firstLine="440"/>
        <w:spacing w:after="0" w:line="277" w:lineRule="auto"/>
        <w:rPr>
          <w:sz w:val="20"/>
          <w:szCs w:val="20"/>
          <w:color w:val="auto"/>
        </w:rPr>
      </w:pPr>
      <w:r>
        <w:rPr>
          <w:rFonts w:ascii="Arial" w:cs="Arial" w:eastAsia="Arial" w:hAnsi="Arial"/>
          <w:sz w:val="18"/>
          <w:szCs w:val="18"/>
          <w:color w:val="auto"/>
        </w:rPr>
        <w:t>Distribution expense to managed fleet container investors decreased $36,547 (-38.9%) from 2019 to 2020 primarily due to our acquisition of a managed fleet at December 31, 2019 and a lower lease rental income.</w:t>
      </w:r>
    </w:p>
    <w:p>
      <w:pPr>
        <w:spacing w:after="0" w:line="170" w:lineRule="exact"/>
        <w:rPr>
          <w:sz w:val="20"/>
          <w:szCs w:val="20"/>
          <w:color w:val="auto"/>
        </w:rPr>
      </w:pPr>
    </w:p>
    <w:p>
      <w:pPr>
        <w:ind w:firstLine="440"/>
        <w:spacing w:after="0" w:line="263" w:lineRule="auto"/>
        <w:rPr>
          <w:sz w:val="20"/>
          <w:szCs w:val="20"/>
          <w:color w:val="auto"/>
        </w:rPr>
      </w:pPr>
      <w:r>
        <w:rPr>
          <w:rFonts w:ascii="Arial" w:cs="Arial" w:eastAsia="Arial" w:hAnsi="Arial"/>
          <w:sz w:val="18"/>
          <w:szCs w:val="18"/>
          <w:color w:val="auto"/>
        </w:rPr>
        <w:t>Depreciation expense increased $1,293 (0.5%) from 2019 to 2020; $4,259 of the increase was due to a net increase in the size of our owned depreciable fleet, partially offset by a $3,144 decrease due to net decrease to write down the value of containers held for sale to their estimated fair value less cost to sell.</w:t>
      </w:r>
    </w:p>
    <w:p>
      <w:pPr>
        <w:spacing w:after="0" w:line="184" w:lineRule="exact"/>
        <w:rPr>
          <w:sz w:val="20"/>
          <w:szCs w:val="20"/>
          <w:color w:val="auto"/>
        </w:rPr>
      </w:pPr>
    </w:p>
    <w:p>
      <w:pPr>
        <w:ind w:right="20" w:firstLine="440"/>
        <w:spacing w:after="0" w:line="286" w:lineRule="auto"/>
        <w:rPr>
          <w:sz w:val="20"/>
          <w:szCs w:val="20"/>
          <w:color w:val="auto"/>
        </w:rPr>
      </w:pPr>
      <w:r>
        <w:rPr>
          <w:rFonts w:ascii="Arial" w:cs="Arial" w:eastAsia="Arial" w:hAnsi="Arial"/>
          <w:sz w:val="17"/>
          <w:szCs w:val="17"/>
          <w:color w:val="auto"/>
        </w:rPr>
        <w:t>Amortization expense represents the amortization of amounts paid to acquire the rights to manage the container fleets of Capital, Amficon and Capital Intermodal. The Capital Intermodal management right amount was fully amortized at December 31, 2020. Amortization expense increased $479 (22.9%) from 2019 to 2020 primarily due to an update in the estimates for management fee revenue.</w:t>
      </w:r>
    </w:p>
    <w:p>
      <w:pPr>
        <w:spacing w:after="0" w:line="165" w:lineRule="exact"/>
        <w:rPr>
          <w:sz w:val="20"/>
          <w:szCs w:val="20"/>
          <w:color w:val="auto"/>
        </w:rPr>
      </w:pPr>
    </w:p>
    <w:p>
      <w:pPr>
        <w:ind w:right="200" w:firstLine="440"/>
        <w:spacing w:after="0" w:line="277" w:lineRule="auto"/>
        <w:rPr>
          <w:sz w:val="20"/>
          <w:szCs w:val="20"/>
          <w:color w:val="auto"/>
        </w:rPr>
      </w:pPr>
      <w:r>
        <w:rPr>
          <w:rFonts w:ascii="Arial" w:cs="Arial" w:eastAsia="Arial" w:hAnsi="Arial"/>
          <w:sz w:val="18"/>
          <w:szCs w:val="18"/>
          <w:color w:val="auto"/>
        </w:rPr>
        <w:t>General and administrative expense increased $3,738 (9.8%) from 2019 to 2020 primarily due to a $4,493 increase in compensation and benefit costs, partially offset by a $915 decrease in travel expense.</w:t>
      </w:r>
    </w:p>
    <w:p>
      <w:pPr>
        <w:spacing w:after="0" w:line="170" w:lineRule="exact"/>
        <w:rPr>
          <w:sz w:val="20"/>
          <w:szCs w:val="20"/>
          <w:color w:val="auto"/>
        </w:rPr>
      </w:pPr>
    </w:p>
    <w:p>
      <w:pPr>
        <w:ind w:right="40" w:firstLine="440"/>
        <w:spacing w:after="0" w:line="257" w:lineRule="auto"/>
        <w:rPr>
          <w:sz w:val="20"/>
          <w:szCs w:val="20"/>
          <w:color w:val="auto"/>
        </w:rPr>
      </w:pPr>
      <w:r>
        <w:rPr>
          <w:rFonts w:ascii="Arial" w:cs="Arial" w:eastAsia="Arial" w:hAnsi="Arial"/>
          <w:sz w:val="18"/>
          <w:szCs w:val="18"/>
          <w:color w:val="auto"/>
        </w:rPr>
        <w:t>Bad debt (recovery) expense, net, changed from a net expense of $2,002 for 2019 to a net recovery of $1,668 for 2020. This change was primarily due to improvements in collections and our general customer credit profile, partially offset by a credit loss expense of $865 for 2020, which related to our adoption of ASU 2016-13, Financial Instruments – Credit Losses (Topic 326) on the effective date of January 1, 2020, see Note 1 (f) “Nature of Business and Summary of Significant Accounting Policies” to our consolidated financial statements in Item 18, “Financial Statements” in this Annual Report on Form 20-F for further information.</w:t>
      </w:r>
    </w:p>
    <w:p>
      <w:pPr>
        <w:spacing w:after="0" w:line="188" w:lineRule="exact"/>
        <w:rPr>
          <w:sz w:val="20"/>
          <w:szCs w:val="20"/>
          <w:color w:val="auto"/>
        </w:rPr>
      </w:pPr>
    </w:p>
    <w:p>
      <w:pPr>
        <w:ind w:right="80" w:firstLine="440"/>
        <w:spacing w:after="0" w:line="279" w:lineRule="auto"/>
        <w:rPr>
          <w:sz w:val="20"/>
          <w:szCs w:val="20"/>
          <w:color w:val="auto"/>
        </w:rPr>
      </w:pPr>
      <w:r>
        <w:rPr>
          <w:rFonts w:ascii="Arial" w:cs="Arial" w:eastAsia="Arial" w:hAnsi="Arial"/>
          <w:sz w:val="17"/>
          <w:szCs w:val="17"/>
          <w:color w:val="auto"/>
        </w:rPr>
        <w:t>Container lessee default (recovery) expense, net changed from a net expense of $7,867 for 2019 to a net recovery of $1,675 for 2020. The 2020 recovery was primarily due to aggregate payments of $1,386 received on a settlement agreement with an insolvent lessee in the second quarter of 2020. The 2019 expense was primarily due to $9,059 for written off containers that were deemed unlikely to be recovered from an insolvent lessee, partially offset by $1,988 gain associated with recoveries on containers previously estimated as lost with insolvent lessees.</w:t>
      </w:r>
    </w:p>
    <w:p>
      <w:pPr>
        <w:spacing w:after="0" w:line="171" w:lineRule="exact"/>
        <w:rPr>
          <w:sz w:val="20"/>
          <w:szCs w:val="20"/>
          <w:color w:val="auto"/>
        </w:rPr>
      </w:pPr>
    </w:p>
    <w:p>
      <w:pPr>
        <w:ind w:right="460" w:firstLine="440"/>
        <w:spacing w:after="0" w:line="277" w:lineRule="auto"/>
        <w:rPr>
          <w:sz w:val="20"/>
          <w:szCs w:val="20"/>
          <w:color w:val="auto"/>
        </w:rPr>
      </w:pPr>
      <w:r>
        <w:rPr>
          <w:rFonts w:ascii="Arial" w:cs="Arial" w:eastAsia="Arial" w:hAnsi="Arial"/>
          <w:sz w:val="18"/>
          <w:szCs w:val="18"/>
          <w:color w:val="auto"/>
        </w:rPr>
        <w:t>Gain on insurance recovery and legal settlement for 2019 amounted to $14,881. The 2019 amount includes a $14,040 cash distribution from Hanjin bankruptcy estate received during the fourth quarter of 2019.</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58</w:t>
      </w:r>
    </w:p>
    <w:p>
      <w:pPr>
        <w:sectPr>
          <w:pgSz w:w="11900" w:h="16838" w:orient="portrait"/>
          <w:cols w:equalWidth="0" w:num="1">
            <w:col w:w="10980"/>
          </w:cols>
          <w:pgMar w:left="440" w:top="274" w:right="479" w:bottom="1440" w:gutter="0" w:footer="0" w:header="0"/>
        </w:sectPr>
      </w:pPr>
    </w:p>
    <w:bookmarkStart w:id="72" w:name="page73"/>
    <w:bookmarkEnd w:id="72"/>
    <w:p>
      <w:pPr>
        <w:ind w:right="220" w:firstLine="44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Gain on settlement of pre-existing management agreement for 2019 amounted to $1,823 which related to the settlement of the container management agreement in conjunction with our acquisition of LAPCO on December 31, 2019. See Note 1 (b) “Nature of Business and Summary of Significant Accounting Policies” to our consolidated financial statements in Item 18, </w:t>
      </w:r>
      <w:r>
        <w:rPr>
          <w:rFonts w:ascii="Arial" w:cs="Arial" w:eastAsia="Arial" w:hAnsi="Arial"/>
          <w:sz w:val="18"/>
          <w:szCs w:val="18"/>
          <w:i w:val="1"/>
          <w:iCs w:val="1"/>
          <w:color w:val="auto"/>
        </w:rPr>
        <w:t>“Financial Statements”</w:t>
      </w:r>
      <w:r>
        <w:rPr>
          <w:rFonts w:ascii="Arial" w:cs="Arial" w:eastAsia="Arial" w:hAnsi="Arial"/>
          <w:sz w:val="18"/>
          <w:szCs w:val="18"/>
          <w:color w:val="auto"/>
        </w:rPr>
        <w:t xml:space="preserve"> in this Annual Report on Form 20-F for further information.</w:t>
      </w:r>
    </w:p>
    <w:p>
      <w:pPr>
        <w:spacing w:after="0" w:line="187" w:lineRule="exact"/>
        <w:rPr>
          <w:sz w:val="20"/>
          <w:szCs w:val="20"/>
          <w:color w:val="auto"/>
        </w:rPr>
      </w:pPr>
    </w:p>
    <w:p>
      <w:pPr>
        <w:ind w:left="440"/>
        <w:spacing w:after="0"/>
        <w:rPr>
          <w:sz w:val="20"/>
          <w:szCs w:val="20"/>
          <w:color w:val="auto"/>
        </w:rPr>
      </w:pPr>
      <w:r>
        <w:rPr>
          <w:rFonts w:ascii="Arial" w:cs="Arial" w:eastAsia="Arial" w:hAnsi="Arial"/>
          <w:sz w:val="16"/>
          <w:szCs w:val="16"/>
          <w:color w:val="auto"/>
        </w:rPr>
        <w:t>The following table summarizes other income (expenses) for the years ended December 31, 2020 and 2019 and changes between those periods:</w:t>
      </w:r>
    </w:p>
    <w:p>
      <w:pPr>
        <w:spacing w:after="0" w:line="267" w:lineRule="exact"/>
        <w:rPr>
          <w:sz w:val="20"/>
          <w:szCs w:val="20"/>
          <w:color w:val="auto"/>
        </w:rPr>
      </w:pPr>
    </w:p>
    <w:tbl>
      <w:tblPr>
        <w:tblLayout w:type="fixed"/>
        <w:tblInd w:w="440" w:type="dxa"/>
        <w:tblCellMar>
          <w:top w:w="0" w:type="dxa"/>
          <w:left w:w="0" w:type="dxa"/>
          <w:bottom w:w="0" w:type="dxa"/>
          <w:right w:w="0" w:type="dxa"/>
        </w:tblCellMar>
      </w:tblPr>
      <w:tr>
        <w:trPr>
          <w:trHeight w:val="171"/>
        </w:trPr>
        <w:tc>
          <w:tcPr>
            <w:tcW w:w="20" w:type="dxa"/>
            <w:vAlign w:val="bottom"/>
          </w:tcPr>
          <w:p>
            <w:pPr>
              <w:spacing w:after="0"/>
              <w:rPr>
                <w:sz w:val="14"/>
                <w:szCs w:val="14"/>
                <w:color w:val="auto"/>
              </w:rPr>
            </w:pPr>
          </w:p>
        </w:tc>
        <w:tc>
          <w:tcPr>
            <w:tcW w:w="5820" w:type="dxa"/>
            <w:vAlign w:val="bottom"/>
          </w:tcPr>
          <w:p>
            <w:pPr>
              <w:spacing w:after="0"/>
              <w:rPr>
                <w:sz w:val="14"/>
                <w:szCs w:val="14"/>
                <w:color w:val="auto"/>
              </w:rPr>
            </w:pPr>
          </w:p>
        </w:tc>
        <w:tc>
          <w:tcPr>
            <w:tcW w:w="2280" w:type="dxa"/>
            <w:vAlign w:val="bottom"/>
            <w:gridSpan w:val="4"/>
          </w:tcPr>
          <w:p>
            <w:pPr>
              <w:jc w:val="right"/>
              <w:ind w:right="540"/>
              <w:spacing w:after="0"/>
              <w:rPr>
                <w:sz w:val="20"/>
                <w:szCs w:val="20"/>
                <w:color w:val="auto"/>
              </w:rPr>
            </w:pPr>
            <w:r>
              <w:rPr>
                <w:rFonts w:ascii="Arial" w:cs="Arial" w:eastAsia="Arial" w:hAnsi="Arial"/>
                <w:sz w:val="14"/>
                <w:szCs w:val="14"/>
                <w:b w:val="1"/>
                <w:bCs w:val="1"/>
                <w:color w:val="auto"/>
                <w:w w:val="99"/>
              </w:rPr>
              <w:t>Year Ended December 31,</w:t>
            </w:r>
          </w:p>
        </w:tc>
        <w:tc>
          <w:tcPr>
            <w:tcW w:w="2000" w:type="dxa"/>
            <w:vAlign w:val="bottom"/>
            <w:gridSpan w:val="4"/>
          </w:tcPr>
          <w:p>
            <w:pPr>
              <w:jc w:val="right"/>
              <w:ind w:right="740"/>
              <w:spacing w:after="0"/>
              <w:rPr>
                <w:sz w:val="20"/>
                <w:szCs w:val="20"/>
                <w:color w:val="auto"/>
              </w:rPr>
            </w:pPr>
            <w:r>
              <w:rPr>
                <w:rFonts w:ascii="Arial" w:cs="Arial" w:eastAsia="Arial" w:hAnsi="Arial"/>
                <w:sz w:val="14"/>
                <w:szCs w:val="14"/>
                <w:b w:val="1"/>
                <w:bCs w:val="1"/>
                <w:color w:val="auto"/>
              </w:rPr>
              <w:t>2020 vs 2019</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5820" w:type="dxa"/>
            <w:vAlign w:val="bottom"/>
          </w:tcPr>
          <w:p>
            <w:pPr>
              <w:spacing w:after="0"/>
              <w:rPr>
                <w:sz w:val="12"/>
                <w:szCs w:val="12"/>
                <w:color w:val="auto"/>
              </w:rPr>
            </w:pPr>
          </w:p>
        </w:tc>
        <w:tc>
          <w:tcPr>
            <w:tcW w:w="740" w:type="dxa"/>
            <w:vAlign w:val="bottom"/>
            <w:tcBorders>
              <w:top w:val="single" w:sz="8" w:color="auto"/>
            </w:tcBorders>
          </w:tcPr>
          <w:p>
            <w:pPr>
              <w:jc w:val="right"/>
              <w:ind w:right="135"/>
              <w:spacing w:after="0" w:line="142" w:lineRule="exact"/>
              <w:rPr>
                <w:sz w:val="20"/>
                <w:szCs w:val="20"/>
                <w:color w:val="auto"/>
              </w:rPr>
            </w:pPr>
            <w:r>
              <w:rPr>
                <w:rFonts w:ascii="Arial" w:cs="Arial" w:eastAsia="Arial" w:hAnsi="Arial"/>
                <w:sz w:val="14"/>
                <w:szCs w:val="14"/>
                <w:b w:val="1"/>
                <w:bCs w:val="1"/>
                <w:color w:val="auto"/>
              </w:rPr>
              <w:t>2020</w:t>
            </w:r>
          </w:p>
        </w:tc>
        <w:tc>
          <w:tcPr>
            <w:tcW w:w="400" w:type="dxa"/>
            <w:vAlign w:val="bottom"/>
            <w:tcBorders>
              <w:top w:val="single" w:sz="8" w:color="auto"/>
            </w:tcBorders>
          </w:tcPr>
          <w:p>
            <w:pPr>
              <w:spacing w:after="0"/>
              <w:rPr>
                <w:sz w:val="12"/>
                <w:szCs w:val="12"/>
                <w:color w:val="auto"/>
              </w:rPr>
            </w:pPr>
          </w:p>
        </w:tc>
        <w:tc>
          <w:tcPr>
            <w:tcW w:w="740" w:type="dxa"/>
            <w:vAlign w:val="bottom"/>
            <w:tcBorders>
              <w:top w:val="single" w:sz="8" w:color="auto"/>
            </w:tcBorders>
          </w:tcPr>
          <w:p>
            <w:pPr>
              <w:jc w:val="right"/>
              <w:ind w:right="132"/>
              <w:spacing w:after="0" w:line="142" w:lineRule="exact"/>
              <w:rPr>
                <w:sz w:val="20"/>
                <w:szCs w:val="20"/>
                <w:color w:val="auto"/>
              </w:rPr>
            </w:pPr>
            <w:r>
              <w:rPr>
                <w:rFonts w:ascii="Arial" w:cs="Arial" w:eastAsia="Arial" w:hAnsi="Arial"/>
                <w:sz w:val="14"/>
                <w:szCs w:val="14"/>
                <w:b w:val="1"/>
                <w:bCs w:val="1"/>
                <w:color w:val="auto"/>
              </w:rPr>
              <w:t>2019</w:t>
            </w:r>
          </w:p>
        </w:tc>
        <w:tc>
          <w:tcPr>
            <w:tcW w:w="400" w:type="dxa"/>
            <w:vAlign w:val="bottom"/>
          </w:tcPr>
          <w:p>
            <w:pPr>
              <w:spacing w:after="0"/>
              <w:rPr>
                <w:sz w:val="12"/>
                <w:szCs w:val="12"/>
                <w:color w:val="auto"/>
              </w:rPr>
            </w:pPr>
          </w:p>
        </w:tc>
        <w:tc>
          <w:tcPr>
            <w:tcW w:w="1040" w:type="dxa"/>
            <w:vAlign w:val="bottom"/>
            <w:tcBorders>
              <w:top w:val="single" w:sz="8" w:color="auto"/>
            </w:tcBorders>
            <w:gridSpan w:val="2"/>
          </w:tcPr>
          <w:p>
            <w:pPr>
              <w:jc w:val="right"/>
              <w:ind w:right="420"/>
              <w:spacing w:after="0" w:line="142" w:lineRule="exact"/>
              <w:rPr>
                <w:sz w:val="20"/>
                <w:szCs w:val="20"/>
                <w:color w:val="auto"/>
              </w:rPr>
            </w:pPr>
            <w:r>
              <w:rPr>
                <w:rFonts w:ascii="Arial" w:cs="Arial" w:eastAsia="Arial" w:hAnsi="Arial"/>
                <w:sz w:val="14"/>
                <w:szCs w:val="14"/>
                <w:b w:val="1"/>
                <w:bCs w:val="1"/>
                <w:color w:val="auto"/>
                <w:w w:val="95"/>
              </w:rPr>
              <w:t>$ Change</w:t>
            </w:r>
          </w:p>
        </w:tc>
        <w:tc>
          <w:tcPr>
            <w:tcW w:w="70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97"/>
              </w:rPr>
              <w:t>% Change</w:t>
            </w:r>
          </w:p>
        </w:tc>
        <w:tc>
          <w:tcPr>
            <w:tcW w:w="2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5820" w:type="dxa"/>
            <w:vAlign w:val="bottom"/>
          </w:tcPr>
          <w:p>
            <w:pPr>
              <w:spacing w:after="0"/>
              <w:rPr>
                <w:sz w:val="12"/>
                <w:szCs w:val="12"/>
                <w:color w:val="auto"/>
              </w:rPr>
            </w:pPr>
          </w:p>
        </w:tc>
        <w:tc>
          <w:tcPr>
            <w:tcW w:w="1880" w:type="dxa"/>
            <w:vAlign w:val="bottom"/>
            <w:tcBorders>
              <w:top w:val="single" w:sz="8" w:color="auto"/>
            </w:tcBorders>
            <w:gridSpan w:val="3"/>
          </w:tcPr>
          <w:p>
            <w:pPr>
              <w:jc w:val="right"/>
              <w:ind w:right="172"/>
              <w:spacing w:after="0" w:line="142" w:lineRule="exact"/>
              <w:rPr>
                <w:sz w:val="20"/>
                <w:szCs w:val="20"/>
                <w:color w:val="auto"/>
              </w:rPr>
            </w:pPr>
            <w:r>
              <w:rPr>
                <w:rFonts w:ascii="Arial" w:cs="Arial" w:eastAsia="Arial" w:hAnsi="Arial"/>
                <w:sz w:val="14"/>
                <w:szCs w:val="14"/>
                <w:b w:val="1"/>
                <w:bCs w:val="1"/>
                <w:color w:val="auto"/>
              </w:rPr>
              <w:t>(Dollars in thousands)</w:t>
            </w:r>
          </w:p>
        </w:tc>
        <w:tc>
          <w:tcPr>
            <w:tcW w:w="400" w:type="dxa"/>
            <w:vAlign w:val="bottom"/>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380" w:type="dxa"/>
            <w:vAlign w:val="bottom"/>
          </w:tcPr>
          <w:p>
            <w:pPr>
              <w:spacing w:after="0"/>
              <w:rPr>
                <w:sz w:val="12"/>
                <w:szCs w:val="12"/>
                <w:color w:val="auto"/>
              </w:rPr>
            </w:pPr>
          </w:p>
        </w:tc>
        <w:tc>
          <w:tcPr>
            <w:tcW w:w="700" w:type="dxa"/>
            <w:vAlign w:val="bottom"/>
            <w:tcBorders>
              <w:top w:val="single" w:sz="8" w:color="auto"/>
            </w:tcBorders>
          </w:tcPr>
          <w:p>
            <w:pPr>
              <w:spacing w:after="0"/>
              <w:rPr>
                <w:sz w:val="12"/>
                <w:szCs w:val="12"/>
                <w:color w:val="auto"/>
              </w:rPr>
            </w:pPr>
          </w:p>
        </w:tc>
        <w:tc>
          <w:tcPr>
            <w:tcW w:w="2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20" w:type="dxa"/>
            <w:vAlign w:val="bottom"/>
            <w:shd w:val="clear" w:color="auto" w:fill="CCEEFF"/>
          </w:tcPr>
          <w:p>
            <w:pPr>
              <w:spacing w:after="0"/>
              <w:rPr>
                <w:sz w:val="20"/>
                <w:szCs w:val="20"/>
                <w:color w:val="auto"/>
              </w:rPr>
            </w:pPr>
            <w:r>
              <w:rPr>
                <w:rFonts w:ascii="Arial" w:cs="Arial" w:eastAsia="Arial" w:hAnsi="Arial"/>
                <w:sz w:val="18"/>
                <w:szCs w:val="18"/>
                <w:color w:val="auto"/>
              </w:rPr>
              <w:t>Interest expense</w:t>
            </w:r>
          </w:p>
        </w:tc>
        <w:tc>
          <w:tcPr>
            <w:tcW w:w="114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w w:val="89"/>
              </w:rPr>
              <w:t>$(123,230)</w:t>
            </w:r>
          </w:p>
        </w:tc>
        <w:tc>
          <w:tcPr>
            <w:tcW w:w="114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w w:val="89"/>
              </w:rPr>
              <w:t>$(153,185)</w:t>
            </w:r>
          </w:p>
        </w:tc>
        <w:tc>
          <w:tcPr>
            <w:tcW w:w="104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w w:val="91"/>
              </w:rPr>
              <w:t>$ 29,955</w:t>
            </w:r>
          </w:p>
        </w:tc>
        <w:tc>
          <w:tcPr>
            <w:tcW w:w="9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(19.6)%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20" w:type="dxa"/>
            <w:vAlign w:val="bottom"/>
          </w:tcPr>
          <w:p>
            <w:pPr>
              <w:spacing w:after="0"/>
              <w:rPr>
                <w:sz w:val="20"/>
                <w:szCs w:val="20"/>
                <w:color w:val="auto"/>
              </w:rPr>
            </w:pPr>
            <w:r>
              <w:rPr>
                <w:rFonts w:ascii="Arial" w:cs="Arial" w:eastAsia="Arial" w:hAnsi="Arial"/>
                <w:sz w:val="18"/>
                <w:szCs w:val="18"/>
                <w:color w:val="auto"/>
                <w:w w:val="98"/>
              </w:rPr>
              <w:t>Write-off of unamortized deferred debt issuance costs and bond discounts</w:t>
            </w:r>
          </w:p>
        </w:tc>
        <w:tc>
          <w:tcPr>
            <w:tcW w:w="1140" w:type="dxa"/>
            <w:vAlign w:val="bottom"/>
            <w:gridSpan w:val="2"/>
          </w:tcPr>
          <w:p>
            <w:pPr>
              <w:jc w:val="right"/>
              <w:ind w:right="340"/>
              <w:spacing w:after="0"/>
              <w:rPr>
                <w:sz w:val="20"/>
                <w:szCs w:val="20"/>
                <w:color w:val="auto"/>
              </w:rPr>
            </w:pPr>
            <w:r>
              <w:rPr>
                <w:rFonts w:ascii="Arial" w:cs="Arial" w:eastAsia="Arial" w:hAnsi="Arial"/>
                <w:sz w:val="18"/>
                <w:szCs w:val="18"/>
                <w:color w:val="auto"/>
              </w:rPr>
              <w:t>(8,750)</w:t>
            </w:r>
          </w:p>
        </w:tc>
        <w:tc>
          <w:tcPr>
            <w:tcW w:w="1140" w:type="dxa"/>
            <w:vAlign w:val="bottom"/>
            <w:gridSpan w:val="2"/>
          </w:tcPr>
          <w:p>
            <w:pPr>
              <w:jc w:val="right"/>
              <w:ind w:right="480"/>
              <w:spacing w:after="0"/>
              <w:rPr>
                <w:sz w:val="20"/>
                <w:szCs w:val="20"/>
                <w:color w:val="auto"/>
              </w:rPr>
            </w:pPr>
            <w:r>
              <w:rPr>
                <w:rFonts w:ascii="Arial" w:cs="Arial" w:eastAsia="Arial" w:hAnsi="Arial"/>
                <w:sz w:val="18"/>
                <w:szCs w:val="18"/>
                <w:color w:val="auto"/>
              </w:rPr>
              <w:t>—</w:t>
            </w:r>
          </w:p>
        </w:tc>
        <w:tc>
          <w:tcPr>
            <w:tcW w:w="1040" w:type="dxa"/>
            <w:vAlign w:val="bottom"/>
            <w:gridSpan w:val="2"/>
          </w:tcPr>
          <w:p>
            <w:pPr>
              <w:jc w:val="right"/>
              <w:ind w:right="320"/>
              <w:spacing w:after="0"/>
              <w:rPr>
                <w:sz w:val="20"/>
                <w:szCs w:val="20"/>
                <w:color w:val="auto"/>
              </w:rPr>
            </w:pPr>
            <w:r>
              <w:rPr>
                <w:rFonts w:ascii="Arial" w:cs="Arial" w:eastAsia="Arial" w:hAnsi="Arial"/>
                <w:sz w:val="18"/>
                <w:szCs w:val="18"/>
                <w:color w:val="auto"/>
              </w:rPr>
              <w:t>(8,750)</w:t>
            </w:r>
          </w:p>
        </w:tc>
        <w:tc>
          <w:tcPr>
            <w:tcW w:w="960" w:type="dxa"/>
            <w:vAlign w:val="bottom"/>
            <w:gridSpan w:val="2"/>
          </w:tcPr>
          <w:p>
            <w:pPr>
              <w:jc w:val="right"/>
              <w:ind w:right="100"/>
              <w:spacing w:after="0"/>
              <w:rPr>
                <w:sz w:val="20"/>
                <w:szCs w:val="20"/>
                <w:color w:val="auto"/>
              </w:rPr>
            </w:pPr>
            <w:r>
              <w:rPr>
                <w:rFonts w:ascii="Arial" w:cs="Arial" w:eastAsia="Arial" w:hAnsi="Arial"/>
                <w:sz w:val="18"/>
                <w:szCs w:val="18"/>
                <w:color w:val="auto"/>
              </w:rPr>
              <w:t>100.0%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20" w:type="dxa"/>
            <w:vAlign w:val="bottom"/>
            <w:shd w:val="clear" w:color="auto" w:fill="CCEEFF"/>
          </w:tcPr>
          <w:p>
            <w:pPr>
              <w:spacing w:after="0"/>
              <w:rPr>
                <w:sz w:val="20"/>
                <w:szCs w:val="20"/>
                <w:color w:val="auto"/>
              </w:rPr>
            </w:pPr>
            <w:r>
              <w:rPr>
                <w:rFonts w:ascii="Arial" w:cs="Arial" w:eastAsia="Arial" w:hAnsi="Arial"/>
                <w:sz w:val="18"/>
                <w:szCs w:val="18"/>
                <w:color w:val="auto"/>
              </w:rPr>
              <w:t>Interest income</w:t>
            </w:r>
          </w:p>
        </w:tc>
        <w:tc>
          <w:tcPr>
            <w:tcW w:w="114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531</w:t>
            </w:r>
          </w:p>
        </w:tc>
        <w:tc>
          <w:tcPr>
            <w:tcW w:w="114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2,505</w:t>
            </w:r>
          </w:p>
        </w:tc>
        <w:tc>
          <w:tcPr>
            <w:tcW w:w="104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(1,974)</w:t>
            </w:r>
          </w:p>
        </w:tc>
        <w:tc>
          <w:tcPr>
            <w:tcW w:w="9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(78.8)%</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20" w:type="dxa"/>
            <w:vAlign w:val="bottom"/>
          </w:tcPr>
          <w:p>
            <w:pPr>
              <w:spacing w:after="0"/>
              <w:rPr>
                <w:sz w:val="20"/>
                <w:szCs w:val="20"/>
                <w:color w:val="auto"/>
              </w:rPr>
            </w:pPr>
            <w:r>
              <w:rPr>
                <w:rFonts w:ascii="Arial" w:cs="Arial" w:eastAsia="Arial" w:hAnsi="Arial"/>
                <w:sz w:val="18"/>
                <w:szCs w:val="18"/>
                <w:color w:val="auto"/>
              </w:rPr>
              <w:t>Realized (loss) gain on derivative instruments, net</w:t>
            </w:r>
          </w:p>
        </w:tc>
        <w:tc>
          <w:tcPr>
            <w:tcW w:w="1140" w:type="dxa"/>
            <w:vAlign w:val="bottom"/>
            <w:gridSpan w:val="2"/>
          </w:tcPr>
          <w:p>
            <w:pPr>
              <w:jc w:val="right"/>
              <w:ind w:right="340"/>
              <w:spacing w:after="0"/>
              <w:rPr>
                <w:sz w:val="20"/>
                <w:szCs w:val="20"/>
                <w:color w:val="auto"/>
              </w:rPr>
            </w:pPr>
            <w:r>
              <w:rPr>
                <w:rFonts w:ascii="Arial" w:cs="Arial" w:eastAsia="Arial" w:hAnsi="Arial"/>
                <w:sz w:val="18"/>
                <w:szCs w:val="18"/>
                <w:color w:val="auto"/>
              </w:rPr>
              <w:t>(12,295)</w:t>
            </w:r>
          </w:p>
        </w:tc>
        <w:tc>
          <w:tcPr>
            <w:tcW w:w="1140" w:type="dxa"/>
            <w:vAlign w:val="bottom"/>
            <w:gridSpan w:val="2"/>
          </w:tcPr>
          <w:p>
            <w:pPr>
              <w:jc w:val="right"/>
              <w:ind w:right="400"/>
              <w:spacing w:after="0"/>
              <w:rPr>
                <w:sz w:val="20"/>
                <w:szCs w:val="20"/>
                <w:color w:val="auto"/>
              </w:rPr>
            </w:pPr>
            <w:r>
              <w:rPr>
                <w:rFonts w:ascii="Arial" w:cs="Arial" w:eastAsia="Arial" w:hAnsi="Arial"/>
                <w:sz w:val="18"/>
                <w:szCs w:val="18"/>
                <w:color w:val="auto"/>
              </w:rPr>
              <w:t>1,946</w:t>
            </w:r>
          </w:p>
        </w:tc>
        <w:tc>
          <w:tcPr>
            <w:tcW w:w="1040" w:type="dxa"/>
            <w:vAlign w:val="bottom"/>
            <w:gridSpan w:val="2"/>
          </w:tcPr>
          <w:p>
            <w:pPr>
              <w:jc w:val="right"/>
              <w:ind w:right="320"/>
              <w:spacing w:after="0"/>
              <w:rPr>
                <w:sz w:val="20"/>
                <w:szCs w:val="20"/>
                <w:color w:val="auto"/>
              </w:rPr>
            </w:pPr>
            <w:r>
              <w:rPr>
                <w:rFonts w:ascii="Arial" w:cs="Arial" w:eastAsia="Arial" w:hAnsi="Arial"/>
                <w:sz w:val="18"/>
                <w:szCs w:val="18"/>
                <w:color w:val="auto"/>
              </w:rPr>
              <w:t>(14,241)</w:t>
            </w:r>
          </w:p>
        </w:tc>
        <w:tc>
          <w:tcPr>
            <w:tcW w:w="960" w:type="dxa"/>
            <w:vAlign w:val="bottom"/>
            <w:gridSpan w:val="2"/>
          </w:tcPr>
          <w:p>
            <w:pPr>
              <w:jc w:val="right"/>
              <w:ind w:right="40"/>
              <w:spacing w:after="0"/>
              <w:rPr>
                <w:sz w:val="20"/>
                <w:szCs w:val="20"/>
                <w:color w:val="auto"/>
              </w:rPr>
            </w:pPr>
            <w:r>
              <w:rPr>
                <w:rFonts w:ascii="Arial" w:cs="Arial" w:eastAsia="Arial" w:hAnsi="Arial"/>
                <w:sz w:val="18"/>
                <w:szCs w:val="18"/>
                <w:color w:val="auto"/>
              </w:rPr>
              <w:t>(731.8)%</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20" w:type="dxa"/>
            <w:vAlign w:val="bottom"/>
            <w:shd w:val="clear" w:color="auto" w:fill="CCEEFF"/>
          </w:tcPr>
          <w:p>
            <w:pPr>
              <w:spacing w:after="0"/>
              <w:rPr>
                <w:sz w:val="20"/>
                <w:szCs w:val="20"/>
                <w:color w:val="auto"/>
              </w:rPr>
            </w:pPr>
            <w:r>
              <w:rPr>
                <w:rFonts w:ascii="Arial" w:cs="Arial" w:eastAsia="Arial" w:hAnsi="Arial"/>
                <w:sz w:val="18"/>
                <w:szCs w:val="18"/>
                <w:color w:val="auto"/>
              </w:rPr>
              <w:t>Unrealized loss on derivative instruments, net</w:t>
            </w:r>
          </w:p>
        </w:tc>
        <w:tc>
          <w:tcPr>
            <w:tcW w:w="114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(6,044)</w:t>
            </w:r>
          </w:p>
        </w:tc>
        <w:tc>
          <w:tcPr>
            <w:tcW w:w="114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(15,442)</w:t>
            </w:r>
          </w:p>
        </w:tc>
        <w:tc>
          <w:tcPr>
            <w:tcW w:w="104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9,398</w:t>
            </w:r>
          </w:p>
        </w:tc>
        <w:tc>
          <w:tcPr>
            <w:tcW w:w="9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(60.9)%</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20" w:type="dxa"/>
            <w:vAlign w:val="bottom"/>
          </w:tcPr>
          <w:p>
            <w:pPr>
              <w:spacing w:after="0"/>
              <w:rPr>
                <w:sz w:val="20"/>
                <w:szCs w:val="20"/>
                <w:color w:val="auto"/>
              </w:rPr>
            </w:pPr>
            <w:r>
              <w:rPr>
                <w:rFonts w:ascii="Arial" w:cs="Arial" w:eastAsia="Arial" w:hAnsi="Arial"/>
                <w:sz w:val="18"/>
                <w:szCs w:val="18"/>
                <w:color w:val="auto"/>
              </w:rPr>
              <w:t>Other, net</w:t>
            </w:r>
          </w:p>
        </w:tc>
        <w:tc>
          <w:tcPr>
            <w:tcW w:w="1140" w:type="dxa"/>
            <w:vAlign w:val="bottom"/>
            <w:gridSpan w:val="2"/>
          </w:tcPr>
          <w:p>
            <w:pPr>
              <w:jc w:val="right"/>
              <w:ind w:right="400"/>
              <w:spacing w:after="0"/>
              <w:rPr>
                <w:sz w:val="20"/>
                <w:szCs w:val="20"/>
                <w:color w:val="auto"/>
              </w:rPr>
            </w:pPr>
            <w:r>
              <w:rPr>
                <w:rFonts w:ascii="Arial" w:cs="Arial" w:eastAsia="Arial" w:hAnsi="Arial"/>
                <w:sz w:val="18"/>
                <w:szCs w:val="18"/>
                <w:color w:val="auto"/>
              </w:rPr>
              <w:t>1,488</w:t>
            </w:r>
          </w:p>
        </w:tc>
        <w:tc>
          <w:tcPr>
            <w:tcW w:w="1140" w:type="dxa"/>
            <w:vAlign w:val="bottom"/>
            <w:gridSpan w:val="2"/>
          </w:tcPr>
          <w:p>
            <w:pPr>
              <w:jc w:val="right"/>
              <w:ind w:right="340"/>
              <w:spacing w:after="0"/>
              <w:rPr>
                <w:sz w:val="20"/>
                <w:szCs w:val="20"/>
                <w:color w:val="auto"/>
              </w:rPr>
            </w:pPr>
            <w:r>
              <w:rPr>
                <w:rFonts w:ascii="Arial" w:cs="Arial" w:eastAsia="Arial" w:hAnsi="Arial"/>
                <w:sz w:val="18"/>
                <w:szCs w:val="18"/>
                <w:color w:val="auto"/>
              </w:rPr>
              <w:t>(4)</w:t>
            </w:r>
          </w:p>
        </w:tc>
        <w:tc>
          <w:tcPr>
            <w:tcW w:w="1040" w:type="dxa"/>
            <w:vAlign w:val="bottom"/>
            <w:gridSpan w:val="2"/>
          </w:tcPr>
          <w:p>
            <w:pPr>
              <w:jc w:val="right"/>
              <w:ind w:right="380"/>
              <w:spacing w:after="0"/>
              <w:rPr>
                <w:sz w:val="20"/>
                <w:szCs w:val="20"/>
                <w:color w:val="auto"/>
              </w:rPr>
            </w:pPr>
            <w:r>
              <w:rPr>
                <w:rFonts w:ascii="Arial" w:cs="Arial" w:eastAsia="Arial" w:hAnsi="Arial"/>
                <w:sz w:val="18"/>
                <w:szCs w:val="18"/>
                <w:color w:val="auto"/>
              </w:rPr>
              <w:t>1,492</w:t>
            </w:r>
          </w:p>
        </w:tc>
        <w:tc>
          <w:tcPr>
            <w:tcW w:w="960" w:type="dxa"/>
            <w:vAlign w:val="bottom"/>
            <w:gridSpan w:val="2"/>
          </w:tcPr>
          <w:p>
            <w:pPr>
              <w:jc w:val="right"/>
              <w:ind w:right="40"/>
              <w:spacing w:after="0"/>
              <w:rPr>
                <w:sz w:val="20"/>
                <w:szCs w:val="20"/>
                <w:color w:val="auto"/>
              </w:rPr>
            </w:pPr>
            <w:r>
              <w:rPr>
                <w:rFonts w:ascii="Arial" w:cs="Arial" w:eastAsia="Arial" w:hAnsi="Arial"/>
                <w:sz w:val="18"/>
                <w:szCs w:val="18"/>
                <w:color w:val="auto"/>
                <w:w w:val="96"/>
              </w:rPr>
              <w:t>(37300.0)%</w:t>
            </w: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5820" w:type="dxa"/>
            <w:vAlign w:val="bottom"/>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700" w:type="dxa"/>
            <w:vAlign w:val="bottom"/>
          </w:tcPr>
          <w:p>
            <w:pPr>
              <w:spacing w:after="0"/>
              <w:rPr>
                <w:sz w:val="2"/>
                <w:szCs w:val="2"/>
                <w:color w:val="auto"/>
              </w:rPr>
            </w:pPr>
          </w:p>
        </w:tc>
        <w:tc>
          <w:tcPr>
            <w:tcW w:w="2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20" w:type="dxa"/>
            <w:vAlign w:val="bottom"/>
            <w:vMerge w:val="continue"/>
          </w:tcPr>
          <w:p>
            <w:pPr>
              <w:spacing w:after="0"/>
              <w:rPr>
                <w:sz w:val="18"/>
                <w:szCs w:val="18"/>
                <w:color w:val="auto"/>
              </w:rPr>
            </w:pPr>
          </w:p>
        </w:tc>
        <w:tc>
          <w:tcPr>
            <w:tcW w:w="5820" w:type="dxa"/>
            <w:vAlign w:val="bottom"/>
            <w:shd w:val="clear" w:color="auto" w:fill="CCEEFF"/>
          </w:tcPr>
          <w:p>
            <w:pPr>
              <w:spacing w:after="0"/>
              <w:rPr>
                <w:sz w:val="20"/>
                <w:szCs w:val="20"/>
                <w:color w:val="auto"/>
              </w:rPr>
            </w:pPr>
            <w:r>
              <w:rPr>
                <w:rFonts w:ascii="Arial" w:cs="Arial" w:eastAsia="Arial" w:hAnsi="Arial"/>
                <w:sz w:val="18"/>
                <w:szCs w:val="18"/>
                <w:color w:val="auto"/>
              </w:rPr>
              <w:t>Net other expense</w:t>
            </w:r>
          </w:p>
        </w:tc>
        <w:tc>
          <w:tcPr>
            <w:tcW w:w="114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(148,300)</w:t>
            </w:r>
          </w:p>
        </w:tc>
        <w:tc>
          <w:tcPr>
            <w:tcW w:w="114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(164,180)</w:t>
            </w:r>
          </w:p>
        </w:tc>
        <w:tc>
          <w:tcPr>
            <w:tcW w:w="104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w w:val="91"/>
              </w:rPr>
              <w:t>$ 15,880</w:t>
            </w:r>
          </w:p>
        </w:tc>
        <w:tc>
          <w:tcPr>
            <w:tcW w:w="9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(9.7)%</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820" w:type="dxa"/>
            <w:vAlign w:val="bottom"/>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right="20" w:firstLine="440"/>
        <w:spacing w:after="0" w:line="308" w:lineRule="auto"/>
        <w:rPr>
          <w:sz w:val="20"/>
          <w:szCs w:val="20"/>
          <w:color w:val="auto"/>
        </w:rPr>
      </w:pPr>
      <w:r>
        <w:rPr>
          <w:rFonts w:ascii="Arial" w:cs="Arial" w:eastAsia="Arial" w:hAnsi="Arial"/>
          <w:sz w:val="17"/>
          <w:szCs w:val="17"/>
          <w:color w:val="auto"/>
        </w:rPr>
        <w:t>Interest expense decreased $29,955 (-19.6%) from 2019 to 2020 primarily due to a $38,844 decrease resulting from a reduction in average interest rates of 1.02 percentage point, partially offset by a $8,793 increase resulting from an increase in the average debt balance of $206,314.</w:t>
      </w:r>
    </w:p>
    <w:p>
      <w:pPr>
        <w:spacing w:after="0" w:line="146" w:lineRule="exact"/>
        <w:rPr>
          <w:sz w:val="20"/>
          <w:szCs w:val="20"/>
          <w:color w:val="auto"/>
        </w:rPr>
      </w:pPr>
    </w:p>
    <w:p>
      <w:pPr>
        <w:ind w:right="140" w:firstLine="440"/>
        <w:spacing w:after="0" w:line="277" w:lineRule="auto"/>
        <w:rPr>
          <w:sz w:val="20"/>
          <w:szCs w:val="20"/>
          <w:color w:val="auto"/>
        </w:rPr>
      </w:pPr>
      <w:r>
        <w:rPr>
          <w:rFonts w:ascii="Arial" w:cs="Arial" w:eastAsia="Arial" w:hAnsi="Arial"/>
          <w:sz w:val="18"/>
          <w:szCs w:val="18"/>
          <w:color w:val="auto"/>
        </w:rPr>
        <w:t>Write-off of unamortized deferred debt issuance costs and bond discounts for 2020 amounted to $8,750, which was primarily related to the early redemption of 2017-1 Bonds, 2017-2 Bonds and 2018-1 Bonds.</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6"/>
          <w:szCs w:val="16"/>
          <w:color w:val="auto"/>
        </w:rPr>
        <w:t>Interest income decreased $1,974 (-78.8%) from 2019 to 2020 primarily due to a $2,022 decrease resulting from a reduction in average interest</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rates.</w:t>
      </w:r>
    </w:p>
    <w:p>
      <w:pPr>
        <w:spacing w:after="0" w:line="211" w:lineRule="exact"/>
        <w:rPr>
          <w:sz w:val="20"/>
          <w:szCs w:val="20"/>
          <w:color w:val="auto"/>
        </w:rPr>
      </w:pPr>
    </w:p>
    <w:p>
      <w:pPr>
        <w:jc w:val="both"/>
        <w:ind w:right="80" w:firstLine="440"/>
        <w:spacing w:after="0" w:line="263" w:lineRule="auto"/>
        <w:rPr>
          <w:sz w:val="20"/>
          <w:szCs w:val="20"/>
          <w:color w:val="auto"/>
        </w:rPr>
      </w:pPr>
      <w:r>
        <w:rPr>
          <w:rFonts w:ascii="Arial" w:cs="Arial" w:eastAsia="Arial" w:hAnsi="Arial"/>
          <w:sz w:val="18"/>
          <w:szCs w:val="18"/>
          <w:color w:val="auto"/>
        </w:rPr>
        <w:t>Realized (loss) gain on derivative instruments, net changed from a net gain of $1,946 for 2019 to a net loss of $12,295 for 2020. This change was primarily due to a decrease in market rates as compared to spot strike rates in our contracts which caused a negative net settlement differential in 2020 compared to a positive net settlement differential in 2019.</w:t>
      </w:r>
    </w:p>
    <w:p>
      <w:pPr>
        <w:spacing w:after="0" w:line="184" w:lineRule="exact"/>
        <w:rPr>
          <w:sz w:val="20"/>
          <w:szCs w:val="20"/>
          <w:color w:val="auto"/>
        </w:rPr>
      </w:pPr>
    </w:p>
    <w:p>
      <w:pPr>
        <w:ind w:right="160" w:firstLine="440"/>
        <w:spacing w:after="0" w:line="263" w:lineRule="auto"/>
        <w:rPr>
          <w:sz w:val="20"/>
          <w:szCs w:val="20"/>
          <w:color w:val="auto"/>
        </w:rPr>
      </w:pPr>
      <w:r>
        <w:rPr>
          <w:rFonts w:ascii="Arial" w:cs="Arial" w:eastAsia="Arial" w:hAnsi="Arial"/>
          <w:sz w:val="18"/>
          <w:szCs w:val="18"/>
          <w:color w:val="auto"/>
        </w:rPr>
        <w:t>Unrealized loss on derivative instruments, net decreased $9,398 (-60.9%) from 2019 to 2020 primarily due to a smaller reduction in the value of the interest rate derivatives between 2019 and 2020 compared to the year between 2018 and 2019, mainly resulting from a decrease in the forward LIBOR curve at the end of the respective periods.</w:t>
      </w:r>
    </w:p>
    <w:p>
      <w:pPr>
        <w:spacing w:after="0" w:line="184" w:lineRule="exact"/>
        <w:rPr>
          <w:sz w:val="20"/>
          <w:szCs w:val="20"/>
          <w:color w:val="auto"/>
        </w:rPr>
      </w:pPr>
    </w:p>
    <w:p>
      <w:pPr>
        <w:ind w:right="340" w:firstLine="440"/>
        <w:spacing w:after="0" w:line="263" w:lineRule="auto"/>
        <w:rPr>
          <w:sz w:val="20"/>
          <w:szCs w:val="20"/>
          <w:color w:val="auto"/>
        </w:rPr>
      </w:pPr>
      <w:r>
        <w:rPr>
          <w:rFonts w:ascii="Arial" w:cs="Arial" w:eastAsia="Arial" w:hAnsi="Arial"/>
          <w:sz w:val="18"/>
          <w:szCs w:val="18"/>
          <w:color w:val="auto"/>
        </w:rPr>
        <w:t>Other, net for 2020 amounted to $1,488, which included aggregate payments of $830 received on a non-refundable deposit of a cancelled container purchase and lease arrangement with a customer and fee for the early release of cash withheld in escrow account for our acquisition of the LAPCO fleet in 2019.</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6"/>
          <w:szCs w:val="16"/>
          <w:color w:val="auto"/>
        </w:rPr>
        <w:t>The following table summarizes income tax benefit (expense) and net income (loss) attributable to the noncontrolling interests for the years ended</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December 31, 2020 and 2019 and changes between those periods:</w:t>
      </w:r>
    </w:p>
    <w:p>
      <w:pPr>
        <w:spacing w:after="0" w:line="229" w:lineRule="exact"/>
        <w:rPr>
          <w:sz w:val="20"/>
          <w:szCs w:val="20"/>
          <w:color w:val="auto"/>
        </w:rPr>
      </w:pPr>
    </w:p>
    <w:tbl>
      <w:tblPr>
        <w:tblLayout w:type="fixed"/>
        <w:tblInd w:w="440" w:type="dxa"/>
        <w:tblCellMar>
          <w:top w:w="0" w:type="dxa"/>
          <w:left w:w="0" w:type="dxa"/>
          <w:bottom w:w="0" w:type="dxa"/>
          <w:right w:w="0" w:type="dxa"/>
        </w:tblCellMar>
      </w:tblPr>
      <w:tr>
        <w:trPr>
          <w:trHeight w:val="171"/>
        </w:trPr>
        <w:tc>
          <w:tcPr>
            <w:tcW w:w="504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60" w:type="dxa"/>
            <w:vAlign w:val="bottom"/>
            <w:gridSpan w:val="4"/>
          </w:tcPr>
          <w:p>
            <w:pPr>
              <w:ind w:left="60"/>
              <w:spacing w:after="0"/>
              <w:rPr>
                <w:sz w:val="20"/>
                <w:szCs w:val="20"/>
                <w:color w:val="auto"/>
              </w:rPr>
            </w:pPr>
            <w:r>
              <w:rPr>
                <w:rFonts w:ascii="Arial" w:cs="Arial" w:eastAsia="Arial" w:hAnsi="Arial"/>
                <w:sz w:val="14"/>
                <w:szCs w:val="14"/>
                <w:b w:val="1"/>
                <w:bCs w:val="1"/>
                <w:color w:val="auto"/>
              </w:rPr>
              <w:t>Year Ended December 31,</w:t>
            </w:r>
          </w:p>
        </w:tc>
        <w:tc>
          <w:tcPr>
            <w:tcW w:w="2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860" w:type="dxa"/>
            <w:vAlign w:val="bottom"/>
            <w:gridSpan w:val="4"/>
          </w:tcPr>
          <w:p>
            <w:pPr>
              <w:jc w:val="right"/>
              <w:ind w:right="720"/>
              <w:spacing w:after="0"/>
              <w:rPr>
                <w:sz w:val="20"/>
                <w:szCs w:val="20"/>
                <w:color w:val="auto"/>
              </w:rPr>
            </w:pPr>
            <w:r>
              <w:rPr>
                <w:rFonts w:ascii="Arial" w:cs="Arial" w:eastAsia="Arial" w:hAnsi="Arial"/>
                <w:sz w:val="14"/>
                <w:szCs w:val="14"/>
                <w:b w:val="1"/>
                <w:bCs w:val="1"/>
                <w:color w:val="auto"/>
              </w:rPr>
              <w:t>2020 vs 2019</w:t>
            </w:r>
          </w:p>
        </w:tc>
      </w:tr>
      <w:tr>
        <w:trPr>
          <w:trHeight w:val="142"/>
        </w:trPr>
        <w:tc>
          <w:tcPr>
            <w:tcW w:w="50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660" w:type="dxa"/>
            <w:vAlign w:val="bottom"/>
            <w:tcBorders>
              <w:top w:val="single" w:sz="8" w:color="auto"/>
            </w:tcBorders>
          </w:tcPr>
          <w:p>
            <w:pPr>
              <w:ind w:left="20"/>
              <w:spacing w:after="0" w:line="142" w:lineRule="exact"/>
              <w:rPr>
                <w:sz w:val="20"/>
                <w:szCs w:val="20"/>
                <w:color w:val="auto"/>
              </w:rPr>
            </w:pPr>
            <w:r>
              <w:rPr>
                <w:rFonts w:ascii="Arial" w:cs="Arial" w:eastAsia="Arial" w:hAnsi="Arial"/>
                <w:sz w:val="14"/>
                <w:szCs w:val="14"/>
                <w:b w:val="1"/>
                <w:bCs w:val="1"/>
                <w:color w:val="auto"/>
              </w:rPr>
              <w:t>2020</w:t>
            </w:r>
          </w:p>
        </w:tc>
        <w:tc>
          <w:tcPr>
            <w:tcW w:w="460" w:type="dxa"/>
            <w:vAlign w:val="bottom"/>
            <w:tcBorders>
              <w:top w:val="single" w:sz="8" w:color="auto"/>
            </w:tcBorders>
          </w:tcPr>
          <w:p>
            <w:pPr>
              <w:spacing w:after="0"/>
              <w:rPr>
                <w:sz w:val="12"/>
                <w:szCs w:val="12"/>
                <w:color w:val="auto"/>
              </w:rPr>
            </w:pPr>
          </w:p>
        </w:tc>
        <w:tc>
          <w:tcPr>
            <w:tcW w:w="680" w:type="dxa"/>
            <w:vAlign w:val="bottom"/>
            <w:tcBorders>
              <w:top w:val="single" w:sz="8" w:color="auto"/>
            </w:tcBorders>
          </w:tcPr>
          <w:p>
            <w:pPr>
              <w:jc w:val="right"/>
              <w:ind w:right="216"/>
              <w:spacing w:after="0" w:line="142" w:lineRule="exact"/>
              <w:rPr>
                <w:sz w:val="20"/>
                <w:szCs w:val="20"/>
                <w:color w:val="auto"/>
              </w:rPr>
            </w:pPr>
            <w:r>
              <w:rPr>
                <w:rFonts w:ascii="Arial" w:cs="Arial" w:eastAsia="Arial" w:hAnsi="Arial"/>
                <w:sz w:val="14"/>
                <w:szCs w:val="14"/>
                <w:b w:val="1"/>
                <w:bCs w:val="1"/>
                <w:color w:val="auto"/>
              </w:rPr>
              <w:t>2019</w:t>
            </w:r>
          </w:p>
        </w:tc>
        <w:tc>
          <w:tcPr>
            <w:tcW w:w="2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00" w:type="dxa"/>
            <w:vAlign w:val="bottom"/>
            <w:tcBorders>
              <w:top w:val="single" w:sz="8" w:color="auto"/>
            </w:tcBorders>
          </w:tcPr>
          <w:p>
            <w:pPr>
              <w:spacing w:after="0" w:line="142" w:lineRule="exact"/>
              <w:rPr>
                <w:sz w:val="20"/>
                <w:szCs w:val="20"/>
                <w:color w:val="auto"/>
              </w:rPr>
            </w:pPr>
            <w:r>
              <w:rPr>
                <w:rFonts w:ascii="Arial" w:cs="Arial" w:eastAsia="Arial" w:hAnsi="Arial"/>
                <w:sz w:val="14"/>
                <w:szCs w:val="14"/>
                <w:b w:val="1"/>
                <w:bCs w:val="1"/>
                <w:color w:val="auto"/>
              </w:rPr>
              <w:t>$</w:t>
            </w:r>
          </w:p>
        </w:tc>
        <w:tc>
          <w:tcPr>
            <w:tcW w:w="940" w:type="dxa"/>
            <w:vAlign w:val="bottom"/>
            <w:tcBorders>
              <w:top w:val="single" w:sz="8" w:color="auto"/>
            </w:tcBorders>
            <w:gridSpan w:val="2"/>
          </w:tcPr>
          <w:p>
            <w:pPr>
              <w:jc w:val="right"/>
              <w:ind w:right="460"/>
              <w:spacing w:after="0" w:line="142" w:lineRule="exact"/>
              <w:rPr>
                <w:sz w:val="20"/>
                <w:szCs w:val="20"/>
                <w:color w:val="auto"/>
              </w:rPr>
            </w:pPr>
            <w:r>
              <w:rPr>
                <w:rFonts w:ascii="Arial" w:cs="Arial" w:eastAsia="Arial" w:hAnsi="Arial"/>
                <w:sz w:val="14"/>
                <w:szCs w:val="14"/>
                <w:b w:val="1"/>
                <w:bCs w:val="1"/>
                <w:color w:val="auto"/>
                <w:w w:val="89"/>
              </w:rPr>
              <w:t>Change</w:t>
            </w:r>
          </w:p>
        </w:tc>
        <w:tc>
          <w:tcPr>
            <w:tcW w:w="66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94"/>
              </w:rPr>
              <w:t>% Change</w:t>
            </w:r>
          </w:p>
        </w:tc>
        <w:tc>
          <w:tcPr>
            <w:tcW w:w="260" w:type="dxa"/>
            <w:vAlign w:val="bottom"/>
          </w:tcPr>
          <w:p>
            <w:pPr>
              <w:spacing w:after="0"/>
              <w:rPr>
                <w:sz w:val="12"/>
                <w:szCs w:val="12"/>
                <w:color w:val="auto"/>
              </w:rPr>
            </w:pPr>
          </w:p>
        </w:tc>
      </w:tr>
      <w:tr>
        <w:trPr>
          <w:trHeight w:val="142"/>
        </w:trPr>
        <w:tc>
          <w:tcPr>
            <w:tcW w:w="50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1800" w:type="dxa"/>
            <w:vAlign w:val="bottom"/>
            <w:tcBorders>
              <w:top w:val="single" w:sz="8" w:color="auto"/>
            </w:tcBorders>
            <w:gridSpan w:val="3"/>
          </w:tcPr>
          <w:p>
            <w:pPr>
              <w:ind w:left="180"/>
              <w:spacing w:after="0" w:line="142" w:lineRule="exact"/>
              <w:rPr>
                <w:sz w:val="20"/>
                <w:szCs w:val="20"/>
                <w:color w:val="auto"/>
              </w:rPr>
            </w:pPr>
            <w:r>
              <w:rPr>
                <w:rFonts w:ascii="Arial" w:cs="Arial" w:eastAsia="Arial" w:hAnsi="Arial"/>
                <w:sz w:val="14"/>
                <w:szCs w:val="14"/>
                <w:b w:val="1"/>
                <w:bCs w:val="1"/>
                <w:color w:val="auto"/>
              </w:rPr>
              <w:t>(Dollars in thousands)</w:t>
            </w:r>
          </w:p>
        </w:tc>
        <w:tc>
          <w:tcPr>
            <w:tcW w:w="2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480" w:type="dxa"/>
            <w:vAlign w:val="bottom"/>
            <w:tcBorders>
              <w:top w:val="single" w:sz="8" w:color="auto"/>
            </w:tcBorders>
          </w:tcPr>
          <w:p>
            <w:pPr>
              <w:spacing w:after="0"/>
              <w:rPr>
                <w:sz w:val="12"/>
                <w:szCs w:val="12"/>
                <w:color w:val="auto"/>
              </w:rPr>
            </w:pPr>
          </w:p>
        </w:tc>
        <w:tc>
          <w:tcPr>
            <w:tcW w:w="460" w:type="dxa"/>
            <w:vAlign w:val="bottom"/>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260" w:type="dxa"/>
            <w:vAlign w:val="bottom"/>
          </w:tcPr>
          <w:p>
            <w:pPr>
              <w:spacing w:after="0"/>
              <w:rPr>
                <w:sz w:val="12"/>
                <w:szCs w:val="12"/>
                <w:color w:val="auto"/>
              </w:rPr>
            </w:pPr>
          </w:p>
        </w:tc>
      </w:tr>
      <w:tr>
        <w:trPr>
          <w:trHeight w:val="216"/>
        </w:trPr>
        <w:tc>
          <w:tcPr>
            <w:tcW w:w="5040" w:type="dxa"/>
            <w:vAlign w:val="bottom"/>
            <w:shd w:val="clear" w:color="auto" w:fill="CCEEFF"/>
          </w:tcPr>
          <w:p>
            <w:pPr>
              <w:spacing w:after="0"/>
              <w:rPr>
                <w:sz w:val="20"/>
                <w:szCs w:val="20"/>
                <w:color w:val="auto"/>
              </w:rPr>
            </w:pPr>
            <w:r>
              <w:rPr>
                <w:rFonts w:ascii="Arial" w:cs="Arial" w:eastAsia="Arial" w:hAnsi="Arial"/>
                <w:sz w:val="18"/>
                <w:szCs w:val="18"/>
                <w:color w:val="auto"/>
              </w:rPr>
              <w:t>Income tax benefit (expense)</w:t>
            </w:r>
          </w:p>
        </w:tc>
        <w:tc>
          <w:tcPr>
            <w:tcW w:w="8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ind w:left="140"/>
              <w:spacing w:after="0"/>
              <w:rPr>
                <w:sz w:val="20"/>
                <w:szCs w:val="20"/>
                <w:color w:val="auto"/>
              </w:rPr>
            </w:pPr>
            <w:r>
              <w:rPr>
                <w:rFonts w:ascii="Arial" w:cs="Arial" w:eastAsia="Arial" w:hAnsi="Arial"/>
                <w:sz w:val="18"/>
                <w:szCs w:val="18"/>
                <w:color w:val="auto"/>
              </w:rPr>
              <w:t>374</w:t>
            </w:r>
          </w:p>
        </w:tc>
        <w:tc>
          <w:tcPr>
            <w:tcW w:w="46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(1,948)</w:t>
            </w:r>
          </w:p>
        </w:tc>
        <w:tc>
          <w:tcPr>
            <w:tcW w:w="30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460"/>
              <w:spacing w:after="0"/>
              <w:rPr>
                <w:sz w:val="20"/>
                <w:szCs w:val="20"/>
                <w:color w:val="auto"/>
              </w:rPr>
            </w:pPr>
            <w:r>
              <w:rPr>
                <w:rFonts w:ascii="Arial" w:cs="Arial" w:eastAsia="Arial" w:hAnsi="Arial"/>
                <w:sz w:val="18"/>
                <w:szCs w:val="18"/>
                <w:color w:val="auto"/>
              </w:rPr>
              <w:t>2,322</w:t>
            </w:r>
          </w:p>
        </w:tc>
        <w:tc>
          <w:tcPr>
            <w:tcW w:w="9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(119.2)%</w:t>
            </w:r>
          </w:p>
        </w:tc>
      </w:tr>
      <w:tr>
        <w:trPr>
          <w:trHeight w:val="230"/>
        </w:trPr>
        <w:tc>
          <w:tcPr>
            <w:tcW w:w="5040" w:type="dxa"/>
            <w:vAlign w:val="bottom"/>
          </w:tcPr>
          <w:p>
            <w:pPr>
              <w:spacing w:after="0"/>
              <w:rPr>
                <w:sz w:val="20"/>
                <w:szCs w:val="20"/>
                <w:color w:val="auto"/>
              </w:rPr>
            </w:pPr>
            <w:r>
              <w:rPr>
                <w:rFonts w:ascii="Arial" w:cs="Arial" w:eastAsia="Arial" w:hAnsi="Arial"/>
                <w:sz w:val="18"/>
                <w:szCs w:val="18"/>
                <w:color w:val="auto"/>
              </w:rPr>
              <w:t>Net income (loss) attributable to the noncontrolling interest</w:t>
            </w: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60" w:type="dxa"/>
            <w:vAlign w:val="bottom"/>
          </w:tcPr>
          <w:p>
            <w:pPr>
              <w:ind w:left="140"/>
              <w:spacing w:after="0"/>
              <w:rPr>
                <w:sz w:val="20"/>
                <w:szCs w:val="20"/>
                <w:color w:val="auto"/>
              </w:rPr>
            </w:pPr>
            <w:r>
              <w:rPr>
                <w:rFonts w:ascii="Arial" w:cs="Arial" w:eastAsia="Arial" w:hAnsi="Arial"/>
                <w:sz w:val="18"/>
                <w:szCs w:val="18"/>
                <w:color w:val="auto"/>
              </w:rPr>
              <w:t>851</w:t>
            </w:r>
          </w:p>
        </w:tc>
        <w:tc>
          <w:tcPr>
            <w:tcW w:w="460" w:type="dxa"/>
            <w:vAlign w:val="bottom"/>
          </w:tcPr>
          <w:p>
            <w:pPr>
              <w:jc w:val="right"/>
              <w:ind w:right="30"/>
              <w:spacing w:after="0"/>
              <w:rPr>
                <w:sz w:val="20"/>
                <w:szCs w:val="20"/>
                <w:color w:val="auto"/>
              </w:rPr>
            </w:pPr>
            <w:r>
              <w:rPr>
                <w:rFonts w:ascii="Arial" w:cs="Arial" w:eastAsia="Arial" w:hAnsi="Arial"/>
                <w:sz w:val="18"/>
                <w:szCs w:val="18"/>
                <w:color w:val="auto"/>
              </w:rPr>
              <w:t>$</w:t>
            </w:r>
          </w:p>
        </w:tc>
        <w:tc>
          <w:tcPr>
            <w:tcW w:w="940" w:type="dxa"/>
            <w:vAlign w:val="bottom"/>
            <w:gridSpan w:val="2"/>
          </w:tcPr>
          <w:p>
            <w:pPr>
              <w:jc w:val="right"/>
              <w:ind w:right="200"/>
              <w:spacing w:after="0"/>
              <w:rPr>
                <w:sz w:val="20"/>
                <w:szCs w:val="20"/>
                <w:color w:val="auto"/>
              </w:rPr>
            </w:pPr>
            <w:r>
              <w:rPr>
                <w:rFonts w:ascii="Arial" w:cs="Arial" w:eastAsia="Arial" w:hAnsi="Arial"/>
                <w:sz w:val="18"/>
                <w:szCs w:val="18"/>
                <w:color w:val="auto"/>
              </w:rPr>
              <w:t>(168)</w:t>
            </w:r>
          </w:p>
        </w:tc>
        <w:tc>
          <w:tcPr>
            <w:tcW w:w="300" w:type="dxa"/>
            <w:vAlign w:val="bottom"/>
            <w:gridSpan w:val="2"/>
          </w:tcPr>
          <w:p>
            <w:pPr>
              <w:ind w:left="200"/>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460"/>
              <w:spacing w:after="0"/>
              <w:rPr>
                <w:sz w:val="20"/>
                <w:szCs w:val="20"/>
                <w:color w:val="auto"/>
              </w:rPr>
            </w:pPr>
            <w:r>
              <w:rPr>
                <w:rFonts w:ascii="Arial" w:cs="Arial" w:eastAsia="Arial" w:hAnsi="Arial"/>
                <w:sz w:val="18"/>
                <w:szCs w:val="18"/>
                <w:color w:val="auto"/>
              </w:rPr>
              <w:t>1,019</w:t>
            </w:r>
          </w:p>
        </w:tc>
        <w:tc>
          <w:tcPr>
            <w:tcW w:w="920" w:type="dxa"/>
            <w:vAlign w:val="bottom"/>
            <w:gridSpan w:val="2"/>
          </w:tcPr>
          <w:p>
            <w:pPr>
              <w:jc w:val="right"/>
              <w:ind w:right="40"/>
              <w:spacing w:after="0"/>
              <w:rPr>
                <w:sz w:val="20"/>
                <w:szCs w:val="20"/>
                <w:color w:val="auto"/>
              </w:rPr>
            </w:pPr>
            <w:r>
              <w:rPr>
                <w:rFonts w:ascii="Arial" w:cs="Arial" w:eastAsia="Arial" w:hAnsi="Arial"/>
                <w:sz w:val="18"/>
                <w:szCs w:val="18"/>
                <w:color w:val="auto"/>
              </w:rPr>
              <w:t>(606.5)%</w:t>
            </w:r>
          </w:p>
        </w:tc>
      </w:tr>
    </w:tbl>
    <w:p>
      <w:pPr>
        <w:spacing w:after="0" w:line="187" w:lineRule="exact"/>
        <w:rPr>
          <w:sz w:val="20"/>
          <w:szCs w:val="20"/>
          <w:color w:val="auto"/>
        </w:rPr>
      </w:pPr>
    </w:p>
    <w:p>
      <w:pPr>
        <w:ind w:firstLine="440"/>
        <w:spacing w:after="0" w:line="257" w:lineRule="auto"/>
        <w:rPr>
          <w:sz w:val="20"/>
          <w:szCs w:val="20"/>
          <w:color w:val="auto"/>
        </w:rPr>
      </w:pPr>
      <w:r>
        <w:rPr>
          <w:rFonts w:ascii="Arial" w:cs="Arial" w:eastAsia="Arial" w:hAnsi="Arial"/>
          <w:sz w:val="18"/>
          <w:szCs w:val="18"/>
          <w:color w:val="auto"/>
        </w:rPr>
        <w:t xml:space="preserve">Income tax benefit (expense) changed to an income tax benefit of $374 in 2020 from income tax expense of $1,948 in 2019. Our effective tax rate in 2020 decreased to a (0.51)% benefit rate from a 3.3% expense rate in 2019. The change in income tax benefit (expense) in 2020 compared to 2019 was primarily due to repricing of existing net deferred tax liabilities. The income tax benefit in 2020 was mainly attributable to the lower tax uncertainty and a higher benefit from foreign rate difference. See Note 7 “Income Taxes” to our consolidated financial statements in Item 18, </w:t>
      </w:r>
      <w:r>
        <w:rPr>
          <w:rFonts w:ascii="Arial" w:cs="Arial" w:eastAsia="Arial" w:hAnsi="Arial"/>
          <w:sz w:val="18"/>
          <w:szCs w:val="18"/>
          <w:i w:val="1"/>
          <w:iCs w:val="1"/>
          <w:color w:val="auto"/>
        </w:rPr>
        <w:t>“Financial</w:t>
      </w:r>
      <w:r>
        <w:rPr>
          <w:rFonts w:ascii="Arial" w:cs="Arial" w:eastAsia="Arial" w:hAnsi="Arial"/>
          <w:sz w:val="18"/>
          <w:szCs w:val="18"/>
          <w:color w:val="auto"/>
        </w:rPr>
        <w:t xml:space="preserve"> </w:t>
      </w:r>
      <w:r>
        <w:rPr>
          <w:rFonts w:ascii="Arial" w:cs="Arial" w:eastAsia="Arial" w:hAnsi="Arial"/>
          <w:sz w:val="18"/>
          <w:szCs w:val="18"/>
          <w:i w:val="1"/>
          <w:iCs w:val="1"/>
          <w:color w:val="auto"/>
        </w:rPr>
        <w:t xml:space="preserve">Statements” </w:t>
      </w:r>
      <w:r>
        <w:rPr>
          <w:rFonts w:ascii="Arial" w:cs="Arial" w:eastAsia="Arial" w:hAnsi="Arial"/>
          <w:sz w:val="18"/>
          <w:szCs w:val="18"/>
          <w:color w:val="auto"/>
        </w:rPr>
        <w:t>in this Annual Report on Form 20-F for further information.</w:t>
      </w:r>
    </w:p>
    <w:p>
      <w:pPr>
        <w:spacing w:after="0" w:line="12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59</w:t>
      </w:r>
    </w:p>
    <w:p>
      <w:pPr>
        <w:sectPr>
          <w:pgSz w:w="11900" w:h="16838" w:orient="portrait"/>
          <w:cols w:equalWidth="0" w:num="1">
            <w:col w:w="10980"/>
          </w:cols>
          <w:pgMar w:left="440" w:top="274" w:right="479" w:bottom="1440" w:gutter="0" w:footer="0" w:header="0"/>
        </w:sectPr>
      </w:pPr>
    </w:p>
    <w:bookmarkStart w:id="73" w:name="page74"/>
    <w:bookmarkEnd w:id="73"/>
    <w:p>
      <w:pPr>
        <w:ind w:right="80" w:firstLine="440"/>
        <w:spacing w:after="0" w:line="29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7174865" cy="38735"/>
                    </a:xfrm>
                    <a:prstGeom prst="rect">
                      <a:avLst/>
                    </a:prstGeom>
                    <a:noFill/>
                  </pic:spPr>
                </pic:pic>
              </a:graphicData>
            </a:graphic>
          </wp:anchor>
        </w:drawing>
        <w:t>Net income (loss) attributable to the noncontrolling interest changed to an income of $851 for 2020 from a loss of $168 for 2019. Net income (loss) attributable to the noncontrolling interest represents the noncontrolling interest’s portion of TAP Funding Limited’s (“TAP Funding”) net income</w:t>
      </w:r>
    </w:p>
    <w:p>
      <w:pPr>
        <w:ind w:right="80"/>
        <w:spacing w:after="0" w:line="271" w:lineRule="auto"/>
        <w:rPr>
          <w:sz w:val="20"/>
          <w:szCs w:val="20"/>
          <w:color w:val="auto"/>
        </w:rPr>
      </w:pPr>
      <w:r>
        <w:rPr>
          <w:rFonts w:ascii="Arial" w:cs="Arial" w:eastAsia="Arial" w:hAnsi="Arial"/>
          <w:sz w:val="17"/>
          <w:szCs w:val="17"/>
          <w:color w:val="auto"/>
        </w:rPr>
        <w:t xml:space="preserve">(loss). Net income attributable to the noncontrolling interests for 2020 was primarily due to the decrease in interest expense mentioned above. Net loss attributable to the noncontrolling interests for 2019 was primarily due to an unrealized loss on derivative instruments mentioned above. On January 19, 2021, the Company completed the acquisition of 49.9% of the common shares of TAP Funding which resulted to the Company’s 100% ownership of TAP Funding. See Note 1 “Nature of Business and Summary of Significant Accounting Polices” and Note 14 “Subsequent Event” to our consolidated financial statements in Item 18, </w:t>
      </w:r>
      <w:r>
        <w:rPr>
          <w:rFonts w:ascii="Arial" w:cs="Arial" w:eastAsia="Arial" w:hAnsi="Arial"/>
          <w:sz w:val="17"/>
          <w:szCs w:val="17"/>
          <w:i w:val="1"/>
          <w:iCs w:val="1"/>
          <w:color w:val="auto"/>
        </w:rPr>
        <w:t>“Financial Statements”</w:t>
      </w:r>
      <w:r>
        <w:rPr>
          <w:rFonts w:ascii="Arial" w:cs="Arial" w:eastAsia="Arial" w:hAnsi="Arial"/>
          <w:sz w:val="17"/>
          <w:szCs w:val="17"/>
          <w:color w:val="auto"/>
        </w:rPr>
        <w:t xml:space="preserve"> in this Annual Report on Form 20-F for further information.</w:t>
      </w:r>
    </w:p>
    <w:p>
      <w:pPr>
        <w:spacing w:after="0" w:line="28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Segment Information</w:t>
      </w:r>
    </w:p>
    <w:p>
      <w:pPr>
        <w:spacing w:after="0" w:line="121" w:lineRule="exact"/>
        <w:rPr>
          <w:sz w:val="20"/>
          <w:szCs w:val="20"/>
          <w:color w:val="auto"/>
        </w:rPr>
      </w:pPr>
    </w:p>
    <w:p>
      <w:pPr>
        <w:ind w:right="100" w:firstLine="440"/>
        <w:spacing w:after="0" w:line="277" w:lineRule="auto"/>
        <w:rPr>
          <w:sz w:val="20"/>
          <w:szCs w:val="20"/>
          <w:color w:val="auto"/>
        </w:rPr>
      </w:pPr>
      <w:r>
        <w:rPr>
          <w:rFonts w:ascii="Arial" w:cs="Arial" w:eastAsia="Arial" w:hAnsi="Arial"/>
          <w:sz w:val="18"/>
          <w:szCs w:val="18"/>
          <w:color w:val="auto"/>
        </w:rPr>
        <w:t xml:space="preserve">For further discussion, see Note 1 “Nature of Business and Summary of Significant Accounting Policies” and Note 10 “Segment Information” to our consolidated financial statements in Item 18, </w:t>
      </w:r>
      <w:r>
        <w:rPr>
          <w:rFonts w:ascii="Arial" w:cs="Arial" w:eastAsia="Arial" w:hAnsi="Arial"/>
          <w:sz w:val="18"/>
          <w:szCs w:val="18"/>
          <w:i w:val="1"/>
          <w:iCs w:val="1"/>
          <w:color w:val="auto"/>
        </w:rPr>
        <w:t>“Financial Statements”</w:t>
      </w:r>
      <w:r>
        <w:rPr>
          <w:rFonts w:ascii="Arial" w:cs="Arial" w:eastAsia="Arial" w:hAnsi="Arial"/>
          <w:sz w:val="18"/>
          <w:szCs w:val="18"/>
          <w:color w:val="auto"/>
        </w:rPr>
        <w:t xml:space="preserve"> in this Annual Report on Form 20-F.</w:t>
      </w:r>
    </w:p>
    <w:p>
      <w:pPr>
        <w:spacing w:after="0" w:line="170" w:lineRule="exact"/>
        <w:rPr>
          <w:sz w:val="20"/>
          <w:szCs w:val="20"/>
          <w:color w:val="auto"/>
        </w:rPr>
      </w:pPr>
    </w:p>
    <w:p>
      <w:pPr>
        <w:ind w:firstLine="440"/>
        <w:spacing w:after="0" w:line="308" w:lineRule="auto"/>
        <w:rPr>
          <w:sz w:val="20"/>
          <w:szCs w:val="20"/>
          <w:color w:val="auto"/>
        </w:rPr>
      </w:pPr>
      <w:r>
        <w:rPr>
          <w:rFonts w:ascii="Arial" w:cs="Arial" w:eastAsia="Arial" w:hAnsi="Arial"/>
          <w:sz w:val="17"/>
          <w:szCs w:val="17"/>
          <w:color w:val="auto"/>
        </w:rPr>
        <w:t>The following table summarizes our income before income taxes and noncontrolling interests attributable to each of our business segments for the years ended December 31, 2020 and 2019 (before inter-segment eliminations) and percentage changes between those periods:</w:t>
      </w:r>
    </w:p>
    <w:p>
      <w:pPr>
        <w:spacing w:after="0" w:line="165" w:lineRule="exact"/>
        <w:rPr>
          <w:sz w:val="20"/>
          <w:szCs w:val="20"/>
          <w:color w:val="auto"/>
        </w:rPr>
      </w:pPr>
    </w:p>
    <w:tbl>
      <w:tblPr>
        <w:tblLayout w:type="fixed"/>
        <w:tblInd w:w="440" w:type="dxa"/>
        <w:tblCellMar>
          <w:top w:w="0" w:type="dxa"/>
          <w:left w:w="0" w:type="dxa"/>
          <w:bottom w:w="0" w:type="dxa"/>
          <w:right w:w="0" w:type="dxa"/>
        </w:tblCellMar>
      </w:tblPr>
      <w:tr>
        <w:trPr>
          <w:trHeight w:val="171"/>
        </w:trPr>
        <w:tc>
          <w:tcPr>
            <w:tcW w:w="4460" w:type="dxa"/>
            <w:vAlign w:val="bottom"/>
          </w:tcPr>
          <w:p>
            <w:pPr>
              <w:spacing w:after="0"/>
              <w:rPr>
                <w:sz w:val="14"/>
                <w:szCs w:val="14"/>
                <w:color w:val="auto"/>
              </w:rPr>
            </w:pPr>
          </w:p>
        </w:tc>
        <w:tc>
          <w:tcPr>
            <w:tcW w:w="1640" w:type="dxa"/>
            <w:vAlign w:val="bottom"/>
          </w:tcPr>
          <w:p>
            <w:pPr>
              <w:spacing w:after="0"/>
              <w:rPr>
                <w:sz w:val="14"/>
                <w:szCs w:val="14"/>
                <w:color w:val="auto"/>
              </w:rPr>
            </w:pPr>
          </w:p>
        </w:tc>
        <w:tc>
          <w:tcPr>
            <w:tcW w:w="1980" w:type="dxa"/>
            <w:vAlign w:val="bottom"/>
            <w:gridSpan w:val="6"/>
          </w:tcPr>
          <w:p>
            <w:pPr>
              <w:jc w:val="right"/>
              <w:ind w:right="300"/>
              <w:spacing w:after="0"/>
              <w:rPr>
                <w:sz w:val="20"/>
                <w:szCs w:val="20"/>
                <w:color w:val="auto"/>
              </w:rPr>
            </w:pPr>
            <w:r>
              <w:rPr>
                <w:rFonts w:ascii="Arial" w:cs="Arial" w:eastAsia="Arial" w:hAnsi="Arial"/>
                <w:sz w:val="14"/>
                <w:szCs w:val="14"/>
                <w:b w:val="1"/>
                <w:bCs w:val="1"/>
                <w:color w:val="auto"/>
                <w:w w:val="96"/>
              </w:rPr>
              <w:t>Year Ended December 31,</w:t>
            </w:r>
          </w:p>
        </w:tc>
        <w:tc>
          <w:tcPr>
            <w:tcW w:w="160" w:type="dxa"/>
            <w:vAlign w:val="bottom"/>
          </w:tcPr>
          <w:p>
            <w:pPr>
              <w:spacing w:after="0"/>
              <w:rPr>
                <w:sz w:val="14"/>
                <w:szCs w:val="14"/>
                <w:color w:val="auto"/>
              </w:rPr>
            </w:pPr>
          </w:p>
        </w:tc>
        <w:tc>
          <w:tcPr>
            <w:tcW w:w="1880" w:type="dxa"/>
            <w:vAlign w:val="bottom"/>
            <w:gridSpan w:val="4"/>
          </w:tcPr>
          <w:p>
            <w:pPr>
              <w:jc w:val="right"/>
              <w:ind w:right="680"/>
              <w:spacing w:after="0"/>
              <w:rPr>
                <w:sz w:val="20"/>
                <w:szCs w:val="20"/>
                <w:color w:val="auto"/>
              </w:rPr>
            </w:pPr>
            <w:r>
              <w:rPr>
                <w:rFonts w:ascii="Arial" w:cs="Arial" w:eastAsia="Arial" w:hAnsi="Arial"/>
                <w:sz w:val="14"/>
                <w:szCs w:val="14"/>
                <w:b w:val="1"/>
                <w:bCs w:val="1"/>
                <w:color w:val="auto"/>
              </w:rPr>
              <w:t>2020 vs 2019</w:t>
            </w:r>
          </w:p>
        </w:tc>
        <w:tc>
          <w:tcPr>
            <w:tcW w:w="0" w:type="dxa"/>
            <w:vAlign w:val="bottom"/>
          </w:tcPr>
          <w:p>
            <w:pPr>
              <w:spacing w:after="0"/>
              <w:rPr>
                <w:sz w:val="1"/>
                <w:szCs w:val="1"/>
                <w:color w:val="auto"/>
              </w:rPr>
            </w:pPr>
          </w:p>
        </w:tc>
      </w:tr>
      <w:tr>
        <w:trPr>
          <w:trHeight w:val="142"/>
        </w:trPr>
        <w:tc>
          <w:tcPr>
            <w:tcW w:w="4460" w:type="dxa"/>
            <w:vAlign w:val="bottom"/>
          </w:tcPr>
          <w:p>
            <w:pPr>
              <w:spacing w:after="0"/>
              <w:rPr>
                <w:sz w:val="12"/>
                <w:szCs w:val="12"/>
                <w:color w:val="auto"/>
              </w:rPr>
            </w:pPr>
          </w:p>
        </w:tc>
        <w:tc>
          <w:tcPr>
            <w:tcW w:w="1640" w:type="dxa"/>
            <w:vAlign w:val="bottom"/>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540" w:type="dxa"/>
            <w:vAlign w:val="bottom"/>
            <w:tcBorders>
              <w:top w:val="single" w:sz="8" w:color="auto"/>
            </w:tcBorders>
          </w:tcPr>
          <w:p>
            <w:pPr>
              <w:jc w:val="right"/>
              <w:ind w:right="115"/>
              <w:spacing w:after="0" w:line="142" w:lineRule="exact"/>
              <w:rPr>
                <w:sz w:val="20"/>
                <w:szCs w:val="20"/>
                <w:color w:val="auto"/>
              </w:rPr>
            </w:pPr>
            <w:r>
              <w:rPr>
                <w:rFonts w:ascii="Arial" w:cs="Arial" w:eastAsia="Arial" w:hAnsi="Arial"/>
                <w:sz w:val="14"/>
                <w:szCs w:val="14"/>
                <w:b w:val="1"/>
                <w:bCs w:val="1"/>
                <w:color w:val="auto"/>
              </w:rPr>
              <w:t>2020</w:t>
            </w:r>
          </w:p>
        </w:tc>
        <w:tc>
          <w:tcPr>
            <w:tcW w:w="380" w:type="dxa"/>
            <w:vAlign w:val="bottom"/>
            <w:tcBorders>
              <w:top w:val="single" w:sz="8" w:color="auto"/>
            </w:tcBorders>
          </w:tcPr>
          <w:p>
            <w:pPr>
              <w:spacing w:after="0"/>
              <w:rPr>
                <w:sz w:val="12"/>
                <w:szCs w:val="12"/>
                <w:color w:val="auto"/>
              </w:rPr>
            </w:pPr>
          </w:p>
        </w:tc>
        <w:tc>
          <w:tcPr>
            <w:tcW w:w="160" w:type="dxa"/>
            <w:vAlign w:val="bottom"/>
            <w:tcBorders>
              <w:top w:val="single" w:sz="8" w:color="auto"/>
            </w:tcBorders>
          </w:tcPr>
          <w:p>
            <w:pPr>
              <w:spacing w:after="0"/>
              <w:rPr>
                <w:sz w:val="12"/>
                <w:szCs w:val="12"/>
                <w:color w:val="auto"/>
              </w:rPr>
            </w:pPr>
          </w:p>
        </w:tc>
        <w:tc>
          <w:tcPr>
            <w:tcW w:w="540" w:type="dxa"/>
            <w:vAlign w:val="bottom"/>
            <w:tcBorders>
              <w:top w:val="single" w:sz="8" w:color="auto"/>
            </w:tcBorders>
          </w:tcPr>
          <w:p>
            <w:pPr>
              <w:jc w:val="right"/>
              <w:ind w:right="113"/>
              <w:spacing w:after="0" w:line="142" w:lineRule="exact"/>
              <w:rPr>
                <w:sz w:val="20"/>
                <w:szCs w:val="20"/>
                <w:color w:val="auto"/>
              </w:rPr>
            </w:pPr>
            <w:r>
              <w:rPr>
                <w:rFonts w:ascii="Arial" w:cs="Arial" w:eastAsia="Arial" w:hAnsi="Arial"/>
                <w:sz w:val="14"/>
                <w:szCs w:val="14"/>
                <w:b w:val="1"/>
                <w:bCs w:val="1"/>
                <w:color w:val="auto"/>
              </w:rPr>
              <w:t>2019</w:t>
            </w:r>
          </w:p>
        </w:tc>
        <w:tc>
          <w:tcPr>
            <w:tcW w:w="2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60" w:type="dxa"/>
            <w:vAlign w:val="bottom"/>
            <w:tcBorders>
              <w:top w:val="single" w:sz="8" w:color="auto"/>
            </w:tcBorders>
            <w:gridSpan w:val="2"/>
          </w:tcPr>
          <w:p>
            <w:pPr>
              <w:jc w:val="right"/>
              <w:ind w:right="380"/>
              <w:spacing w:after="0" w:line="142" w:lineRule="exact"/>
              <w:rPr>
                <w:sz w:val="20"/>
                <w:szCs w:val="20"/>
                <w:color w:val="auto"/>
              </w:rPr>
            </w:pPr>
            <w:r>
              <w:rPr>
                <w:rFonts w:ascii="Arial" w:cs="Arial" w:eastAsia="Arial" w:hAnsi="Arial"/>
                <w:sz w:val="14"/>
                <w:szCs w:val="14"/>
                <w:b w:val="1"/>
                <w:bCs w:val="1"/>
                <w:color w:val="auto"/>
                <w:w w:val="88"/>
              </w:rPr>
              <w:t>$ Change</w:t>
            </w:r>
          </w:p>
        </w:tc>
        <w:tc>
          <w:tcPr>
            <w:tcW w:w="66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94"/>
              </w:rPr>
              <w:t>% Change</w:t>
            </w:r>
          </w:p>
        </w:tc>
        <w:tc>
          <w:tcPr>
            <w:tcW w:w="2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4460" w:type="dxa"/>
            <w:vAlign w:val="bottom"/>
          </w:tcPr>
          <w:p>
            <w:pPr>
              <w:spacing w:after="0"/>
              <w:rPr>
                <w:sz w:val="12"/>
                <w:szCs w:val="12"/>
                <w:color w:val="auto"/>
              </w:rPr>
            </w:pPr>
          </w:p>
        </w:tc>
        <w:tc>
          <w:tcPr>
            <w:tcW w:w="1640" w:type="dxa"/>
            <w:vAlign w:val="bottom"/>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1620" w:type="dxa"/>
            <w:vAlign w:val="bottom"/>
            <w:tcBorders>
              <w:top w:val="single" w:sz="8" w:color="auto"/>
            </w:tcBorders>
            <w:gridSpan w:val="4"/>
          </w:tcPr>
          <w:p>
            <w:pPr>
              <w:jc w:val="right"/>
              <w:ind w:right="113"/>
              <w:spacing w:after="0" w:line="142" w:lineRule="exact"/>
              <w:rPr>
                <w:sz w:val="20"/>
                <w:szCs w:val="20"/>
                <w:color w:val="auto"/>
              </w:rPr>
            </w:pPr>
            <w:r>
              <w:rPr>
                <w:rFonts w:ascii="Arial" w:cs="Arial" w:eastAsia="Arial" w:hAnsi="Arial"/>
                <w:sz w:val="14"/>
                <w:szCs w:val="14"/>
                <w:b w:val="1"/>
                <w:bCs w:val="1"/>
                <w:color w:val="auto"/>
                <w:w w:val="94"/>
              </w:rPr>
              <w:t>(Dollars in thousands)</w:t>
            </w:r>
          </w:p>
        </w:tc>
        <w:tc>
          <w:tcPr>
            <w:tcW w:w="2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0" w:type="dxa"/>
            <w:vAlign w:val="bottom"/>
            <w:tcBorders>
              <w:top w:val="single" w:sz="8" w:color="auto"/>
            </w:tcBorders>
          </w:tcPr>
          <w:p>
            <w:pPr>
              <w:spacing w:after="0"/>
              <w:rPr>
                <w:sz w:val="12"/>
                <w:szCs w:val="12"/>
                <w:color w:val="auto"/>
              </w:rPr>
            </w:pPr>
          </w:p>
        </w:tc>
        <w:tc>
          <w:tcPr>
            <w:tcW w:w="360" w:type="dxa"/>
            <w:vAlign w:val="bottom"/>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2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4460" w:type="dxa"/>
            <w:vAlign w:val="bottom"/>
            <w:shd w:val="clear" w:color="auto" w:fill="CCEEFF"/>
          </w:tcPr>
          <w:p>
            <w:pPr>
              <w:spacing w:after="0"/>
              <w:rPr>
                <w:sz w:val="20"/>
                <w:szCs w:val="20"/>
                <w:color w:val="auto"/>
              </w:rPr>
            </w:pPr>
            <w:r>
              <w:rPr>
                <w:rFonts w:ascii="Arial" w:cs="Arial" w:eastAsia="Arial" w:hAnsi="Arial"/>
                <w:sz w:val="18"/>
                <w:szCs w:val="18"/>
                <w:color w:val="auto"/>
              </w:rPr>
              <w:t>Container ownership</w:t>
            </w:r>
          </w:p>
        </w:tc>
        <w:tc>
          <w:tcPr>
            <w:tcW w:w="17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2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w w:val="94"/>
              </w:rPr>
              <w:t>41,831</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w w:val="94"/>
              </w:rPr>
              <w:t>14,296</w:t>
            </w:r>
          </w:p>
        </w:tc>
        <w:tc>
          <w:tcPr>
            <w:tcW w:w="1120" w:type="dxa"/>
            <w:vAlign w:val="bottom"/>
            <w:gridSpan w:val="3"/>
            <w:shd w:val="clear" w:color="auto" w:fill="CCEEFF"/>
          </w:tcPr>
          <w:p>
            <w:pPr>
              <w:jc w:val="right"/>
              <w:ind w:right="360"/>
              <w:spacing w:after="0"/>
              <w:rPr>
                <w:sz w:val="20"/>
                <w:szCs w:val="20"/>
                <w:color w:val="auto"/>
              </w:rPr>
            </w:pPr>
            <w:r>
              <w:rPr>
                <w:rFonts w:ascii="Arial" w:cs="Arial" w:eastAsia="Arial" w:hAnsi="Arial"/>
                <w:sz w:val="18"/>
                <w:szCs w:val="18"/>
                <w:color w:val="auto"/>
              </w:rPr>
              <w:t>$27,535</w:t>
            </w: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192.6%</w:t>
            </w:r>
          </w:p>
        </w:tc>
        <w:tc>
          <w:tcPr>
            <w:tcW w:w="0" w:type="dxa"/>
            <w:vAlign w:val="bottom"/>
          </w:tcPr>
          <w:p>
            <w:pPr>
              <w:spacing w:after="0"/>
              <w:rPr>
                <w:sz w:val="1"/>
                <w:szCs w:val="1"/>
                <w:color w:val="auto"/>
              </w:rPr>
            </w:pPr>
          </w:p>
        </w:tc>
      </w:tr>
      <w:tr>
        <w:trPr>
          <w:trHeight w:val="216"/>
        </w:trPr>
        <w:tc>
          <w:tcPr>
            <w:tcW w:w="4460" w:type="dxa"/>
            <w:vAlign w:val="bottom"/>
          </w:tcPr>
          <w:p>
            <w:pPr>
              <w:spacing w:after="0"/>
              <w:rPr>
                <w:sz w:val="20"/>
                <w:szCs w:val="20"/>
                <w:color w:val="auto"/>
              </w:rPr>
            </w:pPr>
            <w:r>
              <w:rPr>
                <w:rFonts w:ascii="Arial" w:cs="Arial" w:eastAsia="Arial" w:hAnsi="Arial"/>
                <w:sz w:val="18"/>
                <w:szCs w:val="18"/>
                <w:color w:val="auto"/>
              </w:rPr>
              <w:t>Container management</w:t>
            </w:r>
          </w:p>
        </w:tc>
        <w:tc>
          <w:tcPr>
            <w:tcW w:w="16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920" w:type="dxa"/>
            <w:vAlign w:val="bottom"/>
            <w:gridSpan w:val="2"/>
          </w:tcPr>
          <w:p>
            <w:pPr>
              <w:jc w:val="right"/>
              <w:ind w:right="380"/>
              <w:spacing w:after="0"/>
              <w:rPr>
                <w:sz w:val="20"/>
                <w:szCs w:val="20"/>
                <w:color w:val="auto"/>
              </w:rPr>
            </w:pPr>
            <w:r>
              <w:rPr>
                <w:rFonts w:ascii="Arial" w:cs="Arial" w:eastAsia="Arial" w:hAnsi="Arial"/>
                <w:sz w:val="18"/>
                <w:szCs w:val="18"/>
                <w:color w:val="auto"/>
                <w:w w:val="94"/>
              </w:rPr>
              <w:t>23,641</w:t>
            </w:r>
          </w:p>
        </w:tc>
        <w:tc>
          <w:tcPr>
            <w:tcW w:w="160" w:type="dxa"/>
            <w:vAlign w:val="bottom"/>
          </w:tcPr>
          <w:p>
            <w:pPr>
              <w:spacing w:after="0"/>
              <w:rPr>
                <w:sz w:val="18"/>
                <w:szCs w:val="18"/>
                <w:color w:val="auto"/>
              </w:rPr>
            </w:pPr>
          </w:p>
        </w:tc>
        <w:tc>
          <w:tcPr>
            <w:tcW w:w="760" w:type="dxa"/>
            <w:vAlign w:val="bottom"/>
            <w:gridSpan w:val="2"/>
          </w:tcPr>
          <w:p>
            <w:pPr>
              <w:jc w:val="right"/>
              <w:ind w:right="220"/>
              <w:spacing w:after="0"/>
              <w:rPr>
                <w:sz w:val="20"/>
                <w:szCs w:val="20"/>
                <w:color w:val="auto"/>
              </w:rPr>
            </w:pPr>
            <w:r>
              <w:rPr>
                <w:rFonts w:ascii="Arial" w:cs="Arial" w:eastAsia="Arial" w:hAnsi="Arial"/>
                <w:sz w:val="18"/>
                <w:szCs w:val="18"/>
                <w:color w:val="auto"/>
                <w:w w:val="94"/>
              </w:rPr>
              <w:t>27,747</w:t>
            </w:r>
          </w:p>
        </w:tc>
        <w:tc>
          <w:tcPr>
            <w:tcW w:w="1120" w:type="dxa"/>
            <w:vAlign w:val="bottom"/>
            <w:gridSpan w:val="3"/>
          </w:tcPr>
          <w:p>
            <w:pPr>
              <w:jc w:val="right"/>
              <w:ind w:right="300"/>
              <w:spacing w:after="0"/>
              <w:rPr>
                <w:sz w:val="20"/>
                <w:szCs w:val="20"/>
                <w:color w:val="auto"/>
              </w:rPr>
            </w:pPr>
            <w:r>
              <w:rPr>
                <w:rFonts w:ascii="Arial" w:cs="Arial" w:eastAsia="Arial" w:hAnsi="Arial"/>
                <w:sz w:val="18"/>
                <w:szCs w:val="18"/>
                <w:color w:val="auto"/>
              </w:rPr>
              <w:t>(4,106)</w:t>
            </w:r>
          </w:p>
        </w:tc>
        <w:tc>
          <w:tcPr>
            <w:tcW w:w="920" w:type="dxa"/>
            <w:vAlign w:val="bottom"/>
            <w:gridSpan w:val="2"/>
          </w:tcPr>
          <w:p>
            <w:pPr>
              <w:jc w:val="right"/>
              <w:ind w:right="40"/>
              <w:spacing w:after="0"/>
              <w:rPr>
                <w:sz w:val="20"/>
                <w:szCs w:val="20"/>
                <w:color w:val="auto"/>
              </w:rPr>
            </w:pPr>
            <w:r>
              <w:rPr>
                <w:rFonts w:ascii="Arial" w:cs="Arial" w:eastAsia="Arial" w:hAnsi="Arial"/>
                <w:sz w:val="18"/>
                <w:szCs w:val="18"/>
                <w:color w:val="auto"/>
              </w:rPr>
              <w:t>(14.8)%</w:t>
            </w:r>
          </w:p>
        </w:tc>
        <w:tc>
          <w:tcPr>
            <w:tcW w:w="0" w:type="dxa"/>
            <w:vAlign w:val="bottom"/>
          </w:tcPr>
          <w:p>
            <w:pPr>
              <w:spacing w:after="0"/>
              <w:rPr>
                <w:sz w:val="1"/>
                <w:szCs w:val="1"/>
                <w:color w:val="auto"/>
              </w:rPr>
            </w:pPr>
          </w:p>
        </w:tc>
      </w:tr>
      <w:tr>
        <w:trPr>
          <w:trHeight w:val="216"/>
        </w:trPr>
        <w:tc>
          <w:tcPr>
            <w:tcW w:w="4460" w:type="dxa"/>
            <w:vAlign w:val="bottom"/>
            <w:shd w:val="clear" w:color="auto" w:fill="CCEEFF"/>
          </w:tcPr>
          <w:p>
            <w:pPr>
              <w:spacing w:after="0"/>
              <w:rPr>
                <w:sz w:val="20"/>
                <w:szCs w:val="20"/>
                <w:color w:val="auto"/>
              </w:rPr>
            </w:pPr>
            <w:r>
              <w:rPr>
                <w:rFonts w:ascii="Arial" w:cs="Arial" w:eastAsia="Arial" w:hAnsi="Arial"/>
                <w:sz w:val="18"/>
                <w:szCs w:val="18"/>
                <w:color w:val="auto"/>
              </w:rPr>
              <w:t>Container resale</w:t>
            </w:r>
          </w:p>
        </w:tc>
        <w:tc>
          <w:tcPr>
            <w:tcW w:w="16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w w:val="94"/>
              </w:rPr>
              <w:t>16,433</w:t>
            </w:r>
          </w:p>
        </w:tc>
        <w:tc>
          <w:tcPr>
            <w:tcW w:w="16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w w:val="94"/>
              </w:rPr>
              <w:t>21,036</w:t>
            </w:r>
          </w:p>
        </w:tc>
        <w:tc>
          <w:tcPr>
            <w:tcW w:w="112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(4,603)</w:t>
            </w:r>
          </w:p>
        </w:tc>
        <w:tc>
          <w:tcPr>
            <w:tcW w:w="9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(21.9)%</w:t>
            </w:r>
          </w:p>
        </w:tc>
        <w:tc>
          <w:tcPr>
            <w:tcW w:w="0" w:type="dxa"/>
            <w:vAlign w:val="bottom"/>
          </w:tcPr>
          <w:p>
            <w:pPr>
              <w:spacing w:after="0"/>
              <w:rPr>
                <w:sz w:val="1"/>
                <w:szCs w:val="1"/>
                <w:color w:val="auto"/>
              </w:rPr>
            </w:pPr>
          </w:p>
        </w:tc>
      </w:tr>
      <w:tr>
        <w:trPr>
          <w:trHeight w:val="216"/>
        </w:trPr>
        <w:tc>
          <w:tcPr>
            <w:tcW w:w="4460" w:type="dxa"/>
            <w:vAlign w:val="bottom"/>
          </w:tcPr>
          <w:p>
            <w:pPr>
              <w:spacing w:after="0"/>
              <w:rPr>
                <w:sz w:val="20"/>
                <w:szCs w:val="20"/>
                <w:color w:val="auto"/>
              </w:rPr>
            </w:pPr>
            <w:r>
              <w:rPr>
                <w:rFonts w:ascii="Arial" w:cs="Arial" w:eastAsia="Arial" w:hAnsi="Arial"/>
                <w:sz w:val="18"/>
                <w:szCs w:val="18"/>
                <w:color w:val="auto"/>
              </w:rPr>
              <w:t>Other</w:t>
            </w:r>
          </w:p>
        </w:tc>
        <w:tc>
          <w:tcPr>
            <w:tcW w:w="16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920" w:type="dxa"/>
            <w:vAlign w:val="bottom"/>
            <w:gridSpan w:val="2"/>
          </w:tcPr>
          <w:p>
            <w:pPr>
              <w:jc w:val="right"/>
              <w:ind w:right="320"/>
              <w:spacing w:after="0"/>
              <w:rPr>
                <w:sz w:val="20"/>
                <w:szCs w:val="20"/>
                <w:color w:val="auto"/>
              </w:rPr>
            </w:pPr>
            <w:r>
              <w:rPr>
                <w:rFonts w:ascii="Arial" w:cs="Arial" w:eastAsia="Arial" w:hAnsi="Arial"/>
                <w:sz w:val="18"/>
                <w:szCs w:val="18"/>
                <w:color w:val="auto"/>
              </w:rPr>
              <w:t>(3,254)</w:t>
            </w:r>
          </w:p>
        </w:tc>
        <w:tc>
          <w:tcPr>
            <w:tcW w:w="160" w:type="dxa"/>
            <w:vAlign w:val="bottom"/>
          </w:tcPr>
          <w:p>
            <w:pPr>
              <w:spacing w:after="0"/>
              <w:rPr>
                <w:sz w:val="18"/>
                <w:szCs w:val="18"/>
                <w:color w:val="auto"/>
              </w:rPr>
            </w:pP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(4,089)</w:t>
            </w:r>
          </w:p>
        </w:tc>
        <w:tc>
          <w:tcPr>
            <w:tcW w:w="1120" w:type="dxa"/>
            <w:vAlign w:val="bottom"/>
            <w:gridSpan w:val="3"/>
          </w:tcPr>
          <w:p>
            <w:pPr>
              <w:jc w:val="right"/>
              <w:ind w:right="360"/>
              <w:spacing w:after="0"/>
              <w:rPr>
                <w:sz w:val="20"/>
                <w:szCs w:val="20"/>
                <w:color w:val="auto"/>
              </w:rPr>
            </w:pPr>
            <w:r>
              <w:rPr>
                <w:rFonts w:ascii="Arial" w:cs="Arial" w:eastAsia="Arial" w:hAnsi="Arial"/>
                <w:sz w:val="18"/>
                <w:szCs w:val="18"/>
                <w:color w:val="auto"/>
              </w:rPr>
              <w:t>835</w:t>
            </w:r>
          </w:p>
        </w:tc>
        <w:tc>
          <w:tcPr>
            <w:tcW w:w="920" w:type="dxa"/>
            <w:vAlign w:val="bottom"/>
            <w:gridSpan w:val="2"/>
          </w:tcPr>
          <w:p>
            <w:pPr>
              <w:jc w:val="right"/>
              <w:ind w:right="40"/>
              <w:spacing w:after="0"/>
              <w:rPr>
                <w:sz w:val="20"/>
                <w:szCs w:val="20"/>
                <w:color w:val="auto"/>
              </w:rPr>
            </w:pPr>
            <w:r>
              <w:rPr>
                <w:rFonts w:ascii="Arial" w:cs="Arial" w:eastAsia="Arial" w:hAnsi="Arial"/>
                <w:sz w:val="18"/>
                <w:szCs w:val="18"/>
                <w:color w:val="auto"/>
              </w:rPr>
              <w:t>(20.4)%</w:t>
            </w:r>
          </w:p>
        </w:tc>
        <w:tc>
          <w:tcPr>
            <w:tcW w:w="0" w:type="dxa"/>
            <w:vAlign w:val="bottom"/>
          </w:tcPr>
          <w:p>
            <w:pPr>
              <w:spacing w:after="0"/>
              <w:rPr>
                <w:sz w:val="1"/>
                <w:szCs w:val="1"/>
                <w:color w:val="auto"/>
              </w:rPr>
            </w:pPr>
          </w:p>
        </w:tc>
      </w:tr>
      <w:tr>
        <w:trPr>
          <w:trHeight w:val="216"/>
        </w:trPr>
        <w:tc>
          <w:tcPr>
            <w:tcW w:w="4460" w:type="dxa"/>
            <w:vAlign w:val="bottom"/>
            <w:shd w:val="clear" w:color="auto" w:fill="CCEEFF"/>
          </w:tcPr>
          <w:p>
            <w:pPr>
              <w:spacing w:after="0"/>
              <w:rPr>
                <w:sz w:val="20"/>
                <w:szCs w:val="20"/>
                <w:color w:val="auto"/>
              </w:rPr>
            </w:pPr>
            <w:r>
              <w:rPr>
                <w:rFonts w:ascii="Arial" w:cs="Arial" w:eastAsia="Arial" w:hAnsi="Arial"/>
                <w:sz w:val="18"/>
                <w:szCs w:val="18"/>
                <w:color w:val="auto"/>
              </w:rPr>
              <w:t>Eliminations</w:t>
            </w:r>
          </w:p>
        </w:tc>
        <w:tc>
          <w:tcPr>
            <w:tcW w:w="16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(5,352)</w:t>
            </w:r>
          </w:p>
        </w:tc>
        <w:tc>
          <w:tcPr>
            <w:tcW w:w="16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(486)</w:t>
            </w:r>
          </w:p>
        </w:tc>
        <w:tc>
          <w:tcPr>
            <w:tcW w:w="112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(4,866)</w:t>
            </w: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1001.2%</w:t>
            </w:r>
          </w:p>
        </w:tc>
        <w:tc>
          <w:tcPr>
            <w:tcW w:w="0" w:type="dxa"/>
            <w:vAlign w:val="bottom"/>
          </w:tcPr>
          <w:p>
            <w:pPr>
              <w:spacing w:after="0"/>
              <w:rPr>
                <w:sz w:val="1"/>
                <w:szCs w:val="1"/>
                <w:color w:val="auto"/>
              </w:rPr>
            </w:pPr>
          </w:p>
        </w:tc>
      </w:tr>
      <w:tr>
        <w:trPr>
          <w:trHeight w:val="20"/>
        </w:trPr>
        <w:tc>
          <w:tcPr>
            <w:tcW w:w="4460" w:type="dxa"/>
            <w:vAlign w:val="bottom"/>
            <w:vMerge w:val="restart"/>
          </w:tcPr>
          <w:p>
            <w:pPr>
              <w:spacing w:after="0"/>
              <w:rPr>
                <w:sz w:val="20"/>
                <w:szCs w:val="20"/>
                <w:color w:val="auto"/>
              </w:rPr>
            </w:pPr>
            <w:r>
              <w:rPr>
                <w:rFonts w:ascii="Arial" w:cs="Arial" w:eastAsia="Arial" w:hAnsi="Arial"/>
                <w:sz w:val="18"/>
                <w:szCs w:val="18"/>
                <w:color w:val="auto"/>
              </w:rPr>
              <w:t>Income before income tax and noncontrolling interests</w:t>
            </w:r>
          </w:p>
        </w:tc>
        <w:tc>
          <w:tcPr>
            <w:tcW w:w="1640" w:type="dxa"/>
            <w:vAlign w:val="bottom"/>
            <w:vMerge w:val="restart"/>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380" w:type="dxa"/>
            <w:vAlign w:val="bottom"/>
            <w:vMerge w:val="restart"/>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220" w:type="dxa"/>
            <w:vAlign w:val="bottom"/>
            <w:vMerge w:val="restart"/>
          </w:tcPr>
          <w:p>
            <w:pPr>
              <w:spacing w:after="0" w:line="20" w:lineRule="exact"/>
              <w:rPr>
                <w:sz w:val="1"/>
                <w:szCs w:val="1"/>
                <w:color w:val="auto"/>
              </w:rPr>
            </w:pPr>
          </w:p>
        </w:tc>
        <w:tc>
          <w:tcPr>
            <w:tcW w:w="160" w:type="dxa"/>
            <w:vAlign w:val="bottom"/>
            <w:vMerge w:val="restart"/>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360" w:type="dxa"/>
            <w:vAlign w:val="bottom"/>
            <w:vMerge w:val="restart"/>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4460" w:type="dxa"/>
            <w:vAlign w:val="bottom"/>
            <w:vMerge w:val="continue"/>
          </w:tcPr>
          <w:p>
            <w:pPr>
              <w:spacing w:after="0"/>
              <w:rPr>
                <w:sz w:val="19"/>
                <w:szCs w:val="19"/>
                <w:color w:val="auto"/>
              </w:rPr>
            </w:pPr>
          </w:p>
        </w:tc>
        <w:tc>
          <w:tcPr>
            <w:tcW w:w="1640" w:type="dxa"/>
            <w:vAlign w:val="bottom"/>
            <w:vMerge w:val="continue"/>
          </w:tcPr>
          <w:p>
            <w:pPr>
              <w:spacing w:after="0"/>
              <w:rPr>
                <w:sz w:val="19"/>
                <w:szCs w:val="19"/>
                <w:color w:val="auto"/>
              </w:rPr>
            </w:pP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540" w:type="dxa"/>
            <w:vAlign w:val="bottom"/>
          </w:tcPr>
          <w:p>
            <w:pPr>
              <w:jc w:val="right"/>
              <w:spacing w:after="0"/>
              <w:rPr>
                <w:sz w:val="20"/>
                <w:szCs w:val="20"/>
                <w:color w:val="auto"/>
              </w:rPr>
            </w:pPr>
            <w:r>
              <w:rPr>
                <w:rFonts w:ascii="Arial" w:cs="Arial" w:eastAsia="Arial" w:hAnsi="Arial"/>
                <w:sz w:val="18"/>
                <w:szCs w:val="18"/>
                <w:color w:val="auto"/>
                <w:w w:val="94"/>
              </w:rPr>
              <w:t>73,299</w:t>
            </w:r>
          </w:p>
        </w:tc>
        <w:tc>
          <w:tcPr>
            <w:tcW w:w="380" w:type="dxa"/>
            <w:vAlign w:val="bottom"/>
            <w:vMerge w:val="continue"/>
          </w:tcPr>
          <w:p>
            <w:pPr>
              <w:spacing w:after="0"/>
              <w:rPr>
                <w:sz w:val="19"/>
                <w:szCs w:val="19"/>
                <w:color w:val="auto"/>
              </w:rPr>
            </w:pPr>
          </w:p>
        </w:tc>
        <w:tc>
          <w:tcPr>
            <w:tcW w:w="16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540" w:type="dxa"/>
            <w:vAlign w:val="bottom"/>
          </w:tcPr>
          <w:p>
            <w:pPr>
              <w:jc w:val="right"/>
              <w:spacing w:after="0"/>
              <w:rPr>
                <w:sz w:val="20"/>
                <w:szCs w:val="20"/>
                <w:color w:val="auto"/>
              </w:rPr>
            </w:pPr>
            <w:r>
              <w:rPr>
                <w:rFonts w:ascii="Arial" w:cs="Arial" w:eastAsia="Arial" w:hAnsi="Arial"/>
                <w:sz w:val="18"/>
                <w:szCs w:val="18"/>
                <w:color w:val="auto"/>
                <w:w w:val="94"/>
              </w:rPr>
              <w:t>58,504</w:t>
            </w:r>
          </w:p>
        </w:tc>
        <w:tc>
          <w:tcPr>
            <w:tcW w:w="220" w:type="dxa"/>
            <w:vAlign w:val="bottom"/>
            <w:vMerge w:val="continue"/>
          </w:tcPr>
          <w:p>
            <w:pPr>
              <w:spacing w:after="0"/>
              <w:rPr>
                <w:sz w:val="19"/>
                <w:szCs w:val="19"/>
                <w:color w:val="auto"/>
              </w:rPr>
            </w:pPr>
          </w:p>
        </w:tc>
        <w:tc>
          <w:tcPr>
            <w:tcW w:w="160" w:type="dxa"/>
            <w:vAlign w:val="bottom"/>
            <w:vMerge w:val="continue"/>
          </w:tcPr>
          <w:p>
            <w:pPr>
              <w:spacing w:after="0"/>
              <w:rPr>
                <w:sz w:val="19"/>
                <w:szCs w:val="19"/>
                <w:color w:val="auto"/>
              </w:rPr>
            </w:pPr>
          </w:p>
        </w:tc>
        <w:tc>
          <w:tcPr>
            <w:tcW w:w="600" w:type="dxa"/>
            <w:vAlign w:val="bottom"/>
          </w:tcPr>
          <w:p>
            <w:pPr>
              <w:jc w:val="right"/>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14,795</w:t>
            </w:r>
          </w:p>
        </w:tc>
        <w:tc>
          <w:tcPr>
            <w:tcW w:w="360" w:type="dxa"/>
            <w:vAlign w:val="bottom"/>
            <w:vMerge w:val="continue"/>
          </w:tcPr>
          <w:p>
            <w:pPr>
              <w:spacing w:after="0"/>
              <w:rPr>
                <w:sz w:val="19"/>
                <w:szCs w:val="19"/>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8"/>
                <w:szCs w:val="18"/>
                <w:color w:val="auto"/>
              </w:rPr>
              <w:t>25.3%</w:t>
            </w:r>
          </w:p>
        </w:tc>
        <w:tc>
          <w:tcPr>
            <w:tcW w:w="0" w:type="dxa"/>
            <w:vAlign w:val="bottom"/>
          </w:tcPr>
          <w:p>
            <w:pPr>
              <w:spacing w:after="0"/>
              <w:rPr>
                <w:sz w:val="1"/>
                <w:szCs w:val="1"/>
                <w:color w:val="auto"/>
              </w:rPr>
            </w:pPr>
          </w:p>
        </w:tc>
      </w:tr>
      <w:tr>
        <w:trPr>
          <w:trHeight w:val="20"/>
        </w:trPr>
        <w:tc>
          <w:tcPr>
            <w:tcW w:w="4460" w:type="dxa"/>
            <w:vAlign w:val="bottom"/>
          </w:tcPr>
          <w:p>
            <w:pPr>
              <w:spacing w:after="0" w:line="20" w:lineRule="exact"/>
              <w:rPr>
                <w:sz w:val="1"/>
                <w:szCs w:val="1"/>
                <w:color w:val="auto"/>
              </w:rPr>
            </w:pPr>
          </w:p>
        </w:tc>
        <w:tc>
          <w:tcPr>
            <w:tcW w:w="1640" w:type="dxa"/>
            <w:vAlign w:val="bottom"/>
            <w:vMerge w:val="restart"/>
          </w:tcPr>
          <w:p>
            <w:pPr>
              <w:jc w:val="right"/>
              <w:ind w:right="850"/>
              <w:spacing w:after="0"/>
              <w:rPr>
                <w:sz w:val="20"/>
                <w:szCs w:val="20"/>
                <w:color w:val="auto"/>
              </w:rPr>
            </w:pPr>
            <w:r>
              <w:rPr>
                <w:rFonts w:ascii="Arial" w:cs="Arial" w:eastAsia="Arial" w:hAnsi="Arial"/>
                <w:sz w:val="18"/>
                <w:szCs w:val="18"/>
                <w:color w:val="auto"/>
              </w:rPr>
              <w:t>60</w:t>
            </w:r>
          </w:p>
        </w:tc>
        <w:tc>
          <w:tcPr>
            <w:tcW w:w="14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9"/>
        </w:trPr>
        <w:tc>
          <w:tcPr>
            <w:tcW w:w="4460" w:type="dxa"/>
            <w:vAlign w:val="bottom"/>
          </w:tcPr>
          <w:p>
            <w:pPr>
              <w:spacing w:after="0"/>
              <w:rPr>
                <w:sz w:val="24"/>
                <w:szCs w:val="24"/>
                <w:color w:val="auto"/>
              </w:rPr>
            </w:pPr>
          </w:p>
        </w:tc>
        <w:tc>
          <w:tcPr>
            <w:tcW w:w="1640" w:type="dxa"/>
            <w:vAlign w:val="bottom"/>
            <w:vMerge w:val="continue"/>
          </w:tcPr>
          <w:p>
            <w:pPr>
              <w:spacing w:after="0"/>
              <w:rPr>
                <w:sz w:val="24"/>
                <w:szCs w:val="24"/>
                <w:color w:val="auto"/>
              </w:rPr>
            </w:pPr>
          </w:p>
        </w:tc>
        <w:tc>
          <w:tcPr>
            <w:tcW w:w="1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0960"/>
          </w:cols>
          <w:pgMar w:left="440" w:top="274" w:right="499" w:bottom="1440" w:gutter="0" w:footer="0" w:header="0"/>
        </w:sectPr>
      </w:pPr>
    </w:p>
    <w:bookmarkStart w:id="74" w:name="page75"/>
    <w:bookmarkEnd w:id="74"/>
    <w:p>
      <w:pPr>
        <w:ind w:right="60"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Income before income taxes and noncontrolling interests attributable to the Container Ownership segment increased $27,535 (192.6%) from 2019 to 2020. The following table summarizes the variances included within this increase:</w:t>
      </w:r>
    </w:p>
    <w:p>
      <w:pPr>
        <w:spacing w:after="0" w:line="189" w:lineRule="exact"/>
        <w:rPr>
          <w:sz w:val="20"/>
          <w:szCs w:val="20"/>
          <w:color w:val="auto"/>
        </w:rPr>
      </w:pPr>
    </w:p>
    <w:tbl>
      <w:tblPr>
        <w:tblLayout w:type="fixed"/>
        <w:tblInd w:w="1760" w:type="dxa"/>
        <w:tblCellMar>
          <w:top w:w="0" w:type="dxa"/>
          <w:left w:w="0" w:type="dxa"/>
          <w:bottom w:w="0" w:type="dxa"/>
          <w:right w:w="0" w:type="dxa"/>
        </w:tblCellMar>
      </w:tblPr>
      <w:tr>
        <w:trPr>
          <w:trHeight w:val="171"/>
        </w:trPr>
        <w:tc>
          <w:tcPr>
            <w:tcW w:w="6220" w:type="dxa"/>
            <w:vAlign w:val="bottom"/>
          </w:tcPr>
          <w:p>
            <w:pPr>
              <w:spacing w:after="0"/>
              <w:rPr>
                <w:sz w:val="14"/>
                <w:szCs w:val="14"/>
                <w:color w:val="auto"/>
              </w:rPr>
            </w:pPr>
          </w:p>
        </w:tc>
        <w:tc>
          <w:tcPr>
            <w:tcW w:w="1260" w:type="dxa"/>
            <w:vAlign w:val="bottom"/>
            <w:gridSpan w:val="4"/>
          </w:tcPr>
          <w:p>
            <w:pPr>
              <w:spacing w:after="0"/>
              <w:rPr>
                <w:sz w:val="20"/>
                <w:szCs w:val="20"/>
                <w:color w:val="auto"/>
              </w:rPr>
            </w:pPr>
            <w:r>
              <w:rPr>
                <w:rFonts w:ascii="Arial" w:cs="Arial" w:eastAsia="Arial" w:hAnsi="Arial"/>
                <w:sz w:val="14"/>
                <w:szCs w:val="14"/>
                <w:b w:val="1"/>
                <w:bCs w:val="1"/>
                <w:color w:val="auto"/>
              </w:rPr>
              <w:t>From 2019 to 2020</w:t>
            </w:r>
          </w:p>
        </w:tc>
      </w:tr>
      <w:tr>
        <w:trPr>
          <w:trHeight w:val="209"/>
        </w:trPr>
        <w:tc>
          <w:tcPr>
            <w:tcW w:w="622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Decrease in interest expense</w:t>
            </w:r>
          </w:p>
        </w:tc>
        <w:tc>
          <w:tcPr>
            <w:tcW w:w="34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8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30,051</w:t>
            </w:r>
          </w:p>
        </w:tc>
        <w:tc>
          <w:tcPr>
            <w:tcW w:w="2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r>
      <w:tr>
        <w:trPr>
          <w:trHeight w:val="216"/>
        </w:trPr>
        <w:tc>
          <w:tcPr>
            <w:tcW w:w="6220" w:type="dxa"/>
            <w:vAlign w:val="bottom"/>
          </w:tcPr>
          <w:p>
            <w:pPr>
              <w:spacing w:after="0"/>
              <w:rPr>
                <w:sz w:val="20"/>
                <w:szCs w:val="20"/>
                <w:color w:val="auto"/>
              </w:rPr>
            </w:pPr>
            <w:r>
              <w:rPr>
                <w:rFonts w:ascii="Arial" w:cs="Arial" w:eastAsia="Arial" w:hAnsi="Arial"/>
                <w:sz w:val="18"/>
                <w:szCs w:val="18"/>
                <w:color w:val="auto"/>
              </w:rPr>
              <w:t>Increase in lease rental income - owned fleet</w:t>
            </w:r>
          </w:p>
        </w:tc>
        <w:tc>
          <w:tcPr>
            <w:tcW w:w="340" w:type="dxa"/>
            <w:vAlign w:val="bottom"/>
          </w:tcPr>
          <w:p>
            <w:pPr>
              <w:spacing w:after="0"/>
              <w:rPr>
                <w:sz w:val="18"/>
                <w:szCs w:val="18"/>
                <w:color w:val="auto"/>
              </w:rPr>
            </w:pPr>
          </w:p>
        </w:tc>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21,227</w:t>
            </w:r>
          </w:p>
        </w:tc>
        <w:tc>
          <w:tcPr>
            <w:tcW w:w="80" w:type="dxa"/>
            <w:vAlign w:val="bottom"/>
          </w:tcPr>
          <w:p>
            <w:pPr>
              <w:spacing w:after="0"/>
              <w:rPr>
                <w:sz w:val="18"/>
                <w:szCs w:val="18"/>
                <w:color w:val="auto"/>
              </w:rPr>
            </w:pPr>
          </w:p>
        </w:tc>
      </w:tr>
      <w:tr>
        <w:trPr>
          <w:trHeight w:val="202"/>
        </w:trPr>
        <w:tc>
          <w:tcPr>
            <w:tcW w:w="622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Change from container lessee default expense, net to container lessee</w:t>
            </w:r>
          </w:p>
        </w:tc>
        <w:tc>
          <w:tcPr>
            <w:tcW w:w="34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r>
      <w:tr>
        <w:trPr>
          <w:trHeight w:val="230"/>
        </w:trPr>
        <w:tc>
          <w:tcPr>
            <w:tcW w:w="62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default recovery, net</w:t>
            </w:r>
          </w:p>
        </w:tc>
        <w:tc>
          <w:tcPr>
            <w:tcW w:w="340" w:type="dxa"/>
            <w:vAlign w:val="bottom"/>
            <w:shd w:val="clear" w:color="auto" w:fill="CCEEFF"/>
          </w:tcPr>
          <w:p>
            <w:pPr>
              <w:spacing w:after="0"/>
              <w:rPr>
                <w:sz w:val="20"/>
                <w:szCs w:val="20"/>
                <w:color w:val="auto"/>
              </w:rPr>
            </w:pPr>
          </w:p>
        </w:tc>
        <w:tc>
          <w:tcPr>
            <w:tcW w:w="8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9,542</w:t>
            </w:r>
          </w:p>
        </w:tc>
        <w:tc>
          <w:tcPr>
            <w:tcW w:w="80" w:type="dxa"/>
            <w:vAlign w:val="bottom"/>
            <w:shd w:val="clear" w:color="auto" w:fill="CCEEFF"/>
          </w:tcPr>
          <w:p>
            <w:pPr>
              <w:spacing w:after="0"/>
              <w:rPr>
                <w:sz w:val="20"/>
                <w:szCs w:val="20"/>
                <w:color w:val="auto"/>
              </w:rPr>
            </w:pPr>
          </w:p>
        </w:tc>
      </w:tr>
      <w:tr>
        <w:trPr>
          <w:trHeight w:val="216"/>
        </w:trPr>
        <w:tc>
          <w:tcPr>
            <w:tcW w:w="6220" w:type="dxa"/>
            <w:vAlign w:val="bottom"/>
          </w:tcPr>
          <w:p>
            <w:pPr>
              <w:spacing w:after="0"/>
              <w:rPr>
                <w:sz w:val="20"/>
                <w:szCs w:val="20"/>
                <w:color w:val="auto"/>
              </w:rPr>
            </w:pPr>
            <w:r>
              <w:rPr>
                <w:rFonts w:ascii="Arial" w:cs="Arial" w:eastAsia="Arial" w:hAnsi="Arial"/>
                <w:sz w:val="18"/>
                <w:szCs w:val="18"/>
                <w:color w:val="auto"/>
              </w:rPr>
              <w:t>Decrease in unrealized loss on derivative instruments, net</w:t>
            </w:r>
          </w:p>
        </w:tc>
        <w:tc>
          <w:tcPr>
            <w:tcW w:w="340" w:type="dxa"/>
            <w:vAlign w:val="bottom"/>
          </w:tcPr>
          <w:p>
            <w:pPr>
              <w:spacing w:after="0"/>
              <w:rPr>
                <w:sz w:val="18"/>
                <w:szCs w:val="18"/>
                <w:color w:val="auto"/>
              </w:rPr>
            </w:pPr>
          </w:p>
        </w:tc>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9,398</w:t>
            </w:r>
          </w:p>
        </w:tc>
        <w:tc>
          <w:tcPr>
            <w:tcW w:w="80" w:type="dxa"/>
            <w:vAlign w:val="bottom"/>
          </w:tcPr>
          <w:p>
            <w:pPr>
              <w:spacing w:after="0"/>
              <w:rPr>
                <w:sz w:val="18"/>
                <w:szCs w:val="18"/>
                <w:color w:val="auto"/>
              </w:rPr>
            </w:pPr>
          </w:p>
        </w:tc>
      </w:tr>
      <w:tr>
        <w:trPr>
          <w:trHeight w:val="216"/>
        </w:trPr>
        <w:tc>
          <w:tcPr>
            <w:tcW w:w="6220" w:type="dxa"/>
            <w:vAlign w:val="bottom"/>
            <w:shd w:val="clear" w:color="auto" w:fill="CCEEFF"/>
          </w:tcPr>
          <w:p>
            <w:pPr>
              <w:spacing w:after="0"/>
              <w:rPr>
                <w:sz w:val="20"/>
                <w:szCs w:val="20"/>
                <w:color w:val="auto"/>
              </w:rPr>
            </w:pPr>
            <w:r>
              <w:rPr>
                <w:rFonts w:ascii="Arial" w:cs="Arial" w:eastAsia="Arial" w:hAnsi="Arial"/>
                <w:sz w:val="18"/>
                <w:szCs w:val="18"/>
                <w:color w:val="auto"/>
              </w:rPr>
              <w:t>Increase in gain on sale of owned fleet containers, net</w:t>
            </w:r>
          </w:p>
        </w:tc>
        <w:tc>
          <w:tcPr>
            <w:tcW w:w="34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5,833</w:t>
            </w:r>
          </w:p>
        </w:tc>
        <w:tc>
          <w:tcPr>
            <w:tcW w:w="80" w:type="dxa"/>
            <w:vAlign w:val="bottom"/>
            <w:shd w:val="clear" w:color="auto" w:fill="CCEEFF"/>
          </w:tcPr>
          <w:p>
            <w:pPr>
              <w:spacing w:after="0"/>
              <w:rPr>
                <w:sz w:val="18"/>
                <w:szCs w:val="18"/>
                <w:color w:val="auto"/>
              </w:rPr>
            </w:pPr>
          </w:p>
        </w:tc>
      </w:tr>
      <w:tr>
        <w:trPr>
          <w:trHeight w:val="216"/>
        </w:trPr>
        <w:tc>
          <w:tcPr>
            <w:tcW w:w="6220" w:type="dxa"/>
            <w:vAlign w:val="bottom"/>
          </w:tcPr>
          <w:p>
            <w:pPr>
              <w:spacing w:after="0"/>
              <w:rPr>
                <w:sz w:val="20"/>
                <w:szCs w:val="20"/>
                <w:color w:val="auto"/>
              </w:rPr>
            </w:pPr>
            <w:r>
              <w:rPr>
                <w:rFonts w:ascii="Arial" w:cs="Arial" w:eastAsia="Arial" w:hAnsi="Arial"/>
                <w:sz w:val="18"/>
                <w:szCs w:val="18"/>
                <w:color w:val="auto"/>
              </w:rPr>
              <w:t>Change from bad debt expense, net to bad debt recovery, net</w:t>
            </w:r>
          </w:p>
        </w:tc>
        <w:tc>
          <w:tcPr>
            <w:tcW w:w="340" w:type="dxa"/>
            <w:vAlign w:val="bottom"/>
          </w:tcPr>
          <w:p>
            <w:pPr>
              <w:spacing w:after="0"/>
              <w:rPr>
                <w:sz w:val="18"/>
                <w:szCs w:val="18"/>
                <w:color w:val="auto"/>
              </w:rPr>
            </w:pPr>
          </w:p>
        </w:tc>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3,653</w:t>
            </w:r>
          </w:p>
        </w:tc>
        <w:tc>
          <w:tcPr>
            <w:tcW w:w="80" w:type="dxa"/>
            <w:vAlign w:val="bottom"/>
          </w:tcPr>
          <w:p>
            <w:pPr>
              <w:spacing w:after="0"/>
              <w:rPr>
                <w:sz w:val="18"/>
                <w:szCs w:val="18"/>
                <w:color w:val="auto"/>
              </w:rPr>
            </w:pPr>
          </w:p>
        </w:tc>
      </w:tr>
      <w:tr>
        <w:trPr>
          <w:trHeight w:val="216"/>
        </w:trPr>
        <w:tc>
          <w:tcPr>
            <w:tcW w:w="6220" w:type="dxa"/>
            <w:vAlign w:val="bottom"/>
            <w:shd w:val="clear" w:color="auto" w:fill="CCEEFF"/>
          </w:tcPr>
          <w:p>
            <w:pPr>
              <w:spacing w:after="0"/>
              <w:rPr>
                <w:sz w:val="20"/>
                <w:szCs w:val="20"/>
                <w:color w:val="auto"/>
              </w:rPr>
            </w:pPr>
            <w:r>
              <w:rPr>
                <w:rFonts w:ascii="Arial" w:cs="Arial" w:eastAsia="Arial" w:hAnsi="Arial"/>
                <w:sz w:val="18"/>
                <w:szCs w:val="18"/>
                <w:color w:val="auto"/>
              </w:rPr>
              <w:t>Gain on insurance recovery and legal settlement in 2019</w:t>
            </w:r>
          </w:p>
        </w:tc>
        <w:tc>
          <w:tcPr>
            <w:tcW w:w="340" w:type="dxa"/>
            <w:vAlign w:val="bottom"/>
            <w:shd w:val="clear" w:color="auto" w:fill="CCEEFF"/>
          </w:tcPr>
          <w:p>
            <w:pPr>
              <w:spacing w:after="0"/>
              <w:rPr>
                <w:sz w:val="18"/>
                <w:szCs w:val="18"/>
                <w:color w:val="auto"/>
              </w:rPr>
            </w:pPr>
          </w:p>
        </w:tc>
        <w:tc>
          <w:tcPr>
            <w:tcW w:w="92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(14,881)</w:t>
            </w:r>
          </w:p>
        </w:tc>
      </w:tr>
      <w:tr>
        <w:trPr>
          <w:trHeight w:val="202"/>
        </w:trPr>
        <w:tc>
          <w:tcPr>
            <w:tcW w:w="6220" w:type="dxa"/>
            <w:vAlign w:val="bottom"/>
          </w:tcPr>
          <w:p>
            <w:pPr>
              <w:spacing w:after="0" w:line="201" w:lineRule="exact"/>
              <w:rPr>
                <w:sz w:val="20"/>
                <w:szCs w:val="20"/>
                <w:color w:val="auto"/>
              </w:rPr>
            </w:pPr>
            <w:r>
              <w:rPr>
                <w:rFonts w:ascii="Arial" w:cs="Arial" w:eastAsia="Arial" w:hAnsi="Arial"/>
                <w:sz w:val="18"/>
                <w:szCs w:val="18"/>
                <w:color w:val="auto"/>
              </w:rPr>
              <w:t>Change from realized gain on derivative instruments, net to realized loss</w:t>
            </w:r>
          </w:p>
        </w:tc>
        <w:tc>
          <w:tcPr>
            <w:tcW w:w="34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r>
      <w:tr>
        <w:trPr>
          <w:trHeight w:val="230"/>
        </w:trPr>
        <w:tc>
          <w:tcPr>
            <w:tcW w:w="6220" w:type="dxa"/>
            <w:vAlign w:val="bottom"/>
          </w:tcPr>
          <w:p>
            <w:pPr>
              <w:ind w:left="180"/>
              <w:spacing w:after="0"/>
              <w:rPr>
                <w:sz w:val="20"/>
                <w:szCs w:val="20"/>
                <w:color w:val="auto"/>
              </w:rPr>
            </w:pPr>
            <w:r>
              <w:rPr>
                <w:rFonts w:ascii="Arial" w:cs="Arial" w:eastAsia="Arial" w:hAnsi="Arial"/>
                <w:sz w:val="18"/>
                <w:szCs w:val="18"/>
                <w:color w:val="auto"/>
              </w:rPr>
              <w:t>on derivative instruments, net</w:t>
            </w:r>
          </w:p>
        </w:tc>
        <w:tc>
          <w:tcPr>
            <w:tcW w:w="340" w:type="dxa"/>
            <w:vAlign w:val="bottom"/>
          </w:tcPr>
          <w:p>
            <w:pPr>
              <w:spacing w:after="0"/>
              <w:rPr>
                <w:sz w:val="20"/>
                <w:szCs w:val="20"/>
                <w:color w:val="auto"/>
              </w:rPr>
            </w:pPr>
          </w:p>
        </w:tc>
        <w:tc>
          <w:tcPr>
            <w:tcW w:w="920" w:type="dxa"/>
            <w:vAlign w:val="bottom"/>
            <w:gridSpan w:val="3"/>
          </w:tcPr>
          <w:p>
            <w:pPr>
              <w:jc w:val="right"/>
              <w:ind w:right="40"/>
              <w:spacing w:after="0"/>
              <w:rPr>
                <w:sz w:val="20"/>
                <w:szCs w:val="20"/>
                <w:color w:val="auto"/>
              </w:rPr>
            </w:pPr>
            <w:r>
              <w:rPr>
                <w:rFonts w:ascii="Arial" w:cs="Arial" w:eastAsia="Arial" w:hAnsi="Arial"/>
                <w:sz w:val="18"/>
                <w:szCs w:val="18"/>
                <w:color w:val="auto"/>
              </w:rPr>
              <w:t>(14,241)</w:t>
            </w:r>
          </w:p>
        </w:tc>
      </w:tr>
      <w:tr>
        <w:trPr>
          <w:trHeight w:val="216"/>
        </w:trPr>
        <w:tc>
          <w:tcPr>
            <w:tcW w:w="6220" w:type="dxa"/>
            <w:vAlign w:val="bottom"/>
            <w:shd w:val="clear" w:color="auto" w:fill="CCEEFF"/>
          </w:tcPr>
          <w:p>
            <w:pPr>
              <w:spacing w:after="0"/>
              <w:rPr>
                <w:sz w:val="20"/>
                <w:szCs w:val="20"/>
                <w:color w:val="auto"/>
              </w:rPr>
            </w:pPr>
            <w:r>
              <w:rPr>
                <w:rFonts w:ascii="Arial" w:cs="Arial" w:eastAsia="Arial" w:hAnsi="Arial"/>
                <w:sz w:val="18"/>
                <w:szCs w:val="18"/>
                <w:color w:val="auto"/>
              </w:rPr>
              <w:t>Increase in direct container expense</w:t>
            </w:r>
          </w:p>
        </w:tc>
        <w:tc>
          <w:tcPr>
            <w:tcW w:w="340" w:type="dxa"/>
            <w:vAlign w:val="bottom"/>
            <w:shd w:val="clear" w:color="auto" w:fill="CCEEFF"/>
          </w:tcPr>
          <w:p>
            <w:pPr>
              <w:spacing w:after="0"/>
              <w:rPr>
                <w:sz w:val="18"/>
                <w:szCs w:val="18"/>
                <w:color w:val="auto"/>
              </w:rPr>
            </w:pPr>
          </w:p>
        </w:tc>
        <w:tc>
          <w:tcPr>
            <w:tcW w:w="92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(11,017)</w:t>
            </w:r>
          </w:p>
        </w:tc>
      </w:tr>
      <w:tr>
        <w:trPr>
          <w:trHeight w:val="202"/>
        </w:trPr>
        <w:tc>
          <w:tcPr>
            <w:tcW w:w="6220" w:type="dxa"/>
            <w:vAlign w:val="bottom"/>
          </w:tcPr>
          <w:p>
            <w:pPr>
              <w:spacing w:after="0" w:line="201" w:lineRule="exact"/>
              <w:rPr>
                <w:sz w:val="20"/>
                <w:szCs w:val="20"/>
                <w:color w:val="auto"/>
              </w:rPr>
            </w:pPr>
            <w:r>
              <w:rPr>
                <w:rFonts w:ascii="Arial" w:cs="Arial" w:eastAsia="Arial" w:hAnsi="Arial"/>
                <w:sz w:val="18"/>
                <w:szCs w:val="18"/>
                <w:color w:val="auto"/>
              </w:rPr>
              <w:t>Write-off of unamortized deferred debt issuance costs and bond discounts</w:t>
            </w:r>
          </w:p>
        </w:tc>
        <w:tc>
          <w:tcPr>
            <w:tcW w:w="34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r>
      <w:tr>
        <w:trPr>
          <w:trHeight w:val="230"/>
        </w:trPr>
        <w:tc>
          <w:tcPr>
            <w:tcW w:w="6220" w:type="dxa"/>
            <w:vAlign w:val="bottom"/>
          </w:tcPr>
          <w:p>
            <w:pPr>
              <w:ind w:left="180"/>
              <w:spacing w:after="0"/>
              <w:rPr>
                <w:sz w:val="20"/>
                <w:szCs w:val="20"/>
                <w:color w:val="auto"/>
              </w:rPr>
            </w:pPr>
            <w:r>
              <w:rPr>
                <w:rFonts w:ascii="Arial" w:cs="Arial" w:eastAsia="Arial" w:hAnsi="Arial"/>
                <w:sz w:val="18"/>
                <w:szCs w:val="18"/>
                <w:color w:val="auto"/>
              </w:rPr>
              <w:t>in 2020</w:t>
            </w:r>
          </w:p>
        </w:tc>
        <w:tc>
          <w:tcPr>
            <w:tcW w:w="340" w:type="dxa"/>
            <w:vAlign w:val="bottom"/>
          </w:tcPr>
          <w:p>
            <w:pPr>
              <w:spacing w:after="0"/>
              <w:rPr>
                <w:sz w:val="20"/>
                <w:szCs w:val="20"/>
                <w:color w:val="auto"/>
              </w:rPr>
            </w:pPr>
          </w:p>
        </w:tc>
        <w:tc>
          <w:tcPr>
            <w:tcW w:w="920" w:type="dxa"/>
            <w:vAlign w:val="bottom"/>
            <w:gridSpan w:val="3"/>
          </w:tcPr>
          <w:p>
            <w:pPr>
              <w:jc w:val="right"/>
              <w:ind w:right="40"/>
              <w:spacing w:after="0"/>
              <w:rPr>
                <w:sz w:val="20"/>
                <w:szCs w:val="20"/>
                <w:color w:val="auto"/>
              </w:rPr>
            </w:pPr>
            <w:r>
              <w:rPr>
                <w:rFonts w:ascii="Arial" w:cs="Arial" w:eastAsia="Arial" w:hAnsi="Arial"/>
                <w:sz w:val="18"/>
                <w:szCs w:val="18"/>
                <w:color w:val="auto"/>
              </w:rPr>
              <w:t>(8,750)</w:t>
            </w:r>
          </w:p>
        </w:tc>
      </w:tr>
      <w:tr>
        <w:trPr>
          <w:trHeight w:val="216"/>
        </w:trPr>
        <w:tc>
          <w:tcPr>
            <w:tcW w:w="6220" w:type="dxa"/>
            <w:vAlign w:val="bottom"/>
            <w:shd w:val="clear" w:color="auto" w:fill="CCEEFF"/>
          </w:tcPr>
          <w:p>
            <w:pPr>
              <w:spacing w:after="0"/>
              <w:rPr>
                <w:sz w:val="20"/>
                <w:szCs w:val="20"/>
                <w:color w:val="auto"/>
              </w:rPr>
            </w:pPr>
            <w:r>
              <w:rPr>
                <w:rFonts w:ascii="Arial" w:cs="Arial" w:eastAsia="Arial" w:hAnsi="Arial"/>
                <w:sz w:val="18"/>
                <w:szCs w:val="18"/>
                <w:color w:val="auto"/>
              </w:rPr>
              <w:t>Decrease in interest income</w:t>
            </w:r>
          </w:p>
        </w:tc>
        <w:tc>
          <w:tcPr>
            <w:tcW w:w="340" w:type="dxa"/>
            <w:vAlign w:val="bottom"/>
            <w:shd w:val="clear" w:color="auto" w:fill="CCEEFF"/>
          </w:tcPr>
          <w:p>
            <w:pPr>
              <w:spacing w:after="0"/>
              <w:rPr>
                <w:sz w:val="18"/>
                <w:szCs w:val="18"/>
                <w:color w:val="auto"/>
              </w:rPr>
            </w:pPr>
          </w:p>
        </w:tc>
        <w:tc>
          <w:tcPr>
            <w:tcW w:w="92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(1,605)</w:t>
            </w:r>
          </w:p>
        </w:tc>
      </w:tr>
      <w:tr>
        <w:trPr>
          <w:trHeight w:val="216"/>
        </w:trPr>
        <w:tc>
          <w:tcPr>
            <w:tcW w:w="6220" w:type="dxa"/>
            <w:vAlign w:val="bottom"/>
          </w:tcPr>
          <w:p>
            <w:pPr>
              <w:spacing w:after="0"/>
              <w:rPr>
                <w:sz w:val="20"/>
                <w:szCs w:val="20"/>
                <w:color w:val="auto"/>
              </w:rPr>
            </w:pPr>
            <w:r>
              <w:rPr>
                <w:rFonts w:ascii="Arial" w:cs="Arial" w:eastAsia="Arial" w:hAnsi="Arial"/>
                <w:sz w:val="18"/>
                <w:szCs w:val="18"/>
                <w:color w:val="auto"/>
              </w:rPr>
              <w:t>Increase in depreciation expense</w:t>
            </w:r>
          </w:p>
        </w:tc>
        <w:tc>
          <w:tcPr>
            <w:tcW w:w="340" w:type="dxa"/>
            <w:vAlign w:val="bottom"/>
          </w:tcPr>
          <w:p>
            <w:pPr>
              <w:spacing w:after="0"/>
              <w:rPr>
                <w:sz w:val="18"/>
                <w:szCs w:val="18"/>
                <w:color w:val="auto"/>
              </w:rPr>
            </w:pPr>
          </w:p>
        </w:tc>
        <w:tc>
          <w:tcPr>
            <w:tcW w:w="920" w:type="dxa"/>
            <w:vAlign w:val="bottom"/>
            <w:gridSpan w:val="3"/>
          </w:tcPr>
          <w:p>
            <w:pPr>
              <w:jc w:val="right"/>
              <w:ind w:right="40"/>
              <w:spacing w:after="0"/>
              <w:rPr>
                <w:sz w:val="20"/>
                <w:szCs w:val="20"/>
                <w:color w:val="auto"/>
              </w:rPr>
            </w:pPr>
            <w:r>
              <w:rPr>
                <w:rFonts w:ascii="Arial" w:cs="Arial" w:eastAsia="Arial" w:hAnsi="Arial"/>
                <w:sz w:val="18"/>
                <w:szCs w:val="18"/>
                <w:color w:val="auto"/>
              </w:rPr>
              <w:t>(1,569)</w:t>
            </w:r>
          </w:p>
        </w:tc>
      </w:tr>
      <w:tr>
        <w:trPr>
          <w:trHeight w:val="216"/>
        </w:trPr>
        <w:tc>
          <w:tcPr>
            <w:tcW w:w="6220" w:type="dxa"/>
            <w:vAlign w:val="bottom"/>
            <w:shd w:val="clear" w:color="auto" w:fill="CCEEFF"/>
          </w:tcPr>
          <w:p>
            <w:pPr>
              <w:spacing w:after="0"/>
              <w:rPr>
                <w:sz w:val="20"/>
                <w:szCs w:val="20"/>
                <w:color w:val="auto"/>
              </w:rPr>
            </w:pPr>
            <w:r>
              <w:rPr>
                <w:rFonts w:ascii="Arial" w:cs="Arial" w:eastAsia="Arial" w:hAnsi="Arial"/>
                <w:sz w:val="18"/>
                <w:szCs w:val="18"/>
                <w:color w:val="auto"/>
              </w:rPr>
              <w:t>Other</w:t>
            </w:r>
          </w:p>
        </w:tc>
        <w:tc>
          <w:tcPr>
            <w:tcW w:w="340" w:type="dxa"/>
            <w:vAlign w:val="bottom"/>
            <w:shd w:val="clear" w:color="auto" w:fill="CCEEFF"/>
          </w:tcPr>
          <w:p>
            <w:pPr>
              <w:spacing w:after="0"/>
              <w:rPr>
                <w:sz w:val="18"/>
                <w:szCs w:val="18"/>
                <w:color w:val="auto"/>
              </w:rPr>
            </w:pPr>
          </w:p>
        </w:tc>
        <w:tc>
          <w:tcPr>
            <w:tcW w:w="92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(106)</w:t>
            </w:r>
          </w:p>
        </w:tc>
      </w:tr>
      <w:tr>
        <w:trPr>
          <w:trHeight w:val="223"/>
        </w:trPr>
        <w:tc>
          <w:tcPr>
            <w:tcW w:w="6220" w:type="dxa"/>
            <w:vAlign w:val="bottom"/>
          </w:tcPr>
          <w:p>
            <w:pPr>
              <w:spacing w:after="0"/>
              <w:rPr>
                <w:sz w:val="19"/>
                <w:szCs w:val="19"/>
                <w:color w:val="auto"/>
              </w:rPr>
            </w:pPr>
          </w:p>
        </w:tc>
        <w:tc>
          <w:tcPr>
            <w:tcW w:w="34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27,535</w:t>
            </w:r>
          </w:p>
        </w:tc>
        <w:tc>
          <w:tcPr>
            <w:tcW w:w="20" w:type="dxa"/>
            <w:vAlign w:val="bottom"/>
            <w:tcBorders>
              <w:bottom w:val="single" w:sz="8" w:color="auto"/>
            </w:tcBorders>
          </w:tcPr>
          <w:p>
            <w:pPr>
              <w:spacing w:after="0"/>
              <w:rPr>
                <w:sz w:val="19"/>
                <w:szCs w:val="19"/>
                <w:color w:val="auto"/>
              </w:rPr>
            </w:pPr>
          </w:p>
        </w:tc>
        <w:tc>
          <w:tcPr>
            <w:tcW w:w="80" w:type="dxa"/>
            <w:vAlign w:val="bottom"/>
          </w:tcPr>
          <w:p>
            <w:pPr>
              <w:spacing w:after="0"/>
              <w:rPr>
                <w:sz w:val="19"/>
                <w:szCs w:val="19"/>
                <w:color w:val="auto"/>
              </w:rPr>
            </w:pPr>
          </w:p>
        </w:tc>
      </w:tr>
      <w:tr>
        <w:trPr>
          <w:trHeight w:val="20"/>
        </w:trPr>
        <w:tc>
          <w:tcPr>
            <w:tcW w:w="622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bl>
    <w:p>
      <w:pPr>
        <w:spacing w:after="0" w:line="215" w:lineRule="exact"/>
        <w:rPr>
          <w:sz w:val="20"/>
          <w:szCs w:val="20"/>
          <w:color w:val="auto"/>
        </w:rPr>
      </w:pPr>
    </w:p>
    <w:p>
      <w:pPr>
        <w:ind w:firstLine="440"/>
        <w:spacing w:after="0" w:line="277" w:lineRule="auto"/>
        <w:rPr>
          <w:sz w:val="20"/>
          <w:szCs w:val="20"/>
          <w:color w:val="auto"/>
        </w:rPr>
      </w:pPr>
      <w:r>
        <w:rPr>
          <w:rFonts w:ascii="Arial" w:cs="Arial" w:eastAsia="Arial" w:hAnsi="Arial"/>
          <w:sz w:val="18"/>
          <w:szCs w:val="18"/>
          <w:color w:val="auto"/>
        </w:rPr>
        <w:t>Income before income taxes and noncontrolling interests attributable to the Container Management segment decreased $4,106 (-14.8%) from 2019 to 2020. The following table summarizes the variances included within this increase:</w:t>
      </w:r>
    </w:p>
    <w:p>
      <w:pPr>
        <w:sectPr>
          <w:pgSz w:w="11900" w:h="16838" w:orient="portrait"/>
          <w:cols w:equalWidth="0" w:num="1">
            <w:col w:w="11000"/>
          </w:cols>
          <w:pgMar w:left="440" w:top="274" w:right="459" w:bottom="1440" w:gutter="0" w:footer="0" w:header="0"/>
        </w:sectPr>
      </w:pPr>
    </w:p>
    <w:p>
      <w:pPr>
        <w:spacing w:after="0" w:line="346" w:lineRule="exact"/>
        <w:rPr>
          <w:sz w:val="20"/>
          <w:szCs w:val="20"/>
          <w:color w:val="auto"/>
        </w:rPr>
      </w:pPr>
    </w:p>
    <w:p>
      <w:pPr>
        <w:ind w:left="1760" w:right="500"/>
        <w:spacing w:after="0" w:line="266" w:lineRule="auto"/>
        <w:rPr>
          <w:sz w:val="20"/>
          <w:szCs w:val="20"/>
          <w:color w:val="auto"/>
        </w:rPr>
      </w:pPr>
      <w:r>
        <w:rPr>
          <w:rFonts w:ascii="Arial" w:cs="Arial" w:eastAsia="Arial" w:hAnsi="Arial"/>
          <w:sz w:val="18"/>
          <w:szCs w:val="18"/>
          <w:color w:val="auto"/>
        </w:rPr>
        <w:t>Decrease in distribution expense to managed fleet container investors Increase in management fees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1120140</wp:posOffset>
            </wp:positionH>
            <wp:positionV relativeFrom="paragraph">
              <wp:posOffset>-281305</wp:posOffset>
            </wp:positionV>
            <wp:extent cx="4749165" cy="14605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4749165" cy="146050"/>
                    </a:xfrm>
                    <a:prstGeom prst="rect">
                      <a:avLst/>
                    </a:prstGeom>
                    <a:noFill/>
                  </pic:spPr>
                </pic:pic>
              </a:graphicData>
            </a:graphic>
          </wp:anchor>
        </w:drawing>
        <w:drawing>
          <wp:anchor simplePos="0" relativeHeight="251657728" behindDoc="1" locked="0" layoutInCell="0" allowOverlap="1">
            <wp:simplePos x="0" y="0"/>
            <wp:positionH relativeFrom="column">
              <wp:posOffset>1120140</wp:posOffset>
            </wp:positionH>
            <wp:positionV relativeFrom="paragraph">
              <wp:posOffset>635</wp:posOffset>
            </wp:positionV>
            <wp:extent cx="4749165" cy="13716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4749165" cy="137160"/>
                    </a:xfrm>
                    <a:prstGeom prst="rect">
                      <a:avLst/>
                    </a:prstGeom>
                    <a:noFill/>
                  </pic:spPr>
                </pic:pic>
              </a:graphicData>
            </a:graphic>
          </wp:anchor>
        </w:drawing>
      </w:r>
    </w:p>
    <w:p>
      <w:pPr>
        <w:ind w:left="1760"/>
        <w:spacing w:after="0"/>
        <w:rPr>
          <w:sz w:val="20"/>
          <w:szCs w:val="20"/>
          <w:color w:val="auto"/>
        </w:rPr>
      </w:pPr>
      <w:r>
        <w:rPr>
          <w:rFonts w:ascii="Arial" w:cs="Arial" w:eastAsia="Arial" w:hAnsi="Arial"/>
          <w:sz w:val="18"/>
          <w:szCs w:val="18"/>
          <w:color w:val="auto"/>
        </w:rPr>
        <w:t>Decrease in lease rental income - managed fleet</w:t>
      </w:r>
    </w:p>
    <w:p>
      <w:pPr>
        <w:spacing w:after="0" w:line="9" w:lineRule="exact"/>
        <w:rPr>
          <w:sz w:val="20"/>
          <w:szCs w:val="20"/>
          <w:color w:val="auto"/>
        </w:rPr>
      </w:pPr>
    </w:p>
    <w:p>
      <w:pPr>
        <w:ind w:left="1760"/>
        <w:spacing w:after="0"/>
        <w:rPr>
          <w:sz w:val="20"/>
          <w:szCs w:val="20"/>
          <w:color w:val="auto"/>
        </w:rPr>
      </w:pPr>
      <w:r>
        <w:rPr>
          <w:rFonts w:ascii="Arial" w:cs="Arial" w:eastAsia="Arial" w:hAnsi="Arial"/>
          <w:sz w:val="18"/>
          <w:szCs w:val="18"/>
          <w:color w:val="auto"/>
        </w:rPr>
        <w:t>Increase in general and administrative expense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1120140</wp:posOffset>
            </wp:positionH>
            <wp:positionV relativeFrom="paragraph">
              <wp:posOffset>5715</wp:posOffset>
            </wp:positionV>
            <wp:extent cx="4749165" cy="13716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4749165" cy="137160"/>
                    </a:xfrm>
                    <a:prstGeom prst="rect">
                      <a:avLst/>
                    </a:prstGeom>
                    <a:noFill/>
                  </pic:spPr>
                </pic:pic>
              </a:graphicData>
            </a:graphic>
          </wp:anchor>
        </w:drawing>
      </w:r>
    </w:p>
    <w:p>
      <w:pPr>
        <w:ind w:left="1760" w:right="680"/>
        <w:spacing w:after="0" w:line="260" w:lineRule="auto"/>
        <w:rPr>
          <w:sz w:val="20"/>
          <w:szCs w:val="20"/>
          <w:color w:val="auto"/>
        </w:rPr>
      </w:pPr>
      <w:r>
        <w:rPr>
          <w:rFonts w:ascii="Arial" w:cs="Arial" w:eastAsia="Arial" w:hAnsi="Arial"/>
          <w:sz w:val="18"/>
          <w:szCs w:val="18"/>
          <w:color w:val="auto"/>
        </w:rPr>
        <w:t>Gain on settlement of pre-existing management agreement in 2019 Other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1120140</wp:posOffset>
            </wp:positionH>
            <wp:positionV relativeFrom="paragraph">
              <wp:posOffset>6985</wp:posOffset>
            </wp:positionV>
            <wp:extent cx="4749165" cy="13716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4749165" cy="13716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69" w:lineRule="exact"/>
        <w:rPr>
          <w:sz w:val="20"/>
          <w:szCs w:val="20"/>
          <w:color w:val="auto"/>
        </w:rPr>
      </w:pPr>
    </w:p>
    <w:p>
      <w:pPr>
        <w:spacing w:after="0"/>
        <w:rPr>
          <w:sz w:val="20"/>
          <w:szCs w:val="20"/>
          <w:color w:val="auto"/>
        </w:rPr>
      </w:pPr>
      <w:r>
        <w:rPr>
          <w:rFonts w:ascii="Arial" w:cs="Arial" w:eastAsia="Arial" w:hAnsi="Arial"/>
          <w:sz w:val="13"/>
          <w:szCs w:val="13"/>
          <w:b w:val="1"/>
          <w:bCs w:val="1"/>
          <w:u w:val="single" w:color="auto"/>
          <w:color w:val="auto"/>
        </w:rPr>
        <w:t>From 2019 to 2020</w:t>
      </w:r>
    </w:p>
    <w:p>
      <w:pPr>
        <w:spacing w:after="0" w:line="37" w:lineRule="exact"/>
        <w:rPr>
          <w:sz w:val="20"/>
          <w:szCs w:val="20"/>
          <w:color w:val="auto"/>
        </w:rPr>
      </w:pPr>
    </w:p>
    <w:p>
      <w:pPr>
        <w:ind w:left="660" w:hanging="652"/>
        <w:spacing w:after="0"/>
        <w:tabs>
          <w:tab w:leader="none" w:pos="660" w:val="left"/>
        </w:tabs>
        <w:numPr>
          <w:ilvl w:val="0"/>
          <w:numId w:val="48"/>
        </w:numPr>
        <w:rPr>
          <w:rFonts w:ascii="Arial" w:cs="Arial" w:eastAsia="Arial" w:hAnsi="Arial"/>
          <w:sz w:val="18"/>
          <w:szCs w:val="18"/>
          <w:color w:val="auto"/>
        </w:rPr>
      </w:pPr>
      <w:r>
        <w:rPr>
          <w:rFonts w:ascii="Arial" w:cs="Arial" w:eastAsia="Arial" w:hAnsi="Arial"/>
          <w:sz w:val="18"/>
          <w:szCs w:val="18"/>
          <w:color w:val="auto"/>
        </w:rPr>
        <w:t>36,547</w:t>
      </w:r>
    </w:p>
    <w:p>
      <w:pPr>
        <w:spacing w:after="0" w:line="7" w:lineRule="exact"/>
        <w:rPr>
          <w:rFonts w:ascii="Arial" w:cs="Arial" w:eastAsia="Arial" w:hAnsi="Arial"/>
          <w:sz w:val="18"/>
          <w:szCs w:val="18"/>
          <w:color w:val="auto"/>
        </w:rPr>
      </w:pPr>
    </w:p>
    <w:p>
      <w:pPr>
        <w:ind w:left="760"/>
        <w:spacing w:after="0"/>
        <w:rPr>
          <w:rFonts w:ascii="Arial" w:cs="Arial" w:eastAsia="Arial" w:hAnsi="Arial"/>
          <w:sz w:val="18"/>
          <w:szCs w:val="18"/>
          <w:color w:val="auto"/>
        </w:rPr>
      </w:pPr>
      <w:r>
        <w:rPr>
          <w:rFonts w:ascii="Arial" w:cs="Arial" w:eastAsia="Arial" w:hAnsi="Arial"/>
          <w:sz w:val="18"/>
          <w:szCs w:val="18"/>
          <w:color w:val="auto"/>
        </w:rPr>
        <w:t>5,168</w:t>
      </w:r>
    </w:p>
    <w:p>
      <w:pPr>
        <w:spacing w:after="0" w:line="9" w:lineRule="exact"/>
        <w:rPr>
          <w:sz w:val="20"/>
          <w:szCs w:val="20"/>
          <w:color w:val="auto"/>
        </w:rPr>
      </w:pPr>
    </w:p>
    <w:p>
      <w:pPr>
        <w:jc w:val="right"/>
        <w:ind w:right="1800"/>
        <w:spacing w:after="0"/>
        <w:rPr>
          <w:sz w:val="20"/>
          <w:szCs w:val="20"/>
          <w:color w:val="auto"/>
        </w:rPr>
      </w:pPr>
      <w:r>
        <w:rPr>
          <w:rFonts w:ascii="Arial" w:cs="Arial" w:eastAsia="Arial" w:hAnsi="Arial"/>
          <w:sz w:val="18"/>
          <w:szCs w:val="18"/>
          <w:color w:val="auto"/>
        </w:rPr>
        <w:t>(39,453)</w:t>
      </w:r>
    </w:p>
    <w:p>
      <w:pPr>
        <w:spacing w:after="0" w:line="9" w:lineRule="exact"/>
        <w:rPr>
          <w:sz w:val="20"/>
          <w:szCs w:val="20"/>
          <w:color w:val="auto"/>
        </w:rPr>
      </w:pPr>
    </w:p>
    <w:p>
      <w:pPr>
        <w:jc w:val="right"/>
        <w:ind w:right="1800"/>
        <w:spacing w:after="0"/>
        <w:rPr>
          <w:sz w:val="20"/>
          <w:szCs w:val="20"/>
          <w:color w:val="auto"/>
        </w:rPr>
      </w:pPr>
      <w:r>
        <w:rPr>
          <w:rFonts w:ascii="Arial" w:cs="Arial" w:eastAsia="Arial" w:hAnsi="Arial"/>
          <w:sz w:val="18"/>
          <w:szCs w:val="18"/>
          <w:color w:val="auto"/>
        </w:rPr>
        <w:t>(3,821)</w:t>
      </w:r>
    </w:p>
    <w:p>
      <w:pPr>
        <w:spacing w:after="0" w:line="9" w:lineRule="exact"/>
        <w:rPr>
          <w:sz w:val="20"/>
          <w:szCs w:val="20"/>
          <w:color w:val="auto"/>
        </w:rPr>
      </w:pPr>
    </w:p>
    <w:p>
      <w:pPr>
        <w:jc w:val="right"/>
        <w:ind w:right="1800"/>
        <w:spacing w:after="0"/>
        <w:rPr>
          <w:sz w:val="20"/>
          <w:szCs w:val="20"/>
          <w:color w:val="auto"/>
        </w:rPr>
      </w:pPr>
      <w:r>
        <w:rPr>
          <w:rFonts w:ascii="Arial" w:cs="Arial" w:eastAsia="Arial" w:hAnsi="Arial"/>
          <w:sz w:val="18"/>
          <w:szCs w:val="18"/>
          <w:color w:val="auto"/>
        </w:rPr>
        <w:t>(1,823)</w:t>
      </w:r>
    </w:p>
    <w:p>
      <w:pPr>
        <w:spacing w:after="0" w:line="9" w:lineRule="exact"/>
        <w:rPr>
          <w:sz w:val="20"/>
          <w:szCs w:val="20"/>
          <w:color w:val="auto"/>
        </w:rPr>
      </w:pPr>
    </w:p>
    <w:p>
      <w:pPr>
        <w:jc w:val="right"/>
        <w:ind w:right="1800"/>
        <w:spacing w:after="0"/>
        <w:rPr>
          <w:sz w:val="20"/>
          <w:szCs w:val="20"/>
          <w:color w:val="auto"/>
        </w:rPr>
      </w:pPr>
      <w:r>
        <w:rPr>
          <w:rFonts w:ascii="Arial" w:cs="Arial" w:eastAsia="Arial" w:hAnsi="Arial"/>
          <w:sz w:val="18"/>
          <w:szCs w:val="18"/>
          <w:color w:val="auto"/>
        </w:rPr>
        <w:t>(724)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5715</wp:posOffset>
            </wp:positionV>
            <wp:extent cx="728345" cy="889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728345" cy="8890"/>
                    </a:xfrm>
                    <a:prstGeom prst="rect">
                      <a:avLst/>
                    </a:prstGeom>
                    <a:noFill/>
                  </pic:spPr>
                </pic:pic>
              </a:graphicData>
            </a:graphic>
          </wp:anchor>
        </w:drawing>
      </w:r>
    </w:p>
    <w:p>
      <w:pPr>
        <w:spacing w:after="0" w:line="2" w:lineRule="exact"/>
        <w:rPr>
          <w:sz w:val="20"/>
          <w:szCs w:val="20"/>
          <w:color w:val="auto"/>
        </w:rPr>
      </w:pPr>
    </w:p>
    <w:p>
      <w:pPr>
        <w:ind w:left="700" w:hanging="692"/>
        <w:spacing w:after="0"/>
        <w:tabs>
          <w:tab w:leader="none" w:pos="700" w:val="left"/>
        </w:tabs>
        <w:numPr>
          <w:ilvl w:val="0"/>
          <w:numId w:val="49"/>
        </w:numPr>
        <w:rPr>
          <w:rFonts w:ascii="Arial" w:cs="Arial" w:eastAsia="Arial" w:hAnsi="Arial"/>
          <w:sz w:val="16"/>
          <w:szCs w:val="16"/>
          <w:color w:val="auto"/>
        </w:rPr>
      </w:pPr>
      <w:r>
        <w:rPr>
          <w:rFonts w:ascii="Arial" w:cs="Arial" w:eastAsia="Arial" w:hAnsi="Arial"/>
          <w:sz w:val="16"/>
          <w:szCs w:val="16"/>
          <w:color w:val="auto"/>
        </w:rPr>
        <w:t>(4,106)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29210</wp:posOffset>
            </wp:positionV>
            <wp:extent cx="728345" cy="825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72834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46355</wp:posOffset>
            </wp:positionV>
            <wp:extent cx="728345" cy="889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728345" cy="889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7260" w:space="720"/>
            <w:col w:w="3020"/>
          </w:cols>
          <w:pgMar w:left="440" w:top="274" w:right="459" w:bottom="1440" w:gutter="0" w:footer="0" w:header="0"/>
          <w:type w:val="continuous"/>
        </w:sectPr>
      </w:pPr>
    </w:p>
    <w:p>
      <w:pPr>
        <w:spacing w:after="0" w:line="102" w:lineRule="exact"/>
        <w:rPr>
          <w:sz w:val="20"/>
          <w:szCs w:val="20"/>
          <w:color w:val="auto"/>
        </w:rPr>
      </w:pPr>
    </w:p>
    <w:p>
      <w:pPr>
        <w:ind w:right="280" w:firstLine="440"/>
        <w:spacing w:after="0" w:line="277" w:lineRule="auto"/>
        <w:rPr>
          <w:sz w:val="20"/>
          <w:szCs w:val="20"/>
          <w:color w:val="auto"/>
        </w:rPr>
      </w:pPr>
      <w:r>
        <w:rPr>
          <w:rFonts w:ascii="Arial" w:cs="Arial" w:eastAsia="Arial" w:hAnsi="Arial"/>
          <w:sz w:val="18"/>
          <w:szCs w:val="18"/>
          <w:color w:val="auto"/>
        </w:rPr>
        <w:t>Income before income taxes and noncontrolling interests attributable to the Container Resale segment decreased $4,603 (-21.9%) from 2019 to 2020. The following table summarizes the variances included within this increase:</w:t>
      </w:r>
    </w:p>
    <w:p>
      <w:pPr>
        <w:spacing w:after="0" w:line="189" w:lineRule="exact"/>
        <w:rPr>
          <w:sz w:val="20"/>
          <w:szCs w:val="20"/>
          <w:color w:val="auto"/>
        </w:rPr>
      </w:pPr>
    </w:p>
    <w:tbl>
      <w:tblPr>
        <w:tblLayout w:type="fixed"/>
        <w:tblInd w:w="1760" w:type="dxa"/>
        <w:tblCellMar>
          <w:top w:w="0" w:type="dxa"/>
          <w:left w:w="0" w:type="dxa"/>
          <w:bottom w:w="0" w:type="dxa"/>
          <w:right w:w="0" w:type="dxa"/>
        </w:tblCellMar>
      </w:tblPr>
      <w:tr>
        <w:trPr>
          <w:trHeight w:val="171"/>
        </w:trPr>
        <w:tc>
          <w:tcPr>
            <w:tcW w:w="6220" w:type="dxa"/>
            <w:vAlign w:val="bottom"/>
          </w:tcPr>
          <w:p>
            <w:pPr>
              <w:spacing w:after="0"/>
              <w:rPr>
                <w:sz w:val="14"/>
                <w:szCs w:val="14"/>
                <w:color w:val="auto"/>
              </w:rPr>
            </w:pPr>
          </w:p>
        </w:tc>
        <w:tc>
          <w:tcPr>
            <w:tcW w:w="1260" w:type="dxa"/>
            <w:vAlign w:val="bottom"/>
            <w:gridSpan w:val="3"/>
          </w:tcPr>
          <w:p>
            <w:pPr>
              <w:spacing w:after="0"/>
              <w:rPr>
                <w:sz w:val="20"/>
                <w:szCs w:val="20"/>
                <w:color w:val="auto"/>
              </w:rPr>
            </w:pPr>
            <w:r>
              <w:rPr>
                <w:rFonts w:ascii="Arial" w:cs="Arial" w:eastAsia="Arial" w:hAnsi="Arial"/>
                <w:sz w:val="14"/>
                <w:szCs w:val="14"/>
                <w:b w:val="1"/>
                <w:bCs w:val="1"/>
                <w:color w:val="auto"/>
              </w:rPr>
              <w:t>From 2019 to 2020</w:t>
            </w:r>
          </w:p>
        </w:tc>
      </w:tr>
      <w:tr>
        <w:trPr>
          <w:trHeight w:val="209"/>
        </w:trPr>
        <w:tc>
          <w:tcPr>
            <w:tcW w:w="622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Decrease in gain on container trading, net</w:t>
            </w:r>
          </w:p>
        </w:tc>
        <w:tc>
          <w:tcPr>
            <w:tcW w:w="4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7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(3,867)</w:t>
            </w:r>
          </w:p>
        </w:tc>
        <w:tc>
          <w:tcPr>
            <w:tcW w:w="100" w:type="dxa"/>
            <w:vAlign w:val="bottom"/>
            <w:tcBorders>
              <w:top w:val="single" w:sz="8" w:color="CCEEFF"/>
            </w:tcBorders>
            <w:shd w:val="clear" w:color="auto" w:fill="CCEEFF"/>
          </w:tcPr>
          <w:p>
            <w:pPr>
              <w:spacing w:after="0"/>
              <w:rPr>
                <w:sz w:val="18"/>
                <w:szCs w:val="18"/>
                <w:color w:val="auto"/>
              </w:rPr>
            </w:pPr>
          </w:p>
        </w:tc>
      </w:tr>
      <w:tr>
        <w:trPr>
          <w:trHeight w:val="216"/>
        </w:trPr>
        <w:tc>
          <w:tcPr>
            <w:tcW w:w="6220" w:type="dxa"/>
            <w:vAlign w:val="bottom"/>
          </w:tcPr>
          <w:p>
            <w:pPr>
              <w:spacing w:after="0"/>
              <w:rPr>
                <w:sz w:val="20"/>
                <w:szCs w:val="20"/>
                <w:color w:val="auto"/>
              </w:rPr>
            </w:pPr>
            <w:r>
              <w:rPr>
                <w:rFonts w:ascii="Arial" w:cs="Arial" w:eastAsia="Arial" w:hAnsi="Arial"/>
                <w:sz w:val="18"/>
                <w:szCs w:val="18"/>
                <w:color w:val="auto"/>
              </w:rPr>
              <w:t>Decrease in management fees</w:t>
            </w:r>
          </w:p>
        </w:tc>
        <w:tc>
          <w:tcPr>
            <w:tcW w:w="400" w:type="dxa"/>
            <w:vAlign w:val="bottom"/>
          </w:tcPr>
          <w:p>
            <w:pPr>
              <w:spacing w:after="0"/>
              <w:rPr>
                <w:sz w:val="18"/>
                <w:szCs w:val="18"/>
                <w:color w:val="auto"/>
              </w:rPr>
            </w:pPr>
          </w:p>
        </w:tc>
        <w:tc>
          <w:tcPr>
            <w:tcW w:w="860" w:type="dxa"/>
            <w:vAlign w:val="bottom"/>
            <w:gridSpan w:val="2"/>
          </w:tcPr>
          <w:p>
            <w:pPr>
              <w:jc w:val="right"/>
              <w:ind w:right="40"/>
              <w:spacing w:after="0"/>
              <w:rPr>
                <w:sz w:val="20"/>
                <w:szCs w:val="20"/>
                <w:color w:val="auto"/>
              </w:rPr>
            </w:pPr>
            <w:r>
              <w:rPr>
                <w:rFonts w:ascii="Arial" w:cs="Arial" w:eastAsia="Arial" w:hAnsi="Arial"/>
                <w:sz w:val="18"/>
                <w:szCs w:val="18"/>
                <w:color w:val="auto"/>
              </w:rPr>
              <w:t>(723)</w:t>
            </w:r>
          </w:p>
        </w:tc>
      </w:tr>
      <w:tr>
        <w:trPr>
          <w:trHeight w:val="216"/>
        </w:trPr>
        <w:tc>
          <w:tcPr>
            <w:tcW w:w="6220" w:type="dxa"/>
            <w:vAlign w:val="bottom"/>
            <w:shd w:val="clear" w:color="auto" w:fill="CCEEFF"/>
          </w:tcPr>
          <w:p>
            <w:pPr>
              <w:spacing w:after="0"/>
              <w:rPr>
                <w:sz w:val="20"/>
                <w:szCs w:val="20"/>
                <w:color w:val="auto"/>
              </w:rPr>
            </w:pPr>
            <w:r>
              <w:rPr>
                <w:rFonts w:ascii="Arial" w:cs="Arial" w:eastAsia="Arial" w:hAnsi="Arial"/>
                <w:sz w:val="18"/>
                <w:szCs w:val="18"/>
                <w:color w:val="auto"/>
              </w:rPr>
              <w:t>Other</w:t>
            </w:r>
          </w:p>
        </w:tc>
        <w:tc>
          <w:tcPr>
            <w:tcW w:w="4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(13)</w:t>
            </w:r>
          </w:p>
        </w:tc>
      </w:tr>
      <w:tr>
        <w:trPr>
          <w:trHeight w:val="223"/>
        </w:trPr>
        <w:tc>
          <w:tcPr>
            <w:tcW w:w="6220" w:type="dxa"/>
            <w:vAlign w:val="bottom"/>
          </w:tcPr>
          <w:p>
            <w:pPr>
              <w:spacing w:after="0"/>
              <w:rPr>
                <w:sz w:val="19"/>
                <w:szCs w:val="19"/>
                <w:color w:val="auto"/>
              </w:rPr>
            </w:pPr>
          </w:p>
        </w:tc>
        <w:tc>
          <w:tcPr>
            <w:tcW w:w="4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7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(4,603)</w:t>
            </w:r>
          </w:p>
        </w:tc>
        <w:tc>
          <w:tcPr>
            <w:tcW w:w="100" w:type="dxa"/>
            <w:vAlign w:val="bottom"/>
          </w:tcPr>
          <w:p>
            <w:pPr>
              <w:spacing w:after="0"/>
              <w:rPr>
                <w:sz w:val="19"/>
                <w:szCs w:val="19"/>
                <w:color w:val="auto"/>
              </w:rPr>
            </w:pPr>
          </w:p>
        </w:tc>
      </w:tr>
      <w:tr>
        <w:trPr>
          <w:trHeight w:val="20"/>
        </w:trPr>
        <w:tc>
          <w:tcPr>
            <w:tcW w:w="6220" w:type="dxa"/>
            <w:vAlign w:val="bottom"/>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15" w:lineRule="exact"/>
        <w:rPr>
          <w:sz w:val="20"/>
          <w:szCs w:val="20"/>
          <w:color w:val="auto"/>
        </w:rPr>
      </w:pPr>
    </w:p>
    <w:p>
      <w:pPr>
        <w:ind w:firstLine="440"/>
        <w:spacing w:after="0" w:line="342" w:lineRule="auto"/>
        <w:rPr>
          <w:sz w:val="20"/>
          <w:szCs w:val="20"/>
          <w:color w:val="auto"/>
        </w:rPr>
      </w:pPr>
      <w:r>
        <w:rPr>
          <w:rFonts w:ascii="Arial" w:cs="Arial" w:eastAsia="Arial" w:hAnsi="Arial"/>
          <w:sz w:val="16"/>
          <w:szCs w:val="16"/>
          <w:color w:val="auto"/>
        </w:rPr>
        <w:t>Loss before income taxes and noncontrolling interests attributable to Other activities unrelated to our reportable business segments decreased $835 (-20.4%) from 2019 to 2020 primarily due to an increase in foreign exchange gain and a decrease in general and administrative expense.</w:t>
      </w:r>
    </w:p>
    <w:p>
      <w:pPr>
        <w:spacing w:after="0" w:line="124" w:lineRule="exact"/>
        <w:rPr>
          <w:sz w:val="20"/>
          <w:szCs w:val="20"/>
          <w:color w:val="auto"/>
        </w:rPr>
      </w:pPr>
    </w:p>
    <w:p>
      <w:pPr>
        <w:ind w:right="80" w:firstLine="440"/>
        <w:spacing w:after="0" w:line="263" w:lineRule="auto"/>
        <w:rPr>
          <w:sz w:val="20"/>
          <w:szCs w:val="20"/>
          <w:color w:val="auto"/>
        </w:rPr>
      </w:pPr>
      <w:r>
        <w:rPr>
          <w:rFonts w:ascii="Arial" w:cs="Arial" w:eastAsia="Arial" w:hAnsi="Arial"/>
          <w:sz w:val="18"/>
          <w:szCs w:val="18"/>
          <w:color w:val="auto"/>
        </w:rPr>
        <w:t>Segment eliminations increased $4,866 (1,001.2%) from 2019 to 2020. This change consisted of a $5,162 increase in acquisition fees received by our Container Management segment from our Container Ownership segment, partially offset by a $296 increase in depreciation expense related to capitalized acquisition fees received by our</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61</w:t>
      </w:r>
    </w:p>
    <w:p>
      <w:pPr>
        <w:sectPr>
          <w:pgSz w:w="11900" w:h="16838" w:orient="portrait"/>
          <w:cols w:equalWidth="0" w:num="1">
            <w:col w:w="11000"/>
          </w:cols>
          <w:pgMar w:left="440" w:top="274" w:right="459" w:bottom="1440" w:gutter="0" w:footer="0" w:header="0"/>
          <w:type w:val="continuous"/>
        </w:sectPr>
      </w:pPr>
    </w:p>
    <w:bookmarkStart w:id="75" w:name="page76"/>
    <w:bookmarkEnd w:id="75"/>
    <w:p>
      <w:pPr>
        <w:jc w:val="both"/>
        <w:ind w:right="14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Container Management segment from our Container Ownership segment. Our Container Ownership segment capitalizes acquisition fees billed by our Container Management segment as part of containers, net and records depreciation expense to amortize the acquisition fees over the useful lives of the containers, which is eliminated in consolidation.</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Currency</w:t>
      </w:r>
    </w:p>
    <w:p>
      <w:pPr>
        <w:spacing w:after="0" w:line="121" w:lineRule="exact"/>
        <w:rPr>
          <w:sz w:val="20"/>
          <w:szCs w:val="20"/>
          <w:color w:val="auto"/>
        </w:rPr>
      </w:pPr>
    </w:p>
    <w:p>
      <w:pPr>
        <w:ind w:right="20" w:firstLine="440"/>
        <w:spacing w:after="0" w:line="279" w:lineRule="auto"/>
        <w:rPr>
          <w:sz w:val="20"/>
          <w:szCs w:val="20"/>
          <w:color w:val="auto"/>
        </w:rPr>
      </w:pPr>
      <w:r>
        <w:rPr>
          <w:rFonts w:ascii="Arial" w:cs="Arial" w:eastAsia="Arial" w:hAnsi="Arial"/>
          <w:sz w:val="17"/>
          <w:szCs w:val="17"/>
          <w:color w:val="auto"/>
        </w:rPr>
        <w:t>As in previous years, almost all of our revenues are denominated in U.S. dollars and approximately 72% of our direct container expenses – owned fleet in 2020 were denominated in U.S. dollars. Our operations in locations outside of the U.S. have some exposure to foreign currency fluctuations, and trade growth and the direction of trade flows can be influenced by large changes in relative currency values. In 2020, our non-U.S. dollar operating expenses were spread among 16 currencies, resulting in some level of self-hedging. We do not engage in currency hedging.</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Critical Accounting Policies and Estimates</w:t>
      </w:r>
    </w:p>
    <w:p>
      <w:pPr>
        <w:spacing w:after="0" w:line="121" w:lineRule="exact"/>
        <w:rPr>
          <w:sz w:val="20"/>
          <w:szCs w:val="20"/>
          <w:color w:val="auto"/>
        </w:rPr>
      </w:pPr>
    </w:p>
    <w:p>
      <w:pPr>
        <w:ind w:firstLine="440"/>
        <w:spacing w:after="0" w:line="291" w:lineRule="auto"/>
        <w:rPr>
          <w:sz w:val="20"/>
          <w:szCs w:val="20"/>
          <w:color w:val="auto"/>
        </w:rPr>
      </w:pPr>
      <w:r>
        <w:rPr>
          <w:rFonts w:ascii="Arial" w:cs="Arial" w:eastAsia="Arial" w:hAnsi="Arial"/>
          <w:sz w:val="16"/>
          <w:szCs w:val="16"/>
          <w:color w:val="auto"/>
        </w:rPr>
        <w:t>The preparation of financial statements in conformity with U.S. GAAP requires management to use judgment in making estimates and assumptions that affect the reported amounts of assets and liabilities, the reported amounts of income and expenses during the reporting period and the disclosure of contingent assets and liabilities as of the date of the financial statements. We have identified the policies and estimates below as among those critical to our business operations and the understanding of our results of operations. These policies and estimates are considered critical due to the existence of uncertainty at the time the estimates are made, the likelihood of changes in estimates from period to period and the potential impact that these estimates can have on our financial statements. The following accounting policies and estimates include inherent risks and uncertainties related to judgments and assumptions made by us. Our estimates are based on the relevant information available at the end of each period.</w:t>
      </w:r>
    </w:p>
    <w:p>
      <w:pPr>
        <w:spacing w:after="0" w:line="166" w:lineRule="exact"/>
        <w:rPr>
          <w:sz w:val="20"/>
          <w:szCs w:val="20"/>
          <w:color w:val="auto"/>
        </w:rPr>
      </w:pPr>
    </w:p>
    <w:p>
      <w:pPr>
        <w:ind w:right="60" w:firstLine="440"/>
        <w:spacing w:after="0" w:line="279" w:lineRule="auto"/>
        <w:rPr>
          <w:sz w:val="20"/>
          <w:szCs w:val="20"/>
          <w:color w:val="auto"/>
        </w:rPr>
      </w:pPr>
      <w:r>
        <w:rPr>
          <w:rFonts w:ascii="Arial" w:cs="Arial" w:eastAsia="Arial" w:hAnsi="Arial"/>
          <w:sz w:val="17"/>
          <w:szCs w:val="17"/>
          <w:color w:val="auto"/>
        </w:rPr>
        <w:t>Due to the COVID-19 pandemic, there has been uncertainty and disruption in the global economy and financial markets. We are not aware of any specific event or circumstance that would require updates to our estimates or judgments or require us to revise the carrying value of our assets or liabilities as of March 18, 2021, the date of issuance of this Annual Report on Form 20-F. These estimates may change as new events occur and additional information is obtained. Actual results could differ materially from these estimates under different assumptions or conditions.</w:t>
      </w:r>
    </w:p>
    <w:p>
      <w:pPr>
        <w:spacing w:after="0" w:line="279" w:lineRule="exact"/>
        <w:rPr>
          <w:sz w:val="20"/>
          <w:szCs w:val="20"/>
          <w:color w:val="auto"/>
        </w:rPr>
      </w:pPr>
    </w:p>
    <w:p>
      <w:pPr>
        <w:ind w:left="440"/>
        <w:spacing w:after="0"/>
        <w:rPr>
          <w:sz w:val="20"/>
          <w:szCs w:val="20"/>
          <w:color w:val="auto"/>
        </w:rPr>
      </w:pPr>
      <w:r>
        <w:rPr>
          <w:rFonts w:ascii="Arial" w:cs="Arial" w:eastAsia="Arial" w:hAnsi="Arial"/>
          <w:sz w:val="18"/>
          <w:szCs w:val="18"/>
          <w:b w:val="1"/>
          <w:bCs w:val="1"/>
          <w:i w:val="1"/>
          <w:iCs w:val="1"/>
          <w:color w:val="auto"/>
        </w:rPr>
        <w:t>Revenue Recognition</w:t>
      </w:r>
    </w:p>
    <w:p>
      <w:pPr>
        <w:spacing w:after="0" w:line="117" w:lineRule="exact"/>
        <w:rPr>
          <w:sz w:val="20"/>
          <w:szCs w:val="20"/>
          <w:color w:val="auto"/>
        </w:rPr>
      </w:pPr>
    </w:p>
    <w:p>
      <w:pPr>
        <w:ind w:right="20" w:firstLine="440"/>
        <w:spacing w:after="0" w:line="296" w:lineRule="auto"/>
        <w:rPr>
          <w:sz w:val="20"/>
          <w:szCs w:val="20"/>
          <w:color w:val="auto"/>
        </w:rPr>
      </w:pPr>
      <w:r>
        <w:rPr>
          <w:rFonts w:ascii="Arial" w:cs="Arial" w:eastAsia="Arial" w:hAnsi="Arial"/>
          <w:sz w:val="16"/>
          <w:szCs w:val="16"/>
          <w:i w:val="1"/>
          <w:iCs w:val="1"/>
          <w:color w:val="auto"/>
        </w:rPr>
        <w:t xml:space="preserve">Lease Rental Income. </w:t>
      </w:r>
      <w:r>
        <w:rPr>
          <w:rFonts w:ascii="Arial" w:cs="Arial" w:eastAsia="Arial" w:hAnsi="Arial"/>
          <w:sz w:val="16"/>
          <w:szCs w:val="16"/>
          <w:color w:val="auto"/>
        </w:rPr>
        <w:t>Lease rental income arises principally from leasing containers to various international shipping lines and includes all rental</w:t>
      </w:r>
      <w:r>
        <w:rPr>
          <w:rFonts w:ascii="Arial" w:cs="Arial" w:eastAsia="Arial" w:hAnsi="Arial"/>
          <w:sz w:val="16"/>
          <w:szCs w:val="16"/>
          <w:i w:val="1"/>
          <w:iCs w:val="1"/>
          <w:color w:val="auto"/>
        </w:rPr>
        <w:t xml:space="preserve"> </w:t>
      </w:r>
      <w:r>
        <w:rPr>
          <w:rFonts w:ascii="Arial" w:cs="Arial" w:eastAsia="Arial" w:hAnsi="Arial"/>
          <w:sz w:val="16"/>
          <w:szCs w:val="16"/>
          <w:color w:val="auto"/>
        </w:rPr>
        <w:t>charges billed to the lessees. Lease rental income - owned fleet comprises rental income for the container fleet owned by the Company. Lease rental income - managed fleet comprises rental income for the container fleet owned by the container investors. For lease accounting purposes, the management agreements with these container investors are deemed to convey to the Company the right to control the use of the managed containers and are therefore accounted for as “lease rental income - managed fleet” as reported in the consolidated statements of operations.</w:t>
      </w:r>
    </w:p>
    <w:p>
      <w:pPr>
        <w:spacing w:after="0" w:line="161" w:lineRule="exact"/>
        <w:rPr>
          <w:sz w:val="20"/>
          <w:szCs w:val="20"/>
          <w:color w:val="auto"/>
        </w:rPr>
      </w:pPr>
    </w:p>
    <w:p>
      <w:pPr>
        <w:ind w:firstLine="440"/>
        <w:spacing w:after="0" w:line="286" w:lineRule="auto"/>
        <w:rPr>
          <w:sz w:val="20"/>
          <w:szCs w:val="20"/>
          <w:color w:val="auto"/>
        </w:rPr>
      </w:pPr>
      <w:r>
        <w:rPr>
          <w:rFonts w:ascii="Arial" w:cs="Arial" w:eastAsia="Arial" w:hAnsi="Arial"/>
          <w:sz w:val="17"/>
          <w:szCs w:val="17"/>
          <w:color w:val="auto"/>
        </w:rPr>
        <w:t>We recognize revenue from operating leases of containers as earned over the term of the lease. The Company’s container leases generally do not include step-rent provisions, nor do they depend on indices or rates. The Company recognizes revenue on container leases that include lease concessions in the form of free-rent periods using the straight-line method over the minimum terms of the leases.</w:t>
      </w:r>
    </w:p>
    <w:p>
      <w:pPr>
        <w:spacing w:after="0" w:line="165" w:lineRule="exact"/>
        <w:rPr>
          <w:sz w:val="20"/>
          <w:szCs w:val="20"/>
          <w:color w:val="auto"/>
        </w:rPr>
      </w:pPr>
    </w:p>
    <w:p>
      <w:pPr>
        <w:ind w:right="240" w:firstLine="440"/>
        <w:spacing w:after="0" w:line="275" w:lineRule="auto"/>
        <w:rPr>
          <w:sz w:val="20"/>
          <w:szCs w:val="20"/>
          <w:color w:val="auto"/>
        </w:rPr>
      </w:pPr>
      <w:r>
        <w:rPr>
          <w:rFonts w:ascii="Arial" w:cs="Arial" w:eastAsia="Arial" w:hAnsi="Arial"/>
          <w:sz w:val="17"/>
          <w:szCs w:val="17"/>
          <w:color w:val="auto"/>
        </w:rPr>
        <w:t>We cease recognition of lease revenue if and when a container lessee defaults in making timely lease payments or we otherwise determine that future lease payments are not likely to be collected from the lessee. Our determination of the collectability of future lease payments is made by management on the basis of available information, including the current creditworthiness of container shipping lines that lease containers from us, historical collection results and review of specific past due receivables. If we experience unexpected payment defaults from our container lessees, we will cease revenue recognition for those leases, which will reduce container rental revenue.</w:t>
      </w:r>
    </w:p>
    <w:p>
      <w:pPr>
        <w:spacing w:after="0" w:line="176" w:lineRule="exact"/>
        <w:rPr>
          <w:sz w:val="20"/>
          <w:szCs w:val="20"/>
          <w:color w:val="auto"/>
        </w:rPr>
      </w:pPr>
    </w:p>
    <w:p>
      <w:pPr>
        <w:ind w:firstLine="440"/>
        <w:spacing w:after="0" w:line="286" w:lineRule="auto"/>
        <w:rPr>
          <w:sz w:val="20"/>
          <w:szCs w:val="20"/>
          <w:color w:val="auto"/>
        </w:rPr>
      </w:pPr>
      <w:r>
        <w:rPr>
          <w:rFonts w:ascii="Arial" w:cs="Arial" w:eastAsia="Arial" w:hAnsi="Arial"/>
          <w:sz w:val="17"/>
          <w:szCs w:val="17"/>
          <w:color w:val="auto"/>
        </w:rPr>
        <w:t>Finance lease income is recognized using the effective interest method, which generates a constant rate of interest over the period of the lease. The same risks of collectability discussed above apply to our collection of finance lease income. If we experience unexpected payment defaults under our finance leases, we will cease revenue recognition for those leases that will reduce finance lease income.</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62</w:t>
      </w:r>
    </w:p>
    <w:p>
      <w:pPr>
        <w:sectPr>
          <w:pgSz w:w="11900" w:h="16838" w:orient="portrait"/>
          <w:cols w:equalWidth="0" w:num="1">
            <w:col w:w="10980"/>
          </w:cols>
          <w:pgMar w:left="440" w:top="274" w:right="479" w:bottom="1440" w:gutter="0" w:footer="0" w:header="0"/>
        </w:sectPr>
      </w:pPr>
    </w:p>
    <w:bookmarkStart w:id="76" w:name="page77"/>
    <w:bookmarkEnd w:id="76"/>
    <w:p>
      <w:pPr>
        <w:ind w:right="60" w:firstLine="44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7174865" cy="38735"/>
                    </a:xfrm>
                    <a:prstGeom prst="rect">
                      <a:avLst/>
                    </a:prstGeom>
                    <a:noFill/>
                  </pic:spPr>
                </pic:pic>
              </a:graphicData>
            </a:graphic>
          </wp:anchor>
        </w:drawing>
        <w:t>Lease rental income and operating expenses arising from the leasing services of the managed portion of our fleet are included at gross amounts in our consolidated statements of operations. Our management fees earned from leasing and management services of the managed fleet are the balance after ‘lease rental income – managed fleet’ minus ‘distribution expense to managed fleet container investors’ in our consolidated statements of operations</w:t>
      </w:r>
      <w:r>
        <w:rPr>
          <w:rFonts w:ascii="Arial" w:cs="Arial" w:eastAsia="Arial" w:hAnsi="Arial"/>
          <w:sz w:val="18"/>
          <w:szCs w:val="18"/>
          <w:i w:val="1"/>
          <w:iCs w:val="1"/>
          <w:color w:val="auto"/>
        </w:rPr>
        <w:t>.</w:t>
      </w:r>
      <w:r>
        <w:rPr>
          <w:rFonts w:ascii="Arial" w:cs="Arial" w:eastAsia="Arial" w:hAnsi="Arial"/>
          <w:sz w:val="18"/>
          <w:szCs w:val="18"/>
          <w:color w:val="auto"/>
        </w:rPr>
        <w:t xml:space="preserve"> Fees are typically calculated as a fixed percentage of net operating income. Net operating income is revenue from the containers under management minus direct operating expense related to those containers.</w:t>
      </w:r>
    </w:p>
    <w:p>
      <w:pPr>
        <w:spacing w:after="0" w:line="296" w:lineRule="exact"/>
        <w:rPr>
          <w:sz w:val="20"/>
          <w:szCs w:val="20"/>
          <w:color w:val="auto"/>
        </w:rPr>
      </w:pPr>
    </w:p>
    <w:p>
      <w:pPr>
        <w:ind w:left="440"/>
        <w:spacing w:after="0"/>
        <w:rPr>
          <w:sz w:val="20"/>
          <w:szCs w:val="20"/>
          <w:color w:val="auto"/>
        </w:rPr>
      </w:pPr>
      <w:r>
        <w:rPr>
          <w:rFonts w:ascii="Arial" w:cs="Arial" w:eastAsia="Arial" w:hAnsi="Arial"/>
          <w:sz w:val="18"/>
          <w:szCs w:val="18"/>
          <w:b w:val="1"/>
          <w:bCs w:val="1"/>
          <w:i w:val="1"/>
          <w:iCs w:val="1"/>
          <w:color w:val="auto"/>
        </w:rPr>
        <w:t>Container Rental Equipment</w:t>
      </w:r>
    </w:p>
    <w:p>
      <w:pPr>
        <w:spacing w:after="0" w:line="117" w:lineRule="exact"/>
        <w:rPr>
          <w:sz w:val="20"/>
          <w:szCs w:val="20"/>
          <w:color w:val="auto"/>
        </w:rPr>
      </w:pPr>
    </w:p>
    <w:p>
      <w:pPr>
        <w:ind w:firstLine="440"/>
        <w:spacing w:after="0" w:line="257" w:lineRule="auto"/>
        <w:rPr>
          <w:sz w:val="20"/>
          <w:szCs w:val="20"/>
          <w:color w:val="auto"/>
        </w:rPr>
      </w:pPr>
      <w:r>
        <w:rPr>
          <w:rFonts w:ascii="Arial" w:cs="Arial" w:eastAsia="Arial" w:hAnsi="Arial"/>
          <w:sz w:val="18"/>
          <w:szCs w:val="18"/>
          <w:i w:val="1"/>
          <w:iCs w:val="1"/>
          <w:color w:val="auto"/>
        </w:rPr>
        <w:t xml:space="preserve">Depreciation. </w:t>
      </w:r>
      <w:r>
        <w:rPr>
          <w:rFonts w:ascii="Arial" w:cs="Arial" w:eastAsia="Arial" w:hAnsi="Arial"/>
          <w:sz w:val="18"/>
          <w:szCs w:val="18"/>
          <w:color w:val="auto"/>
        </w:rPr>
        <w:t>When we acquire containers, we record the cost of the container on our balance sheet. We then depreciate the container over its</w:t>
      </w:r>
      <w:r>
        <w:rPr>
          <w:rFonts w:ascii="Arial" w:cs="Arial" w:eastAsia="Arial" w:hAnsi="Arial"/>
          <w:sz w:val="18"/>
          <w:szCs w:val="18"/>
          <w:i w:val="1"/>
          <w:iCs w:val="1"/>
          <w:color w:val="auto"/>
        </w:rPr>
        <w:t xml:space="preserve"> </w:t>
      </w:r>
      <w:r>
        <w:rPr>
          <w:rFonts w:ascii="Arial" w:cs="Arial" w:eastAsia="Arial" w:hAnsi="Arial"/>
          <w:sz w:val="18"/>
          <w:szCs w:val="18"/>
          <w:color w:val="auto"/>
        </w:rPr>
        <w:t>estimated useful life (which represents the number of years we expect to be able to lease the container to shipping lines) to its estimated “residual value” (which represents the amount we estimate we will recover upon the sale or other disposition of the equipment at the end of its “useful life” as a shipping container). Our estimates of useful life are based on our actual experience with our fleet, and our estimates of residual value are based on a number of factors including average selling prices.</w:t>
      </w:r>
    </w:p>
    <w:p>
      <w:pPr>
        <w:spacing w:after="0" w:line="18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Company estimates the useful lives and residual values of its containers to be as follows:</w:t>
      </w:r>
    </w:p>
    <w:p>
      <w:pPr>
        <w:spacing w:after="0" w:line="244" w:lineRule="exact"/>
        <w:rPr>
          <w:sz w:val="20"/>
          <w:szCs w:val="20"/>
          <w:color w:val="auto"/>
        </w:rPr>
      </w:pPr>
    </w:p>
    <w:tbl>
      <w:tblPr>
        <w:tblLayout w:type="fixed"/>
        <w:tblInd w:w="1320" w:type="dxa"/>
        <w:tblCellMar>
          <w:top w:w="0" w:type="dxa"/>
          <w:left w:w="0" w:type="dxa"/>
          <w:bottom w:w="0" w:type="dxa"/>
          <w:right w:w="0" w:type="dxa"/>
        </w:tblCellMar>
      </w:tblPr>
      <w:tr>
        <w:trPr>
          <w:trHeight w:val="171"/>
        </w:trPr>
        <w:tc>
          <w:tcPr>
            <w:tcW w:w="5460" w:type="dxa"/>
            <w:vAlign w:val="bottom"/>
          </w:tcPr>
          <w:p>
            <w:pPr>
              <w:spacing w:after="0"/>
              <w:rPr>
                <w:sz w:val="14"/>
                <w:szCs w:val="14"/>
                <w:color w:val="auto"/>
              </w:rPr>
            </w:pPr>
          </w:p>
        </w:tc>
        <w:tc>
          <w:tcPr>
            <w:tcW w:w="2900" w:type="dxa"/>
            <w:vAlign w:val="bottom"/>
            <w:gridSpan w:val="5"/>
          </w:tcPr>
          <w:p>
            <w:pPr>
              <w:ind w:left="380"/>
              <w:spacing w:after="0"/>
              <w:rPr>
                <w:sz w:val="20"/>
                <w:szCs w:val="20"/>
                <w:color w:val="auto"/>
              </w:rPr>
            </w:pPr>
            <w:r>
              <w:rPr>
                <w:rFonts w:ascii="Arial" w:cs="Arial" w:eastAsia="Arial" w:hAnsi="Arial"/>
                <w:sz w:val="14"/>
                <w:szCs w:val="14"/>
                <w:b w:val="1"/>
                <w:bCs w:val="1"/>
                <w:color w:val="auto"/>
              </w:rPr>
              <w:t>As of December 31, 2020 and 2019</w:t>
            </w:r>
          </w:p>
        </w:tc>
      </w:tr>
      <w:tr>
        <w:trPr>
          <w:trHeight w:val="119"/>
        </w:trPr>
        <w:tc>
          <w:tcPr>
            <w:tcW w:w="5460" w:type="dxa"/>
            <w:vAlign w:val="bottom"/>
          </w:tcPr>
          <w:p>
            <w:pPr>
              <w:spacing w:after="0"/>
              <w:rPr>
                <w:sz w:val="10"/>
                <w:szCs w:val="10"/>
                <w:color w:val="auto"/>
              </w:rPr>
            </w:pPr>
          </w:p>
        </w:tc>
        <w:tc>
          <w:tcPr>
            <w:tcW w:w="1040" w:type="dxa"/>
            <w:vAlign w:val="bottom"/>
            <w:tcBorders>
              <w:top w:val="single" w:sz="8" w:color="auto"/>
            </w:tcBorders>
          </w:tcPr>
          <w:p>
            <w:pPr>
              <w:jc w:val="right"/>
              <w:spacing w:after="0" w:line="119" w:lineRule="exact"/>
              <w:rPr>
                <w:sz w:val="20"/>
                <w:szCs w:val="20"/>
                <w:color w:val="auto"/>
              </w:rPr>
            </w:pPr>
            <w:r>
              <w:rPr>
                <w:rFonts w:ascii="Arial" w:cs="Arial" w:eastAsia="Arial" w:hAnsi="Arial"/>
                <w:sz w:val="13"/>
                <w:szCs w:val="13"/>
                <w:b w:val="1"/>
                <w:bCs w:val="1"/>
                <w:color w:val="auto"/>
                <w:w w:val="98"/>
              </w:rPr>
              <w:t>Estimated useful</w:t>
            </w:r>
          </w:p>
        </w:tc>
        <w:tc>
          <w:tcPr>
            <w:tcW w:w="860" w:type="dxa"/>
            <w:vAlign w:val="bottom"/>
            <w:tcBorders>
              <w:top w:val="single" w:sz="8" w:color="auto"/>
            </w:tcBorders>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860" w:type="dxa"/>
            <w:vAlign w:val="bottom"/>
            <w:tcBorders>
              <w:top w:val="single" w:sz="8" w:color="auto"/>
            </w:tcBorders>
          </w:tcPr>
          <w:p>
            <w:pPr>
              <w:jc w:val="center"/>
              <w:ind w:right="33"/>
              <w:spacing w:after="0" w:line="119" w:lineRule="exact"/>
              <w:rPr>
                <w:sz w:val="20"/>
                <w:szCs w:val="20"/>
                <w:color w:val="auto"/>
              </w:rPr>
            </w:pPr>
            <w:r>
              <w:rPr>
                <w:rFonts w:ascii="Arial" w:cs="Arial" w:eastAsia="Arial" w:hAnsi="Arial"/>
                <w:sz w:val="13"/>
                <w:szCs w:val="13"/>
                <w:b w:val="1"/>
                <w:bCs w:val="1"/>
                <w:color w:val="auto"/>
                <w:w w:val="99"/>
              </w:rPr>
              <w:t>Residual</w:t>
            </w:r>
          </w:p>
        </w:tc>
        <w:tc>
          <w:tcPr>
            <w:tcW w:w="40" w:type="dxa"/>
            <w:vAlign w:val="bottom"/>
          </w:tcPr>
          <w:p>
            <w:pPr>
              <w:spacing w:after="0"/>
              <w:rPr>
                <w:sz w:val="10"/>
                <w:szCs w:val="10"/>
                <w:color w:val="auto"/>
              </w:rPr>
            </w:pPr>
          </w:p>
        </w:tc>
      </w:tr>
      <w:tr>
        <w:trPr>
          <w:trHeight w:val="171"/>
        </w:trPr>
        <w:tc>
          <w:tcPr>
            <w:tcW w:w="5460" w:type="dxa"/>
            <w:vAlign w:val="bottom"/>
          </w:tcPr>
          <w:p>
            <w:pPr>
              <w:spacing w:after="0"/>
              <w:rPr>
                <w:sz w:val="14"/>
                <w:szCs w:val="14"/>
                <w:color w:val="auto"/>
              </w:rPr>
            </w:pPr>
          </w:p>
        </w:tc>
        <w:tc>
          <w:tcPr>
            <w:tcW w:w="1040" w:type="dxa"/>
            <w:vAlign w:val="bottom"/>
          </w:tcPr>
          <w:p>
            <w:pPr>
              <w:jc w:val="right"/>
              <w:ind w:right="94"/>
              <w:spacing w:after="0"/>
              <w:rPr>
                <w:sz w:val="20"/>
                <w:szCs w:val="20"/>
                <w:color w:val="auto"/>
              </w:rPr>
            </w:pPr>
            <w:r>
              <w:rPr>
                <w:rFonts w:ascii="Arial" w:cs="Arial" w:eastAsia="Arial" w:hAnsi="Arial"/>
                <w:sz w:val="14"/>
                <w:szCs w:val="14"/>
                <w:b w:val="1"/>
                <w:bCs w:val="1"/>
                <w:color w:val="auto"/>
              </w:rPr>
              <w:t>life (years)</w:t>
            </w:r>
          </w:p>
        </w:tc>
        <w:tc>
          <w:tcPr>
            <w:tcW w:w="8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90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90"/>
              </w:rPr>
              <w:t>Value</w:t>
            </w:r>
          </w:p>
        </w:tc>
      </w:tr>
      <w:tr>
        <w:trPr>
          <w:trHeight w:val="196"/>
        </w:trPr>
        <w:tc>
          <w:tcPr>
            <w:tcW w:w="546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color w:val="auto"/>
              </w:rPr>
              <w:t>Dry containers other than open top and flat rack containers:</w:t>
            </w:r>
          </w:p>
        </w:tc>
        <w:tc>
          <w:tcPr>
            <w:tcW w:w="1040" w:type="dxa"/>
            <w:vAlign w:val="bottom"/>
            <w:tcBorders>
              <w:top w:val="single" w:sz="8" w:color="auto"/>
            </w:tcBorders>
            <w:shd w:val="clear" w:color="auto" w:fill="CCEEFF"/>
          </w:tcPr>
          <w:p>
            <w:pPr>
              <w:spacing w:after="0"/>
              <w:rPr>
                <w:sz w:val="17"/>
                <w:szCs w:val="17"/>
                <w:color w:val="auto"/>
              </w:rPr>
            </w:pPr>
          </w:p>
        </w:tc>
        <w:tc>
          <w:tcPr>
            <w:tcW w:w="86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860" w:type="dxa"/>
            <w:vAlign w:val="bottom"/>
            <w:tcBorders>
              <w:top w:val="single" w:sz="8" w:color="auto"/>
            </w:tcBorders>
            <w:shd w:val="clear" w:color="auto" w:fill="CCEEFF"/>
          </w:tcPr>
          <w:p>
            <w:pPr>
              <w:spacing w:after="0"/>
              <w:rPr>
                <w:sz w:val="17"/>
                <w:szCs w:val="17"/>
                <w:color w:val="auto"/>
              </w:rPr>
            </w:pPr>
          </w:p>
        </w:tc>
        <w:tc>
          <w:tcPr>
            <w:tcW w:w="40" w:type="dxa"/>
            <w:vAlign w:val="bottom"/>
            <w:tcBorders>
              <w:top w:val="single" w:sz="8" w:color="CCEEFF"/>
            </w:tcBorders>
            <w:shd w:val="clear" w:color="auto" w:fill="CCEEFF"/>
          </w:tcPr>
          <w:p>
            <w:pPr>
              <w:spacing w:after="0"/>
              <w:rPr>
                <w:sz w:val="17"/>
                <w:szCs w:val="17"/>
                <w:color w:val="auto"/>
              </w:rPr>
            </w:pPr>
          </w:p>
        </w:tc>
      </w:tr>
      <w:tr>
        <w:trPr>
          <w:trHeight w:val="216"/>
        </w:trPr>
        <w:tc>
          <w:tcPr>
            <w:tcW w:w="5460" w:type="dxa"/>
            <w:vAlign w:val="bottom"/>
          </w:tcPr>
          <w:p>
            <w:pPr>
              <w:ind w:left="360"/>
              <w:spacing w:after="0"/>
              <w:rPr>
                <w:sz w:val="20"/>
                <w:szCs w:val="20"/>
                <w:color w:val="auto"/>
              </w:rPr>
            </w:pPr>
            <w:r>
              <w:rPr>
                <w:rFonts w:ascii="Arial" w:cs="Arial" w:eastAsia="Arial" w:hAnsi="Arial"/>
                <w:sz w:val="18"/>
                <w:szCs w:val="18"/>
                <w:color w:val="auto"/>
              </w:rPr>
              <w:t>20’</w:t>
            </w:r>
          </w:p>
        </w:tc>
        <w:tc>
          <w:tcPr>
            <w:tcW w:w="1040" w:type="dxa"/>
            <w:vAlign w:val="bottom"/>
          </w:tcPr>
          <w:p>
            <w:pPr>
              <w:jc w:val="right"/>
              <w:ind w:right="214"/>
              <w:spacing w:after="0"/>
              <w:rPr>
                <w:sz w:val="20"/>
                <w:szCs w:val="20"/>
                <w:color w:val="auto"/>
              </w:rPr>
            </w:pPr>
            <w:r>
              <w:rPr>
                <w:rFonts w:ascii="Arial" w:cs="Arial" w:eastAsia="Arial" w:hAnsi="Arial"/>
                <w:sz w:val="18"/>
                <w:szCs w:val="18"/>
                <w:color w:val="auto"/>
              </w:rPr>
              <w:t>13</w:t>
            </w: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40"/>
              <w:spacing w:after="0"/>
              <w:rPr>
                <w:sz w:val="20"/>
                <w:szCs w:val="20"/>
                <w:color w:val="auto"/>
              </w:rPr>
            </w:pPr>
            <w:r>
              <w:rPr>
                <w:rFonts w:ascii="Arial" w:cs="Arial" w:eastAsia="Arial" w:hAnsi="Arial"/>
                <w:sz w:val="18"/>
                <w:szCs w:val="18"/>
                <w:color w:val="auto"/>
              </w:rPr>
              <w:t>1,000</w:t>
            </w:r>
          </w:p>
        </w:tc>
      </w:tr>
      <w:tr>
        <w:trPr>
          <w:trHeight w:val="216"/>
        </w:trPr>
        <w:tc>
          <w:tcPr>
            <w:tcW w:w="54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40’</w:t>
            </w:r>
          </w:p>
        </w:tc>
        <w:tc>
          <w:tcPr>
            <w:tcW w:w="1040" w:type="dxa"/>
            <w:vAlign w:val="bottom"/>
            <w:shd w:val="clear" w:color="auto" w:fill="CCEEFF"/>
          </w:tcPr>
          <w:p>
            <w:pPr>
              <w:jc w:val="right"/>
              <w:ind w:right="214"/>
              <w:spacing w:after="0"/>
              <w:rPr>
                <w:sz w:val="20"/>
                <w:szCs w:val="20"/>
                <w:color w:val="auto"/>
              </w:rPr>
            </w:pPr>
            <w:r>
              <w:rPr>
                <w:rFonts w:ascii="Arial" w:cs="Arial" w:eastAsia="Arial" w:hAnsi="Arial"/>
                <w:sz w:val="18"/>
                <w:szCs w:val="18"/>
                <w:color w:val="auto"/>
              </w:rPr>
              <w:t>14</w:t>
            </w: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1,200</w:t>
            </w:r>
          </w:p>
        </w:tc>
      </w:tr>
      <w:tr>
        <w:trPr>
          <w:trHeight w:val="216"/>
        </w:trPr>
        <w:tc>
          <w:tcPr>
            <w:tcW w:w="5460" w:type="dxa"/>
            <w:vAlign w:val="bottom"/>
          </w:tcPr>
          <w:p>
            <w:pPr>
              <w:ind w:left="360"/>
              <w:spacing w:after="0"/>
              <w:rPr>
                <w:sz w:val="20"/>
                <w:szCs w:val="20"/>
                <w:color w:val="auto"/>
              </w:rPr>
            </w:pPr>
            <w:r>
              <w:rPr>
                <w:rFonts w:ascii="Arial" w:cs="Arial" w:eastAsia="Arial" w:hAnsi="Arial"/>
                <w:sz w:val="18"/>
                <w:szCs w:val="18"/>
                <w:color w:val="auto"/>
              </w:rPr>
              <w:t>40’ high cube</w:t>
            </w:r>
          </w:p>
        </w:tc>
        <w:tc>
          <w:tcPr>
            <w:tcW w:w="1040" w:type="dxa"/>
            <w:vAlign w:val="bottom"/>
          </w:tcPr>
          <w:p>
            <w:pPr>
              <w:jc w:val="right"/>
              <w:ind w:right="214"/>
              <w:spacing w:after="0"/>
              <w:rPr>
                <w:sz w:val="20"/>
                <w:szCs w:val="20"/>
                <w:color w:val="auto"/>
              </w:rPr>
            </w:pPr>
            <w:r>
              <w:rPr>
                <w:rFonts w:ascii="Arial" w:cs="Arial" w:eastAsia="Arial" w:hAnsi="Arial"/>
                <w:sz w:val="18"/>
                <w:szCs w:val="18"/>
                <w:color w:val="auto"/>
              </w:rPr>
              <w:t>13</w:t>
            </w: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40"/>
              <w:spacing w:after="0"/>
              <w:rPr>
                <w:sz w:val="20"/>
                <w:szCs w:val="20"/>
                <w:color w:val="auto"/>
              </w:rPr>
            </w:pPr>
            <w:r>
              <w:rPr>
                <w:rFonts w:ascii="Arial" w:cs="Arial" w:eastAsia="Arial" w:hAnsi="Arial"/>
                <w:sz w:val="18"/>
                <w:szCs w:val="18"/>
                <w:color w:val="auto"/>
              </w:rPr>
              <w:t>1,400</w:t>
            </w:r>
          </w:p>
        </w:tc>
      </w:tr>
      <w:tr>
        <w:trPr>
          <w:trHeight w:val="216"/>
        </w:trPr>
        <w:tc>
          <w:tcPr>
            <w:tcW w:w="54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45’ high cube</w:t>
            </w:r>
          </w:p>
        </w:tc>
        <w:tc>
          <w:tcPr>
            <w:tcW w:w="1040" w:type="dxa"/>
            <w:vAlign w:val="bottom"/>
            <w:shd w:val="clear" w:color="auto" w:fill="CCEEFF"/>
          </w:tcPr>
          <w:p>
            <w:pPr>
              <w:jc w:val="right"/>
              <w:ind w:right="214"/>
              <w:spacing w:after="0"/>
              <w:rPr>
                <w:sz w:val="20"/>
                <w:szCs w:val="20"/>
                <w:color w:val="auto"/>
              </w:rPr>
            </w:pPr>
            <w:r>
              <w:rPr>
                <w:rFonts w:ascii="Arial" w:cs="Arial" w:eastAsia="Arial" w:hAnsi="Arial"/>
                <w:sz w:val="18"/>
                <w:szCs w:val="18"/>
                <w:color w:val="auto"/>
              </w:rPr>
              <w:t>13</w:t>
            </w: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1,500</w:t>
            </w:r>
          </w:p>
        </w:tc>
      </w:tr>
      <w:tr>
        <w:trPr>
          <w:trHeight w:val="216"/>
        </w:trPr>
        <w:tc>
          <w:tcPr>
            <w:tcW w:w="5460" w:type="dxa"/>
            <w:vAlign w:val="bottom"/>
          </w:tcPr>
          <w:p>
            <w:pPr>
              <w:spacing w:after="0"/>
              <w:rPr>
                <w:sz w:val="20"/>
                <w:szCs w:val="20"/>
                <w:color w:val="auto"/>
              </w:rPr>
            </w:pPr>
            <w:r>
              <w:rPr>
                <w:rFonts w:ascii="Arial" w:cs="Arial" w:eastAsia="Arial" w:hAnsi="Arial"/>
                <w:sz w:val="18"/>
                <w:szCs w:val="18"/>
                <w:color w:val="auto"/>
              </w:rPr>
              <w:t>Refrigerated containers:</w:t>
            </w:r>
          </w:p>
        </w:tc>
        <w:tc>
          <w:tcPr>
            <w:tcW w:w="104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40" w:type="dxa"/>
            <w:vAlign w:val="bottom"/>
          </w:tcPr>
          <w:p>
            <w:pPr>
              <w:spacing w:after="0"/>
              <w:rPr>
                <w:sz w:val="18"/>
                <w:szCs w:val="18"/>
                <w:color w:val="auto"/>
              </w:rPr>
            </w:pPr>
          </w:p>
        </w:tc>
      </w:tr>
      <w:tr>
        <w:trPr>
          <w:trHeight w:val="216"/>
        </w:trPr>
        <w:tc>
          <w:tcPr>
            <w:tcW w:w="54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w:t>
            </w:r>
          </w:p>
        </w:tc>
        <w:tc>
          <w:tcPr>
            <w:tcW w:w="1040" w:type="dxa"/>
            <w:vAlign w:val="bottom"/>
            <w:shd w:val="clear" w:color="auto" w:fill="CCEEFF"/>
          </w:tcPr>
          <w:p>
            <w:pPr>
              <w:jc w:val="right"/>
              <w:ind w:right="214"/>
              <w:spacing w:after="0"/>
              <w:rPr>
                <w:sz w:val="20"/>
                <w:szCs w:val="20"/>
                <w:color w:val="auto"/>
              </w:rPr>
            </w:pPr>
            <w:r>
              <w:rPr>
                <w:rFonts w:ascii="Arial" w:cs="Arial" w:eastAsia="Arial" w:hAnsi="Arial"/>
                <w:sz w:val="18"/>
                <w:szCs w:val="18"/>
                <w:color w:val="auto"/>
              </w:rPr>
              <w:t>12</w:t>
            </w: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2,750</w:t>
            </w:r>
          </w:p>
        </w:tc>
      </w:tr>
      <w:tr>
        <w:trPr>
          <w:trHeight w:val="216"/>
        </w:trPr>
        <w:tc>
          <w:tcPr>
            <w:tcW w:w="5460" w:type="dxa"/>
            <w:vAlign w:val="bottom"/>
          </w:tcPr>
          <w:p>
            <w:pPr>
              <w:ind w:left="360"/>
              <w:spacing w:after="0"/>
              <w:rPr>
                <w:sz w:val="20"/>
                <w:szCs w:val="20"/>
                <w:color w:val="auto"/>
              </w:rPr>
            </w:pPr>
            <w:r>
              <w:rPr>
                <w:rFonts w:ascii="Arial" w:cs="Arial" w:eastAsia="Arial" w:hAnsi="Arial"/>
                <w:sz w:val="18"/>
                <w:szCs w:val="18"/>
                <w:color w:val="auto"/>
              </w:rPr>
              <w:t>20’ high cube</w:t>
            </w:r>
          </w:p>
        </w:tc>
        <w:tc>
          <w:tcPr>
            <w:tcW w:w="1040" w:type="dxa"/>
            <w:vAlign w:val="bottom"/>
          </w:tcPr>
          <w:p>
            <w:pPr>
              <w:jc w:val="right"/>
              <w:ind w:right="214"/>
              <w:spacing w:after="0"/>
              <w:rPr>
                <w:sz w:val="20"/>
                <w:szCs w:val="20"/>
                <w:color w:val="auto"/>
              </w:rPr>
            </w:pPr>
            <w:r>
              <w:rPr>
                <w:rFonts w:ascii="Arial" w:cs="Arial" w:eastAsia="Arial" w:hAnsi="Arial"/>
                <w:sz w:val="18"/>
                <w:szCs w:val="18"/>
                <w:color w:val="auto"/>
              </w:rPr>
              <w:t>12</w:t>
            </w: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40"/>
              <w:spacing w:after="0"/>
              <w:rPr>
                <w:sz w:val="20"/>
                <w:szCs w:val="20"/>
                <w:color w:val="auto"/>
              </w:rPr>
            </w:pPr>
            <w:r>
              <w:rPr>
                <w:rFonts w:ascii="Arial" w:cs="Arial" w:eastAsia="Arial" w:hAnsi="Arial"/>
                <w:sz w:val="18"/>
                <w:szCs w:val="18"/>
                <w:color w:val="auto"/>
              </w:rPr>
              <w:t>2,049</w:t>
            </w:r>
          </w:p>
        </w:tc>
      </w:tr>
      <w:tr>
        <w:trPr>
          <w:trHeight w:val="216"/>
        </w:trPr>
        <w:tc>
          <w:tcPr>
            <w:tcW w:w="54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40’ high cube</w:t>
            </w:r>
          </w:p>
        </w:tc>
        <w:tc>
          <w:tcPr>
            <w:tcW w:w="1040" w:type="dxa"/>
            <w:vAlign w:val="bottom"/>
            <w:shd w:val="clear" w:color="auto" w:fill="CCEEFF"/>
          </w:tcPr>
          <w:p>
            <w:pPr>
              <w:jc w:val="right"/>
              <w:ind w:right="214"/>
              <w:spacing w:after="0"/>
              <w:rPr>
                <w:sz w:val="20"/>
                <w:szCs w:val="20"/>
                <w:color w:val="auto"/>
              </w:rPr>
            </w:pPr>
            <w:r>
              <w:rPr>
                <w:rFonts w:ascii="Arial" w:cs="Arial" w:eastAsia="Arial" w:hAnsi="Arial"/>
                <w:sz w:val="18"/>
                <w:szCs w:val="18"/>
                <w:color w:val="auto"/>
              </w:rPr>
              <w:t>12</w:t>
            </w: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4,000</w:t>
            </w:r>
          </w:p>
        </w:tc>
      </w:tr>
      <w:tr>
        <w:trPr>
          <w:trHeight w:val="216"/>
        </w:trPr>
        <w:tc>
          <w:tcPr>
            <w:tcW w:w="5460" w:type="dxa"/>
            <w:vAlign w:val="bottom"/>
          </w:tcPr>
          <w:p>
            <w:pPr>
              <w:spacing w:after="0"/>
              <w:rPr>
                <w:sz w:val="20"/>
                <w:szCs w:val="20"/>
                <w:color w:val="auto"/>
              </w:rPr>
            </w:pPr>
            <w:r>
              <w:rPr>
                <w:rFonts w:ascii="Arial" w:cs="Arial" w:eastAsia="Arial" w:hAnsi="Arial"/>
                <w:sz w:val="18"/>
                <w:szCs w:val="18"/>
                <w:color w:val="auto"/>
              </w:rPr>
              <w:t>Open top and flat rack containers:</w:t>
            </w:r>
          </w:p>
        </w:tc>
        <w:tc>
          <w:tcPr>
            <w:tcW w:w="104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40" w:type="dxa"/>
            <w:vAlign w:val="bottom"/>
          </w:tcPr>
          <w:p>
            <w:pPr>
              <w:spacing w:after="0"/>
              <w:rPr>
                <w:sz w:val="18"/>
                <w:szCs w:val="18"/>
                <w:color w:val="auto"/>
              </w:rPr>
            </w:pPr>
          </w:p>
        </w:tc>
      </w:tr>
      <w:tr>
        <w:trPr>
          <w:trHeight w:val="216"/>
        </w:trPr>
        <w:tc>
          <w:tcPr>
            <w:tcW w:w="54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 folding flat rack</w:t>
            </w:r>
          </w:p>
        </w:tc>
        <w:tc>
          <w:tcPr>
            <w:tcW w:w="1040" w:type="dxa"/>
            <w:vAlign w:val="bottom"/>
            <w:shd w:val="clear" w:color="auto" w:fill="CCEEFF"/>
          </w:tcPr>
          <w:p>
            <w:pPr>
              <w:jc w:val="right"/>
              <w:ind w:right="214"/>
              <w:spacing w:after="0"/>
              <w:rPr>
                <w:sz w:val="20"/>
                <w:szCs w:val="20"/>
                <w:color w:val="auto"/>
              </w:rPr>
            </w:pPr>
            <w:r>
              <w:rPr>
                <w:rFonts w:ascii="Arial" w:cs="Arial" w:eastAsia="Arial" w:hAnsi="Arial"/>
                <w:sz w:val="18"/>
                <w:szCs w:val="18"/>
                <w:color w:val="auto"/>
              </w:rPr>
              <w:t>15</w:t>
            </w: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1,300</w:t>
            </w:r>
          </w:p>
        </w:tc>
      </w:tr>
      <w:tr>
        <w:trPr>
          <w:trHeight w:val="216"/>
        </w:trPr>
        <w:tc>
          <w:tcPr>
            <w:tcW w:w="5460" w:type="dxa"/>
            <w:vAlign w:val="bottom"/>
          </w:tcPr>
          <w:p>
            <w:pPr>
              <w:ind w:left="360"/>
              <w:spacing w:after="0"/>
              <w:rPr>
                <w:sz w:val="20"/>
                <w:szCs w:val="20"/>
                <w:color w:val="auto"/>
              </w:rPr>
            </w:pPr>
            <w:r>
              <w:rPr>
                <w:rFonts w:ascii="Arial" w:cs="Arial" w:eastAsia="Arial" w:hAnsi="Arial"/>
                <w:sz w:val="18"/>
                <w:szCs w:val="18"/>
                <w:color w:val="auto"/>
              </w:rPr>
              <w:t>40’ folding flat rack</w:t>
            </w:r>
          </w:p>
        </w:tc>
        <w:tc>
          <w:tcPr>
            <w:tcW w:w="1040" w:type="dxa"/>
            <w:vAlign w:val="bottom"/>
          </w:tcPr>
          <w:p>
            <w:pPr>
              <w:jc w:val="right"/>
              <w:ind w:right="214"/>
              <w:spacing w:after="0"/>
              <w:rPr>
                <w:sz w:val="20"/>
                <w:szCs w:val="20"/>
                <w:color w:val="auto"/>
              </w:rPr>
            </w:pPr>
            <w:r>
              <w:rPr>
                <w:rFonts w:ascii="Arial" w:cs="Arial" w:eastAsia="Arial" w:hAnsi="Arial"/>
                <w:sz w:val="18"/>
                <w:szCs w:val="18"/>
                <w:color w:val="auto"/>
              </w:rPr>
              <w:t>16</w:t>
            </w: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40"/>
              <w:spacing w:after="0"/>
              <w:rPr>
                <w:sz w:val="20"/>
                <w:szCs w:val="20"/>
                <w:color w:val="auto"/>
              </w:rPr>
            </w:pPr>
            <w:r>
              <w:rPr>
                <w:rFonts w:ascii="Arial" w:cs="Arial" w:eastAsia="Arial" w:hAnsi="Arial"/>
                <w:sz w:val="18"/>
                <w:szCs w:val="18"/>
                <w:color w:val="auto"/>
              </w:rPr>
              <w:t>1,700</w:t>
            </w:r>
          </w:p>
        </w:tc>
      </w:tr>
      <w:tr>
        <w:trPr>
          <w:trHeight w:val="216"/>
        </w:trPr>
        <w:tc>
          <w:tcPr>
            <w:tcW w:w="54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 open top</w:t>
            </w:r>
          </w:p>
        </w:tc>
        <w:tc>
          <w:tcPr>
            <w:tcW w:w="1040" w:type="dxa"/>
            <w:vAlign w:val="bottom"/>
            <w:shd w:val="clear" w:color="auto" w:fill="CCEEFF"/>
          </w:tcPr>
          <w:p>
            <w:pPr>
              <w:jc w:val="right"/>
              <w:ind w:right="214"/>
              <w:spacing w:after="0"/>
              <w:rPr>
                <w:sz w:val="20"/>
                <w:szCs w:val="20"/>
                <w:color w:val="auto"/>
              </w:rPr>
            </w:pPr>
            <w:r>
              <w:rPr>
                <w:rFonts w:ascii="Arial" w:cs="Arial" w:eastAsia="Arial" w:hAnsi="Arial"/>
                <w:sz w:val="18"/>
                <w:szCs w:val="18"/>
                <w:color w:val="auto"/>
              </w:rPr>
              <w:t>15</w:t>
            </w: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1,500</w:t>
            </w:r>
          </w:p>
        </w:tc>
      </w:tr>
      <w:tr>
        <w:trPr>
          <w:trHeight w:val="216"/>
        </w:trPr>
        <w:tc>
          <w:tcPr>
            <w:tcW w:w="5460" w:type="dxa"/>
            <w:vAlign w:val="bottom"/>
          </w:tcPr>
          <w:p>
            <w:pPr>
              <w:ind w:left="360"/>
              <w:spacing w:after="0"/>
              <w:rPr>
                <w:sz w:val="20"/>
                <w:szCs w:val="20"/>
                <w:color w:val="auto"/>
              </w:rPr>
            </w:pPr>
            <w:r>
              <w:rPr>
                <w:rFonts w:ascii="Arial" w:cs="Arial" w:eastAsia="Arial" w:hAnsi="Arial"/>
                <w:sz w:val="18"/>
                <w:szCs w:val="18"/>
                <w:color w:val="auto"/>
              </w:rPr>
              <w:t>40’ open top</w:t>
            </w:r>
          </w:p>
        </w:tc>
        <w:tc>
          <w:tcPr>
            <w:tcW w:w="1040" w:type="dxa"/>
            <w:vAlign w:val="bottom"/>
          </w:tcPr>
          <w:p>
            <w:pPr>
              <w:jc w:val="right"/>
              <w:ind w:right="214"/>
              <w:spacing w:after="0"/>
              <w:rPr>
                <w:sz w:val="20"/>
                <w:szCs w:val="20"/>
                <w:color w:val="auto"/>
              </w:rPr>
            </w:pPr>
            <w:r>
              <w:rPr>
                <w:rFonts w:ascii="Arial" w:cs="Arial" w:eastAsia="Arial" w:hAnsi="Arial"/>
                <w:sz w:val="18"/>
                <w:szCs w:val="18"/>
                <w:color w:val="auto"/>
              </w:rPr>
              <w:t>14</w:t>
            </w: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40"/>
              <w:spacing w:after="0"/>
              <w:rPr>
                <w:sz w:val="20"/>
                <w:szCs w:val="20"/>
                <w:color w:val="auto"/>
              </w:rPr>
            </w:pPr>
            <w:r>
              <w:rPr>
                <w:rFonts w:ascii="Arial" w:cs="Arial" w:eastAsia="Arial" w:hAnsi="Arial"/>
                <w:sz w:val="18"/>
                <w:szCs w:val="18"/>
                <w:color w:val="auto"/>
              </w:rPr>
              <w:t>2,500</w:t>
            </w:r>
          </w:p>
        </w:tc>
      </w:tr>
      <w:tr>
        <w:trPr>
          <w:trHeight w:val="216"/>
        </w:trPr>
        <w:tc>
          <w:tcPr>
            <w:tcW w:w="5460" w:type="dxa"/>
            <w:vAlign w:val="bottom"/>
            <w:shd w:val="clear" w:color="auto" w:fill="CCEEFF"/>
          </w:tcPr>
          <w:p>
            <w:pPr>
              <w:spacing w:after="0"/>
              <w:rPr>
                <w:sz w:val="20"/>
                <w:szCs w:val="20"/>
                <w:color w:val="auto"/>
              </w:rPr>
            </w:pPr>
            <w:r>
              <w:rPr>
                <w:rFonts w:ascii="Arial" w:cs="Arial" w:eastAsia="Arial" w:hAnsi="Arial"/>
                <w:sz w:val="18"/>
                <w:szCs w:val="18"/>
                <w:color w:val="auto"/>
              </w:rPr>
              <w:t>Tank containers</w:t>
            </w:r>
          </w:p>
        </w:tc>
        <w:tc>
          <w:tcPr>
            <w:tcW w:w="1040" w:type="dxa"/>
            <w:vAlign w:val="bottom"/>
            <w:shd w:val="clear" w:color="auto" w:fill="CCEEFF"/>
          </w:tcPr>
          <w:p>
            <w:pPr>
              <w:jc w:val="right"/>
              <w:ind w:right="214"/>
              <w:spacing w:after="0"/>
              <w:rPr>
                <w:sz w:val="20"/>
                <w:szCs w:val="20"/>
                <w:color w:val="auto"/>
              </w:rPr>
            </w:pPr>
            <w:r>
              <w:rPr>
                <w:rFonts w:ascii="Arial" w:cs="Arial" w:eastAsia="Arial" w:hAnsi="Arial"/>
                <w:sz w:val="18"/>
                <w:szCs w:val="18"/>
                <w:color w:val="auto"/>
              </w:rPr>
              <w:t>20</w:t>
            </w:r>
          </w:p>
        </w:tc>
        <w:tc>
          <w:tcPr>
            <w:tcW w:w="8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89"/>
              </w:rPr>
              <w:t>10% of cost</w:t>
            </w:r>
          </w:p>
        </w:tc>
      </w:tr>
    </w:tbl>
    <w:p>
      <w:pPr>
        <w:spacing w:after="0" w:line="202" w:lineRule="exact"/>
        <w:rPr>
          <w:sz w:val="20"/>
          <w:szCs w:val="20"/>
          <w:color w:val="auto"/>
        </w:rPr>
      </w:pPr>
    </w:p>
    <w:p>
      <w:pPr>
        <w:ind w:right="180" w:firstLine="440"/>
        <w:spacing w:after="0" w:line="277" w:lineRule="auto"/>
        <w:rPr>
          <w:sz w:val="20"/>
          <w:szCs w:val="20"/>
          <w:color w:val="auto"/>
        </w:rPr>
      </w:pPr>
      <w:r>
        <w:rPr>
          <w:rFonts w:ascii="Arial" w:cs="Arial" w:eastAsia="Arial" w:hAnsi="Arial"/>
          <w:sz w:val="18"/>
          <w:szCs w:val="18"/>
          <w:color w:val="auto"/>
        </w:rPr>
        <w:t>We review our depreciation policies, including estimates of useful lives and residual values, on a regular basis to determine whether a change in estimates of useful lives and residual values is warranted.</w:t>
      </w:r>
    </w:p>
    <w:p>
      <w:pPr>
        <w:spacing w:after="0" w:line="170" w:lineRule="exact"/>
        <w:rPr>
          <w:sz w:val="20"/>
          <w:szCs w:val="20"/>
          <w:color w:val="auto"/>
        </w:rPr>
      </w:pPr>
    </w:p>
    <w:p>
      <w:pPr>
        <w:ind w:right="20" w:firstLine="440"/>
        <w:spacing w:after="0" w:line="272" w:lineRule="auto"/>
        <w:rPr>
          <w:sz w:val="20"/>
          <w:szCs w:val="20"/>
          <w:color w:val="auto"/>
        </w:rPr>
      </w:pPr>
      <w:r>
        <w:rPr>
          <w:rFonts w:ascii="Arial" w:cs="Arial" w:eastAsia="Arial" w:hAnsi="Arial"/>
          <w:sz w:val="17"/>
          <w:szCs w:val="17"/>
          <w:color w:val="auto"/>
        </w:rPr>
        <w:t>We completed our 2020 annual depreciation policy review during the second half of the year and concluded no change was necessary. To perform the assessment, we analyzed sales data over a minimum of a ten-year period which reflected the cyclical nature of the global economic environment and more specifically, our industry, and assessed whether the average selling prices fall within a reasonable range compared to current residual values. We believe a ten-year length of time includes sufficient periods of high and low used container prices to allow us to more accurately predict future residual values. If the ten-year period was outside of the range of a container type, we evaluated the trend in average selling prices over three, five, and seven-year periods to corroborate the trend in the ten-year period. We then performed a peer comparison to evaluate if there were significant differences between the residual values of our containers as compared to peers within the industry.</w:t>
      </w:r>
    </w:p>
    <w:p>
      <w:pPr>
        <w:spacing w:after="0" w:line="177" w:lineRule="exact"/>
        <w:rPr>
          <w:sz w:val="20"/>
          <w:szCs w:val="20"/>
          <w:color w:val="auto"/>
        </w:rPr>
      </w:pPr>
    </w:p>
    <w:p>
      <w:pPr>
        <w:ind w:right="60" w:firstLine="440"/>
        <w:spacing w:after="0" w:line="263" w:lineRule="auto"/>
        <w:rPr>
          <w:sz w:val="20"/>
          <w:szCs w:val="20"/>
          <w:color w:val="auto"/>
        </w:rPr>
      </w:pPr>
      <w:r>
        <w:rPr>
          <w:rFonts w:ascii="Arial" w:cs="Arial" w:eastAsia="Arial" w:hAnsi="Arial"/>
          <w:sz w:val="18"/>
          <w:szCs w:val="18"/>
          <w:i w:val="1"/>
          <w:iCs w:val="1"/>
          <w:color w:val="auto"/>
        </w:rPr>
        <w:t xml:space="preserve">Valuation of Leasing Equipment. </w:t>
      </w:r>
      <w:r>
        <w:rPr>
          <w:rFonts w:ascii="Arial" w:cs="Arial" w:eastAsia="Arial" w:hAnsi="Arial"/>
          <w:sz w:val="18"/>
          <w:szCs w:val="18"/>
          <w:color w:val="auto"/>
        </w:rPr>
        <w:t>On a quarterly basis, we evaluate our containers held for use in our leasing operation to determine whether there</w:t>
      </w:r>
      <w:r>
        <w:rPr>
          <w:rFonts w:ascii="Arial" w:cs="Arial" w:eastAsia="Arial" w:hAnsi="Arial"/>
          <w:sz w:val="18"/>
          <w:szCs w:val="18"/>
          <w:i w:val="1"/>
          <w:iCs w:val="1"/>
          <w:color w:val="auto"/>
        </w:rPr>
        <w:t xml:space="preserve"> </w:t>
      </w:r>
      <w:r>
        <w:rPr>
          <w:rFonts w:ascii="Arial" w:cs="Arial" w:eastAsia="Arial" w:hAnsi="Arial"/>
          <w:sz w:val="18"/>
          <w:szCs w:val="18"/>
          <w:color w:val="auto"/>
        </w:rPr>
        <w:t>has been any event such as a decline in results of operations or residual values that would cause the book value of our containers held for use to be impaired. When testing for impairment, the</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63</w:t>
      </w:r>
    </w:p>
    <w:p>
      <w:pPr>
        <w:sectPr>
          <w:pgSz w:w="11900" w:h="16838" w:orient="portrait"/>
          <w:cols w:equalWidth="0" w:num="1">
            <w:col w:w="10980"/>
          </w:cols>
          <w:pgMar w:left="440" w:top="274" w:right="479" w:bottom="1440" w:gutter="0" w:footer="0" w:header="0"/>
        </w:sectPr>
      </w:pPr>
    </w:p>
    <w:bookmarkStart w:id="77" w:name="page78"/>
    <w:bookmarkEnd w:id="77"/>
    <w:p>
      <w:pPr>
        <w:ind w:left="4" w:right="6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7174865" cy="38735"/>
                    </a:xfrm>
                    <a:prstGeom prst="rect">
                      <a:avLst/>
                    </a:prstGeom>
                    <a:noFill/>
                  </pic:spPr>
                </pic:pic>
              </a:graphicData>
            </a:graphic>
          </wp:anchor>
        </w:drawing>
        <w:t>evaluation is performed at the lowest level of identifiable cash flows which we have determined to be groups of containers based on equipment type. The estimated undiscounted cash flows are based on historical lease operating revenue, expenses and residual values, adjusted to reflect current market conditions. Impairment exists when the estimated future undiscounted cash flows to be generated by an asset group are less than the net book value of that asset group. Any such impairment would be expensed in our results of operations. There was no such impairment for the years ended December 31, 2020, 2019 and 2018.</w:t>
      </w:r>
    </w:p>
    <w:p>
      <w:pPr>
        <w:spacing w:after="0" w:line="296" w:lineRule="exact"/>
        <w:rPr>
          <w:sz w:val="20"/>
          <w:szCs w:val="20"/>
          <w:color w:val="auto"/>
        </w:rPr>
      </w:pPr>
    </w:p>
    <w:p>
      <w:pPr>
        <w:ind w:left="444"/>
        <w:spacing w:after="0"/>
        <w:rPr>
          <w:sz w:val="20"/>
          <w:szCs w:val="20"/>
          <w:color w:val="auto"/>
        </w:rPr>
      </w:pPr>
      <w:r>
        <w:rPr>
          <w:rFonts w:ascii="Arial" w:cs="Arial" w:eastAsia="Arial" w:hAnsi="Arial"/>
          <w:sz w:val="18"/>
          <w:szCs w:val="18"/>
          <w:b w:val="1"/>
          <w:bCs w:val="1"/>
          <w:i w:val="1"/>
          <w:iCs w:val="1"/>
          <w:color w:val="auto"/>
        </w:rPr>
        <w:t>Containers Held for Sale</w:t>
      </w:r>
    </w:p>
    <w:p>
      <w:pPr>
        <w:spacing w:after="0" w:line="117" w:lineRule="exact"/>
        <w:rPr>
          <w:sz w:val="20"/>
          <w:szCs w:val="20"/>
          <w:color w:val="auto"/>
        </w:rPr>
      </w:pPr>
    </w:p>
    <w:p>
      <w:pPr>
        <w:ind w:left="4" w:right="40" w:firstLine="440"/>
        <w:spacing w:after="0" w:line="270" w:lineRule="auto"/>
        <w:rPr>
          <w:sz w:val="20"/>
          <w:szCs w:val="20"/>
          <w:color w:val="auto"/>
        </w:rPr>
      </w:pPr>
      <w:r>
        <w:rPr>
          <w:rFonts w:ascii="Arial" w:cs="Arial" w:eastAsia="Arial" w:hAnsi="Arial"/>
          <w:sz w:val="17"/>
          <w:szCs w:val="17"/>
          <w:color w:val="auto"/>
        </w:rPr>
        <w:t>We also evaluate all off-lease containers to determine whether the containers will be repaired and returned to service or sold based upon what we estimate will be the best economic alternative. If we designate a container as held for sale, depreciation on the container ceases, and the container is reported at the lower of (1) its recorded value or (2) the amount we expect to receive upon sale (less the estimated cost to sell the container). Containers held for sale are evaluated for impairment on a quarterly basis based on sale prices for similar types of equipment in the locations in which the containers are stored. Any write-down of containers held for sale is reflected in our statement of operations as an expense. If a large number of containers are designated as held for sale or prices for used containers drop, impairment charges for containers held for sale may increase which would result in decreased net income. Subsequent additions or reductions to the fair values of these written down assets are recorded as adjustments to the carrying value of the equipment held for sale. Any subsequent increase in fair value is recognized as a reversal to container impairment but not in excess of the cumulative loss previously recognized.</w:t>
      </w:r>
    </w:p>
    <w:p>
      <w:pPr>
        <w:spacing w:after="0" w:line="181" w:lineRule="exact"/>
        <w:rPr>
          <w:sz w:val="20"/>
          <w:szCs w:val="20"/>
          <w:color w:val="auto"/>
        </w:rPr>
      </w:pPr>
    </w:p>
    <w:p>
      <w:pPr>
        <w:ind w:left="4" w:right="780" w:firstLine="440"/>
        <w:spacing w:after="0" w:line="277" w:lineRule="auto"/>
        <w:rPr>
          <w:sz w:val="20"/>
          <w:szCs w:val="20"/>
          <w:color w:val="auto"/>
        </w:rPr>
      </w:pPr>
      <w:r>
        <w:rPr>
          <w:rFonts w:ascii="Arial" w:cs="Arial" w:eastAsia="Arial" w:hAnsi="Arial"/>
          <w:sz w:val="18"/>
          <w:szCs w:val="18"/>
          <w:color w:val="auto"/>
        </w:rPr>
        <w:t>We will continue to monitor the performance of our container fleet and evaluate the key factors driving market conditions and assess the assumptions used in our impairment testing analysis should market conditions warrant a reassessment.</w:t>
      </w:r>
    </w:p>
    <w:p>
      <w:pPr>
        <w:spacing w:after="0" w:line="274"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Recent Accounting Pronouncements</w:t>
      </w:r>
    </w:p>
    <w:p>
      <w:pPr>
        <w:spacing w:after="0" w:line="121" w:lineRule="exact"/>
        <w:rPr>
          <w:sz w:val="20"/>
          <w:szCs w:val="20"/>
          <w:color w:val="auto"/>
        </w:rPr>
      </w:pPr>
    </w:p>
    <w:p>
      <w:pPr>
        <w:ind w:left="4" w:right="100" w:firstLine="440"/>
        <w:spacing w:after="0" w:line="277" w:lineRule="auto"/>
        <w:rPr>
          <w:sz w:val="20"/>
          <w:szCs w:val="20"/>
          <w:color w:val="auto"/>
        </w:rPr>
      </w:pPr>
      <w:r>
        <w:rPr>
          <w:rFonts w:ascii="Arial" w:cs="Arial" w:eastAsia="Arial" w:hAnsi="Arial"/>
          <w:sz w:val="18"/>
          <w:szCs w:val="18"/>
          <w:color w:val="auto"/>
        </w:rPr>
        <w:t xml:space="preserve">For further discussion, see Note 1 “Nature of Business and Summary of Significant Accounting Policies” to our consolidated financial statements in Item 18, </w:t>
      </w:r>
      <w:r>
        <w:rPr>
          <w:rFonts w:ascii="Arial" w:cs="Arial" w:eastAsia="Arial" w:hAnsi="Arial"/>
          <w:sz w:val="18"/>
          <w:szCs w:val="18"/>
          <w:i w:val="1"/>
          <w:iCs w:val="1"/>
          <w:color w:val="auto"/>
        </w:rPr>
        <w:t>“Financial Statements”</w:t>
      </w:r>
      <w:r>
        <w:rPr>
          <w:rFonts w:ascii="Arial" w:cs="Arial" w:eastAsia="Arial" w:hAnsi="Arial"/>
          <w:sz w:val="18"/>
          <w:szCs w:val="18"/>
          <w:color w:val="auto"/>
        </w:rPr>
        <w:t xml:space="preserve"> in this Annual Report on Form 20-F.</w:t>
      </w:r>
    </w:p>
    <w:p>
      <w:pPr>
        <w:spacing w:after="0" w:line="274"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B. Liquidity and Capital Resources</w:t>
      </w:r>
    </w:p>
    <w:p>
      <w:pPr>
        <w:spacing w:after="0" w:line="121" w:lineRule="exact"/>
        <w:rPr>
          <w:sz w:val="20"/>
          <w:szCs w:val="20"/>
          <w:color w:val="auto"/>
        </w:rPr>
      </w:pPr>
    </w:p>
    <w:p>
      <w:pPr>
        <w:ind w:left="4" w:right="140" w:firstLine="440"/>
        <w:spacing w:after="0" w:line="263" w:lineRule="auto"/>
        <w:rPr>
          <w:sz w:val="20"/>
          <w:szCs w:val="20"/>
          <w:color w:val="auto"/>
        </w:rPr>
      </w:pPr>
      <w:r>
        <w:rPr>
          <w:rFonts w:ascii="Arial" w:cs="Arial" w:eastAsia="Arial" w:hAnsi="Arial"/>
          <w:sz w:val="18"/>
          <w:szCs w:val="18"/>
          <w:color w:val="auto"/>
        </w:rPr>
        <w:t>As of December 31, 2020, we had cash and cash equivalents (including restricted cash) of $205,165. Our principal sources of liquidity have been our cash flows from operations including the sale of containers and borrowings under debt facilities. As of December 31, 2020, we had the following outstanding borrowings and borrowing capacities per debt facility (in thousands):</w:t>
      </w:r>
    </w:p>
    <w:p>
      <w:pPr>
        <w:spacing w:after="0" w:line="190" w:lineRule="exact"/>
        <w:rPr>
          <w:sz w:val="20"/>
          <w:szCs w:val="20"/>
          <w:color w:val="auto"/>
        </w:rPr>
      </w:pPr>
    </w:p>
    <w:tbl>
      <w:tblPr>
        <w:tblLayout w:type="fixed"/>
        <w:tblInd w:w="4" w:type="dxa"/>
        <w:tblCellMar>
          <w:top w:w="0" w:type="dxa"/>
          <w:left w:w="0" w:type="dxa"/>
          <w:bottom w:w="0" w:type="dxa"/>
          <w:right w:w="0" w:type="dxa"/>
        </w:tblCellMar>
      </w:tblPr>
      <w:tr>
        <w:trPr>
          <w:trHeight w:val="161"/>
        </w:trPr>
        <w:tc>
          <w:tcPr>
            <w:tcW w:w="500" w:type="dxa"/>
            <w:vAlign w:val="bottom"/>
          </w:tcPr>
          <w:p>
            <w:pPr>
              <w:spacing w:after="0"/>
              <w:rPr>
                <w:sz w:val="14"/>
                <w:szCs w:val="14"/>
                <w:color w:val="auto"/>
              </w:rPr>
            </w:pPr>
          </w:p>
        </w:tc>
        <w:tc>
          <w:tcPr>
            <w:tcW w:w="400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100" w:type="dxa"/>
            <w:vAlign w:val="bottom"/>
            <w:gridSpan w:val="3"/>
            <w:vMerge w:val="restart"/>
          </w:tcPr>
          <w:p>
            <w:pPr>
              <w:jc w:val="right"/>
              <w:ind w:right="360"/>
              <w:spacing w:after="0"/>
              <w:rPr>
                <w:sz w:val="20"/>
                <w:szCs w:val="20"/>
                <w:color w:val="auto"/>
              </w:rPr>
            </w:pPr>
            <w:r>
              <w:rPr>
                <w:rFonts w:ascii="Arial" w:cs="Arial" w:eastAsia="Arial" w:hAnsi="Arial"/>
                <w:sz w:val="14"/>
                <w:szCs w:val="14"/>
                <w:b w:val="1"/>
                <w:bCs w:val="1"/>
                <w:color w:val="auto"/>
              </w:rPr>
              <w:t>Additional</w:t>
            </w:r>
          </w:p>
        </w:tc>
        <w:tc>
          <w:tcPr>
            <w:tcW w:w="8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98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94"/>
              </w:rPr>
              <w:t>Available</w:t>
            </w:r>
          </w:p>
        </w:tc>
        <w:tc>
          <w:tcPr>
            <w:tcW w:w="140" w:type="dxa"/>
            <w:vAlign w:val="bottom"/>
          </w:tcPr>
          <w:p>
            <w:pPr>
              <w:spacing w:after="0"/>
              <w:rPr>
                <w:sz w:val="14"/>
                <w:szCs w:val="14"/>
                <w:color w:val="auto"/>
              </w:rPr>
            </w:pPr>
          </w:p>
        </w:tc>
        <w:tc>
          <w:tcPr>
            <w:tcW w:w="880" w:type="dxa"/>
            <w:vAlign w:val="bottom"/>
            <w:gridSpan w:val="2"/>
            <w:vMerge w:val="restart"/>
          </w:tcPr>
          <w:p>
            <w:pPr>
              <w:jc w:val="center"/>
              <w:ind w:right="60"/>
              <w:spacing w:after="0"/>
              <w:rPr>
                <w:sz w:val="20"/>
                <w:szCs w:val="20"/>
                <w:color w:val="auto"/>
              </w:rPr>
            </w:pPr>
            <w:r>
              <w:rPr>
                <w:rFonts w:ascii="Arial" w:cs="Arial" w:eastAsia="Arial" w:hAnsi="Arial"/>
                <w:sz w:val="14"/>
                <w:szCs w:val="14"/>
                <w:b w:val="1"/>
                <w:bCs w:val="1"/>
                <w:color w:val="auto"/>
                <w:w w:val="98"/>
              </w:rPr>
              <w:t>Current and</w:t>
            </w:r>
          </w:p>
        </w:tc>
        <w:tc>
          <w:tcPr>
            <w:tcW w:w="0" w:type="dxa"/>
            <w:vAlign w:val="bottom"/>
          </w:tcPr>
          <w:p>
            <w:pPr>
              <w:spacing w:after="0"/>
              <w:rPr>
                <w:sz w:val="1"/>
                <w:szCs w:val="1"/>
                <w:color w:val="auto"/>
              </w:rPr>
            </w:pPr>
          </w:p>
        </w:tc>
      </w:tr>
      <w:tr>
        <w:trPr>
          <w:trHeight w:val="148"/>
        </w:trPr>
        <w:tc>
          <w:tcPr>
            <w:tcW w:w="500" w:type="dxa"/>
            <w:vAlign w:val="bottom"/>
          </w:tcPr>
          <w:p>
            <w:pPr>
              <w:spacing w:after="0"/>
              <w:rPr>
                <w:sz w:val="12"/>
                <w:szCs w:val="12"/>
                <w:color w:val="auto"/>
              </w:rPr>
            </w:pPr>
          </w:p>
        </w:tc>
        <w:tc>
          <w:tcPr>
            <w:tcW w:w="4000" w:type="dxa"/>
            <w:vAlign w:val="bottom"/>
          </w:tcPr>
          <w:p>
            <w:pPr>
              <w:spacing w:after="0"/>
              <w:rPr>
                <w:sz w:val="12"/>
                <w:szCs w:val="12"/>
                <w:color w:val="auto"/>
              </w:rPr>
            </w:pPr>
          </w:p>
        </w:tc>
        <w:tc>
          <w:tcPr>
            <w:tcW w:w="840" w:type="dxa"/>
            <w:vAlign w:val="bottom"/>
            <w:gridSpan w:val="2"/>
            <w:vMerge w:val="restart"/>
          </w:tcPr>
          <w:p>
            <w:pPr>
              <w:jc w:val="right"/>
              <w:ind w:right="180"/>
              <w:spacing w:after="0"/>
              <w:rPr>
                <w:sz w:val="20"/>
                <w:szCs w:val="20"/>
                <w:color w:val="auto"/>
              </w:rPr>
            </w:pPr>
            <w:r>
              <w:rPr>
                <w:rFonts w:ascii="Arial" w:cs="Arial" w:eastAsia="Arial" w:hAnsi="Arial"/>
                <w:sz w:val="14"/>
                <w:szCs w:val="14"/>
                <w:b w:val="1"/>
                <w:bCs w:val="1"/>
                <w:color w:val="auto"/>
              </w:rPr>
              <w:t>Current</w:t>
            </w:r>
          </w:p>
        </w:tc>
        <w:tc>
          <w:tcPr>
            <w:tcW w:w="260" w:type="dxa"/>
            <w:vAlign w:val="bottom"/>
          </w:tcPr>
          <w:p>
            <w:pPr>
              <w:spacing w:after="0"/>
              <w:rPr>
                <w:sz w:val="12"/>
                <w:szCs w:val="12"/>
                <w:color w:val="auto"/>
              </w:rPr>
            </w:pPr>
          </w:p>
        </w:tc>
        <w:tc>
          <w:tcPr>
            <w:tcW w:w="1100" w:type="dxa"/>
            <w:vAlign w:val="bottom"/>
            <w:gridSpan w:val="3"/>
            <w:vMerge w:val="continue"/>
          </w:tcPr>
          <w:p>
            <w:pPr>
              <w:spacing w:after="0"/>
              <w:rPr>
                <w:sz w:val="12"/>
                <w:szCs w:val="12"/>
                <w:color w:val="auto"/>
              </w:rPr>
            </w:pPr>
          </w:p>
        </w:tc>
        <w:tc>
          <w:tcPr>
            <w:tcW w:w="880" w:type="dxa"/>
            <w:vAlign w:val="bottom"/>
            <w:vMerge w:val="restart"/>
          </w:tcPr>
          <w:p>
            <w:pPr>
              <w:jc w:val="right"/>
              <w:ind w:right="233"/>
              <w:spacing w:after="0"/>
              <w:rPr>
                <w:sz w:val="20"/>
                <w:szCs w:val="20"/>
                <w:color w:val="auto"/>
              </w:rPr>
            </w:pPr>
            <w:r>
              <w:rPr>
                <w:rFonts w:ascii="Arial" w:cs="Arial" w:eastAsia="Arial" w:hAnsi="Arial"/>
                <w:sz w:val="14"/>
                <w:szCs w:val="14"/>
                <w:b w:val="1"/>
                <w:bCs w:val="1"/>
                <w:color w:val="auto"/>
              </w:rPr>
              <w:t>Total</w:t>
            </w:r>
          </w:p>
        </w:tc>
        <w:tc>
          <w:tcPr>
            <w:tcW w:w="200" w:type="dxa"/>
            <w:vAlign w:val="bottom"/>
          </w:tcPr>
          <w:p>
            <w:pPr>
              <w:spacing w:after="0"/>
              <w:rPr>
                <w:sz w:val="12"/>
                <w:szCs w:val="12"/>
                <w:color w:val="auto"/>
              </w:rPr>
            </w:pPr>
          </w:p>
        </w:tc>
        <w:tc>
          <w:tcPr>
            <w:tcW w:w="1100" w:type="dxa"/>
            <w:vAlign w:val="bottom"/>
            <w:gridSpan w:val="2"/>
            <w:vMerge w:val="restart"/>
          </w:tcPr>
          <w:p>
            <w:pPr>
              <w:jc w:val="right"/>
              <w:ind w:right="440"/>
              <w:spacing w:after="0"/>
              <w:rPr>
                <w:sz w:val="20"/>
                <w:szCs w:val="20"/>
                <w:color w:val="auto"/>
              </w:rPr>
            </w:pPr>
            <w:r>
              <w:rPr>
                <w:rFonts w:ascii="Arial" w:cs="Arial" w:eastAsia="Arial" w:hAnsi="Arial"/>
                <w:sz w:val="14"/>
                <w:szCs w:val="14"/>
                <w:b w:val="1"/>
                <w:bCs w:val="1"/>
                <w:color w:val="auto"/>
              </w:rPr>
              <w:t>Current</w:t>
            </w:r>
          </w:p>
        </w:tc>
        <w:tc>
          <w:tcPr>
            <w:tcW w:w="1120" w:type="dxa"/>
            <w:vAlign w:val="bottom"/>
            <w:gridSpan w:val="3"/>
          </w:tcPr>
          <w:p>
            <w:pPr>
              <w:jc w:val="center"/>
              <w:ind w:right="140"/>
              <w:spacing w:after="0" w:line="149" w:lineRule="exact"/>
              <w:rPr>
                <w:sz w:val="20"/>
                <w:szCs w:val="20"/>
                <w:color w:val="auto"/>
              </w:rPr>
            </w:pPr>
            <w:r>
              <w:rPr>
                <w:rFonts w:ascii="Arial" w:cs="Arial" w:eastAsia="Arial" w:hAnsi="Arial"/>
                <w:sz w:val="14"/>
                <w:szCs w:val="14"/>
                <w:b w:val="1"/>
                <w:bCs w:val="1"/>
                <w:color w:val="auto"/>
                <w:w w:val="92"/>
              </w:rPr>
              <w:t>Borrowing, as</w:t>
            </w:r>
          </w:p>
        </w:tc>
        <w:tc>
          <w:tcPr>
            <w:tcW w:w="140" w:type="dxa"/>
            <w:vAlign w:val="bottom"/>
          </w:tcPr>
          <w:p>
            <w:pPr>
              <w:spacing w:after="0"/>
              <w:rPr>
                <w:sz w:val="12"/>
                <w:szCs w:val="12"/>
                <w:color w:val="auto"/>
              </w:rPr>
            </w:pPr>
          </w:p>
        </w:tc>
        <w:tc>
          <w:tcPr>
            <w:tcW w:w="88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450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Facility:</w:t>
            </w:r>
          </w:p>
        </w:tc>
        <w:tc>
          <w:tcPr>
            <w:tcW w:w="840" w:type="dxa"/>
            <w:vAlign w:val="bottom"/>
            <w:gridSpan w:val="2"/>
            <w:vMerge w:val="continue"/>
          </w:tcPr>
          <w:p>
            <w:pPr>
              <w:spacing w:after="0"/>
              <w:rPr>
                <w:sz w:val="12"/>
                <w:szCs w:val="12"/>
                <w:color w:val="auto"/>
              </w:rPr>
            </w:pPr>
          </w:p>
        </w:tc>
        <w:tc>
          <w:tcPr>
            <w:tcW w:w="260" w:type="dxa"/>
            <w:vAlign w:val="bottom"/>
          </w:tcPr>
          <w:p>
            <w:pPr>
              <w:spacing w:after="0"/>
              <w:rPr>
                <w:sz w:val="12"/>
                <w:szCs w:val="12"/>
                <w:color w:val="auto"/>
              </w:rPr>
            </w:pPr>
          </w:p>
        </w:tc>
        <w:tc>
          <w:tcPr>
            <w:tcW w:w="1100" w:type="dxa"/>
            <w:vAlign w:val="bottom"/>
            <w:gridSpan w:val="3"/>
          </w:tcPr>
          <w:p>
            <w:pPr>
              <w:jc w:val="right"/>
              <w:ind w:right="360"/>
              <w:spacing w:after="0" w:line="149" w:lineRule="exact"/>
              <w:rPr>
                <w:sz w:val="20"/>
                <w:szCs w:val="20"/>
                <w:color w:val="auto"/>
              </w:rPr>
            </w:pPr>
            <w:r>
              <w:rPr>
                <w:rFonts w:ascii="Arial" w:cs="Arial" w:eastAsia="Arial" w:hAnsi="Arial"/>
                <w:sz w:val="14"/>
                <w:szCs w:val="14"/>
                <w:b w:val="1"/>
                <w:bCs w:val="1"/>
                <w:color w:val="auto"/>
              </w:rPr>
              <w:t>Borrowing</w:t>
            </w:r>
          </w:p>
        </w:tc>
        <w:tc>
          <w:tcPr>
            <w:tcW w:w="880" w:type="dxa"/>
            <w:vAlign w:val="bottom"/>
            <w:vMerge w:val="continue"/>
          </w:tcPr>
          <w:p>
            <w:pPr>
              <w:spacing w:after="0"/>
              <w:rPr>
                <w:sz w:val="12"/>
                <w:szCs w:val="12"/>
                <w:color w:val="auto"/>
              </w:rPr>
            </w:pPr>
          </w:p>
        </w:tc>
        <w:tc>
          <w:tcPr>
            <w:tcW w:w="200" w:type="dxa"/>
            <w:vAlign w:val="bottom"/>
          </w:tcPr>
          <w:p>
            <w:pPr>
              <w:spacing w:after="0"/>
              <w:rPr>
                <w:sz w:val="12"/>
                <w:szCs w:val="12"/>
                <w:color w:val="auto"/>
              </w:rPr>
            </w:pPr>
          </w:p>
        </w:tc>
        <w:tc>
          <w:tcPr>
            <w:tcW w:w="1100" w:type="dxa"/>
            <w:vAlign w:val="bottom"/>
            <w:gridSpan w:val="2"/>
            <w:vMerge w:val="continue"/>
          </w:tcPr>
          <w:p>
            <w:pPr>
              <w:spacing w:after="0"/>
              <w:rPr>
                <w:sz w:val="12"/>
                <w:szCs w:val="12"/>
                <w:color w:val="auto"/>
              </w:rPr>
            </w:pPr>
          </w:p>
        </w:tc>
        <w:tc>
          <w:tcPr>
            <w:tcW w:w="1120" w:type="dxa"/>
            <w:vAlign w:val="bottom"/>
            <w:gridSpan w:val="3"/>
          </w:tcPr>
          <w:p>
            <w:pPr>
              <w:jc w:val="center"/>
              <w:ind w:right="140"/>
              <w:spacing w:after="0" w:line="149" w:lineRule="exact"/>
              <w:rPr>
                <w:sz w:val="20"/>
                <w:szCs w:val="20"/>
                <w:color w:val="auto"/>
              </w:rPr>
            </w:pPr>
            <w:r>
              <w:rPr>
                <w:rFonts w:ascii="Arial" w:cs="Arial" w:eastAsia="Arial" w:hAnsi="Arial"/>
                <w:sz w:val="14"/>
                <w:szCs w:val="14"/>
                <w:b w:val="1"/>
                <w:bCs w:val="1"/>
                <w:color w:val="auto"/>
                <w:w w:val="97"/>
              </w:rPr>
              <w:t>Limited by our</w:t>
            </w:r>
          </w:p>
        </w:tc>
        <w:tc>
          <w:tcPr>
            <w:tcW w:w="140" w:type="dxa"/>
            <w:vAlign w:val="bottom"/>
          </w:tcPr>
          <w:p>
            <w:pPr>
              <w:spacing w:after="0"/>
              <w:rPr>
                <w:sz w:val="12"/>
                <w:szCs w:val="12"/>
                <w:color w:val="auto"/>
              </w:rPr>
            </w:pPr>
          </w:p>
        </w:tc>
        <w:tc>
          <w:tcPr>
            <w:tcW w:w="880" w:type="dxa"/>
            <w:vAlign w:val="bottom"/>
            <w:gridSpan w:val="2"/>
          </w:tcPr>
          <w:p>
            <w:pPr>
              <w:jc w:val="center"/>
              <w:ind w:right="60"/>
              <w:spacing w:after="0" w:line="149" w:lineRule="exact"/>
              <w:rPr>
                <w:sz w:val="20"/>
                <w:szCs w:val="20"/>
                <w:color w:val="auto"/>
              </w:rPr>
            </w:pPr>
            <w:r>
              <w:rPr>
                <w:rFonts w:ascii="Arial" w:cs="Arial" w:eastAsia="Arial" w:hAnsi="Arial"/>
                <w:sz w:val="14"/>
                <w:szCs w:val="14"/>
                <w:b w:val="1"/>
                <w:bCs w:val="1"/>
                <w:color w:val="auto"/>
                <w:w w:val="94"/>
              </w:rPr>
              <w:t>Available</w:t>
            </w:r>
          </w:p>
        </w:tc>
        <w:tc>
          <w:tcPr>
            <w:tcW w:w="0" w:type="dxa"/>
            <w:vAlign w:val="bottom"/>
          </w:tcPr>
          <w:p>
            <w:pPr>
              <w:spacing w:after="0"/>
              <w:rPr>
                <w:sz w:val="1"/>
                <w:szCs w:val="1"/>
                <w:color w:val="auto"/>
              </w:rPr>
            </w:pPr>
          </w:p>
        </w:tc>
      </w:tr>
      <w:tr>
        <w:trPr>
          <w:trHeight w:val="158"/>
        </w:trPr>
        <w:tc>
          <w:tcPr>
            <w:tcW w:w="4500" w:type="dxa"/>
            <w:vAlign w:val="bottom"/>
            <w:gridSpan w:val="2"/>
            <w:vMerge w:val="continue"/>
          </w:tcPr>
          <w:p>
            <w:pPr>
              <w:spacing w:after="0"/>
              <w:rPr>
                <w:sz w:val="13"/>
                <w:szCs w:val="13"/>
                <w:color w:val="auto"/>
              </w:rPr>
            </w:pPr>
          </w:p>
        </w:tc>
        <w:tc>
          <w:tcPr>
            <w:tcW w:w="840" w:type="dxa"/>
            <w:vAlign w:val="bottom"/>
            <w:gridSpan w:val="2"/>
          </w:tcPr>
          <w:p>
            <w:pPr>
              <w:jc w:val="right"/>
              <w:ind w:right="100"/>
              <w:spacing w:after="0" w:line="158" w:lineRule="exact"/>
              <w:rPr>
                <w:sz w:val="20"/>
                <w:szCs w:val="20"/>
                <w:color w:val="auto"/>
              </w:rPr>
            </w:pPr>
            <w:r>
              <w:rPr>
                <w:rFonts w:ascii="Arial" w:cs="Arial" w:eastAsia="Arial" w:hAnsi="Arial"/>
                <w:sz w:val="14"/>
                <w:szCs w:val="14"/>
                <w:b w:val="1"/>
                <w:bCs w:val="1"/>
                <w:color w:val="auto"/>
              </w:rPr>
              <w:t>Borrowing</w:t>
            </w:r>
          </w:p>
        </w:tc>
        <w:tc>
          <w:tcPr>
            <w:tcW w:w="260" w:type="dxa"/>
            <w:vAlign w:val="bottom"/>
          </w:tcPr>
          <w:p>
            <w:pPr>
              <w:spacing w:after="0"/>
              <w:rPr>
                <w:sz w:val="13"/>
                <w:szCs w:val="13"/>
                <w:color w:val="auto"/>
              </w:rPr>
            </w:pPr>
          </w:p>
        </w:tc>
        <w:tc>
          <w:tcPr>
            <w:tcW w:w="1100" w:type="dxa"/>
            <w:vAlign w:val="bottom"/>
            <w:gridSpan w:val="3"/>
          </w:tcPr>
          <w:p>
            <w:pPr>
              <w:spacing w:after="0" w:line="158" w:lineRule="exact"/>
              <w:rPr>
                <w:sz w:val="20"/>
                <w:szCs w:val="20"/>
                <w:color w:val="auto"/>
              </w:rPr>
            </w:pPr>
            <w:r>
              <w:rPr>
                <w:rFonts w:ascii="Arial" w:cs="Arial" w:eastAsia="Arial" w:hAnsi="Arial"/>
                <w:sz w:val="14"/>
                <w:szCs w:val="14"/>
                <w:b w:val="1"/>
                <w:bCs w:val="1"/>
                <w:color w:val="auto"/>
              </w:rPr>
              <w:t>Commitment</w:t>
            </w:r>
          </w:p>
        </w:tc>
        <w:tc>
          <w:tcPr>
            <w:tcW w:w="880" w:type="dxa"/>
            <w:vAlign w:val="bottom"/>
          </w:tcPr>
          <w:p>
            <w:pPr>
              <w:jc w:val="right"/>
              <w:spacing w:after="0" w:line="158" w:lineRule="exact"/>
              <w:rPr>
                <w:sz w:val="20"/>
                <w:szCs w:val="20"/>
                <w:color w:val="auto"/>
              </w:rPr>
            </w:pPr>
            <w:r>
              <w:rPr>
                <w:rFonts w:ascii="Arial" w:cs="Arial" w:eastAsia="Arial" w:hAnsi="Arial"/>
                <w:sz w:val="14"/>
                <w:szCs w:val="14"/>
                <w:b w:val="1"/>
                <w:bCs w:val="1"/>
                <w:color w:val="auto"/>
                <w:w w:val="93"/>
              </w:rPr>
              <w:t>Commitment</w:t>
            </w:r>
          </w:p>
        </w:tc>
        <w:tc>
          <w:tcPr>
            <w:tcW w:w="200" w:type="dxa"/>
            <w:vAlign w:val="bottom"/>
          </w:tcPr>
          <w:p>
            <w:pPr>
              <w:spacing w:after="0"/>
              <w:rPr>
                <w:sz w:val="13"/>
                <w:szCs w:val="13"/>
                <w:color w:val="auto"/>
              </w:rPr>
            </w:pPr>
          </w:p>
        </w:tc>
        <w:tc>
          <w:tcPr>
            <w:tcW w:w="1100" w:type="dxa"/>
            <w:vAlign w:val="bottom"/>
            <w:gridSpan w:val="2"/>
          </w:tcPr>
          <w:p>
            <w:pPr>
              <w:jc w:val="right"/>
              <w:ind w:right="360"/>
              <w:spacing w:after="0" w:line="158" w:lineRule="exact"/>
              <w:rPr>
                <w:sz w:val="20"/>
                <w:szCs w:val="20"/>
                <w:color w:val="auto"/>
              </w:rPr>
            </w:pPr>
            <w:r>
              <w:rPr>
                <w:rFonts w:ascii="Arial" w:cs="Arial" w:eastAsia="Arial" w:hAnsi="Arial"/>
                <w:sz w:val="14"/>
                <w:szCs w:val="14"/>
                <w:b w:val="1"/>
                <w:bCs w:val="1"/>
                <w:color w:val="auto"/>
              </w:rPr>
              <w:t>Borrowing</w:t>
            </w:r>
          </w:p>
        </w:tc>
        <w:tc>
          <w:tcPr>
            <w:tcW w:w="1120" w:type="dxa"/>
            <w:vAlign w:val="bottom"/>
            <w:gridSpan w:val="3"/>
          </w:tcPr>
          <w:p>
            <w:pPr>
              <w:jc w:val="center"/>
              <w:ind w:right="140"/>
              <w:spacing w:after="0" w:line="158" w:lineRule="exact"/>
              <w:rPr>
                <w:sz w:val="20"/>
                <w:szCs w:val="20"/>
                <w:color w:val="auto"/>
              </w:rPr>
            </w:pPr>
            <w:r>
              <w:rPr>
                <w:rFonts w:ascii="Arial" w:cs="Arial" w:eastAsia="Arial" w:hAnsi="Arial"/>
                <w:sz w:val="14"/>
                <w:szCs w:val="14"/>
                <w:b w:val="1"/>
                <w:bCs w:val="1"/>
                <w:color w:val="auto"/>
                <w:w w:val="91"/>
              </w:rPr>
              <w:t>Borrowing Base</w:t>
            </w:r>
          </w:p>
        </w:tc>
        <w:tc>
          <w:tcPr>
            <w:tcW w:w="140" w:type="dxa"/>
            <w:vAlign w:val="bottom"/>
          </w:tcPr>
          <w:p>
            <w:pPr>
              <w:spacing w:after="0"/>
              <w:rPr>
                <w:sz w:val="13"/>
                <w:szCs w:val="13"/>
                <w:color w:val="auto"/>
              </w:rPr>
            </w:pPr>
          </w:p>
        </w:tc>
        <w:tc>
          <w:tcPr>
            <w:tcW w:w="880" w:type="dxa"/>
            <w:vAlign w:val="bottom"/>
            <w:gridSpan w:val="2"/>
          </w:tcPr>
          <w:p>
            <w:pPr>
              <w:jc w:val="center"/>
              <w:ind w:right="60"/>
              <w:spacing w:after="0" w:line="158" w:lineRule="exact"/>
              <w:rPr>
                <w:sz w:val="20"/>
                <w:szCs w:val="20"/>
                <w:color w:val="auto"/>
              </w:rPr>
            </w:pPr>
            <w:r>
              <w:rPr>
                <w:rFonts w:ascii="Arial" w:cs="Arial" w:eastAsia="Arial" w:hAnsi="Arial"/>
                <w:sz w:val="14"/>
                <w:szCs w:val="14"/>
                <w:b w:val="1"/>
                <w:bCs w:val="1"/>
                <w:color w:val="auto"/>
                <w:w w:val="94"/>
              </w:rPr>
              <w:t>Borrowing</w:t>
            </w:r>
          </w:p>
        </w:tc>
        <w:tc>
          <w:tcPr>
            <w:tcW w:w="0" w:type="dxa"/>
            <w:vAlign w:val="bottom"/>
          </w:tcPr>
          <w:p>
            <w:pPr>
              <w:spacing w:after="0"/>
              <w:rPr>
                <w:sz w:val="1"/>
                <w:szCs w:val="1"/>
                <w:color w:val="auto"/>
              </w:rPr>
            </w:pPr>
          </w:p>
        </w:tc>
      </w:tr>
      <w:tr>
        <w:trPr>
          <w:trHeight w:val="20"/>
        </w:trPr>
        <w:tc>
          <w:tcPr>
            <w:tcW w:w="500" w:type="dxa"/>
            <w:vAlign w:val="bottom"/>
            <w:tcBorders>
              <w:bottom w:val="single" w:sz="8" w:color="CCEEFF"/>
            </w:tcBorders>
            <w:shd w:val="clear" w:color="auto" w:fill="000000"/>
          </w:tcPr>
          <w:p>
            <w:pPr>
              <w:spacing w:after="0" w:line="20" w:lineRule="exact"/>
              <w:rPr>
                <w:sz w:val="1"/>
                <w:szCs w:val="1"/>
                <w:color w:val="auto"/>
              </w:rPr>
            </w:pPr>
          </w:p>
        </w:tc>
        <w:tc>
          <w:tcPr>
            <w:tcW w:w="4000" w:type="dxa"/>
            <w:vAlign w:val="bottom"/>
            <w:tcBorders>
              <w:bottom w:val="single" w:sz="8" w:color="CCEEFF"/>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260" w:type="dxa"/>
            <w:vAlign w:val="bottom"/>
            <w:tcBorders>
              <w:bottom w:val="single" w:sz="8" w:color="CCEEFF"/>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CCEEFF"/>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CCEEFF"/>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CCEEFF"/>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3"/>
        </w:trPr>
        <w:tc>
          <w:tcPr>
            <w:tcW w:w="4500" w:type="dxa"/>
            <w:vAlign w:val="bottom"/>
            <w:gridSpan w:val="2"/>
            <w:shd w:val="clear" w:color="auto" w:fill="CCEEFF"/>
          </w:tcPr>
          <w:p>
            <w:pPr>
              <w:spacing w:after="0" w:line="203" w:lineRule="exact"/>
              <w:rPr>
                <w:sz w:val="20"/>
                <w:szCs w:val="20"/>
                <w:color w:val="auto"/>
              </w:rPr>
            </w:pPr>
            <w:r>
              <w:rPr>
                <w:rFonts w:ascii="Arial" w:cs="Arial" w:eastAsia="Arial" w:hAnsi="Arial"/>
                <w:sz w:val="18"/>
                <w:szCs w:val="18"/>
                <w:color w:val="auto"/>
              </w:rPr>
              <w:t>TL Revolving Credit Facility</w:t>
            </w:r>
          </w:p>
        </w:tc>
        <w:tc>
          <w:tcPr>
            <w:tcW w:w="820" w:type="dxa"/>
            <w:vAlign w:val="bottom"/>
            <w:shd w:val="clear" w:color="auto" w:fill="CCEEFF"/>
          </w:tcPr>
          <w:p>
            <w:pPr>
              <w:jc w:val="right"/>
              <w:spacing w:after="0" w:line="203" w:lineRule="exact"/>
              <w:rPr>
                <w:sz w:val="20"/>
                <w:szCs w:val="20"/>
                <w:color w:val="auto"/>
              </w:rPr>
            </w:pPr>
            <w:r>
              <w:rPr>
                <w:rFonts w:ascii="Arial" w:cs="Arial" w:eastAsia="Arial" w:hAnsi="Arial"/>
                <w:sz w:val="18"/>
                <w:szCs w:val="18"/>
                <w:color w:val="auto"/>
                <w:w w:val="88"/>
              </w:rPr>
              <w:t>$1,438,500</w:t>
            </w:r>
          </w:p>
        </w:tc>
        <w:tc>
          <w:tcPr>
            <w:tcW w:w="2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line="203" w:lineRule="exact"/>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line="203" w:lineRule="exact"/>
              <w:rPr>
                <w:sz w:val="20"/>
                <w:szCs w:val="20"/>
                <w:color w:val="auto"/>
              </w:rPr>
            </w:pPr>
            <w:r>
              <w:rPr>
                <w:rFonts w:ascii="Arial" w:cs="Arial" w:eastAsia="Arial" w:hAnsi="Arial"/>
                <w:sz w:val="18"/>
                <w:szCs w:val="18"/>
                <w:color w:val="auto"/>
              </w:rPr>
              <w:t>61,500</w:t>
            </w:r>
          </w:p>
        </w:tc>
        <w:tc>
          <w:tcPr>
            <w:tcW w:w="280" w:type="dxa"/>
            <w:vAlign w:val="bottom"/>
            <w:shd w:val="clear" w:color="auto" w:fill="CCEEFF"/>
          </w:tcPr>
          <w:p>
            <w:pPr>
              <w:spacing w:after="0"/>
              <w:rPr>
                <w:sz w:val="17"/>
                <w:szCs w:val="17"/>
                <w:color w:val="auto"/>
              </w:rPr>
            </w:pPr>
          </w:p>
        </w:tc>
        <w:tc>
          <w:tcPr>
            <w:tcW w:w="880" w:type="dxa"/>
            <w:vAlign w:val="bottom"/>
            <w:tcBorders>
              <w:right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88"/>
              </w:rPr>
              <w:t>$1,500,000</w:t>
            </w:r>
          </w:p>
        </w:tc>
        <w:tc>
          <w:tcPr>
            <w:tcW w:w="200" w:type="dxa"/>
            <w:vAlign w:val="bottom"/>
            <w:shd w:val="clear" w:color="auto" w:fill="CCEEFF"/>
          </w:tcPr>
          <w:p>
            <w:pPr>
              <w:spacing w:after="0"/>
              <w:rPr>
                <w:sz w:val="17"/>
                <w:szCs w:val="17"/>
                <w:color w:val="auto"/>
              </w:rPr>
            </w:pPr>
          </w:p>
        </w:tc>
        <w:tc>
          <w:tcPr>
            <w:tcW w:w="820" w:type="dxa"/>
            <w:vAlign w:val="bottom"/>
            <w:shd w:val="clear" w:color="auto" w:fill="CCEEFF"/>
          </w:tcPr>
          <w:p>
            <w:pPr>
              <w:jc w:val="right"/>
              <w:spacing w:after="0" w:line="203" w:lineRule="exact"/>
              <w:rPr>
                <w:sz w:val="20"/>
                <w:szCs w:val="20"/>
                <w:color w:val="auto"/>
              </w:rPr>
            </w:pPr>
            <w:r>
              <w:rPr>
                <w:rFonts w:ascii="Arial" w:cs="Arial" w:eastAsia="Arial" w:hAnsi="Arial"/>
                <w:sz w:val="18"/>
                <w:szCs w:val="18"/>
                <w:color w:val="auto"/>
                <w:w w:val="88"/>
              </w:rPr>
              <w:t>$1,438,500</w:t>
            </w:r>
          </w:p>
        </w:tc>
        <w:tc>
          <w:tcPr>
            <w:tcW w:w="280" w:type="dxa"/>
            <w:vAlign w:val="bottom"/>
            <w:shd w:val="clear" w:color="auto" w:fill="CCEEFF"/>
          </w:tcPr>
          <w:p>
            <w:pPr>
              <w:spacing w:after="0"/>
              <w:rPr>
                <w:sz w:val="17"/>
                <w:szCs w:val="17"/>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40" w:type="dxa"/>
            <w:vAlign w:val="bottom"/>
            <w:shd w:val="clear" w:color="auto" w:fill="CCEEFF"/>
          </w:tcPr>
          <w:p>
            <w:pPr>
              <w:jc w:val="right"/>
              <w:spacing w:after="0" w:line="203" w:lineRule="exact"/>
              <w:rPr>
                <w:sz w:val="20"/>
                <w:szCs w:val="20"/>
                <w:color w:val="auto"/>
              </w:rPr>
            </w:pPr>
            <w:r>
              <w:rPr>
                <w:rFonts w:ascii="Arial" w:cs="Arial" w:eastAsia="Arial" w:hAnsi="Arial"/>
                <w:sz w:val="18"/>
                <w:szCs w:val="18"/>
                <w:color w:val="auto"/>
              </w:rPr>
              <w:t>61,500</w:t>
            </w:r>
          </w:p>
        </w:tc>
        <w:tc>
          <w:tcPr>
            <w:tcW w:w="1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20" w:type="dxa"/>
            <w:vAlign w:val="bottom"/>
            <w:shd w:val="clear" w:color="auto" w:fill="CCEEFF"/>
          </w:tcPr>
          <w:p>
            <w:pPr>
              <w:jc w:val="right"/>
              <w:spacing w:after="0" w:line="203" w:lineRule="exact"/>
              <w:rPr>
                <w:sz w:val="20"/>
                <w:szCs w:val="20"/>
                <w:color w:val="auto"/>
              </w:rPr>
            </w:pPr>
            <w:r>
              <w:rPr>
                <w:rFonts w:ascii="Arial" w:cs="Arial" w:eastAsia="Arial" w:hAnsi="Arial"/>
                <w:sz w:val="18"/>
                <w:szCs w:val="18"/>
                <w:color w:val="auto"/>
                <w:w w:val="88"/>
              </w:rPr>
              <w:t>$1,500,000</w:t>
            </w:r>
          </w:p>
        </w:tc>
        <w:tc>
          <w:tcPr>
            <w:tcW w:w="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4500" w:type="dxa"/>
            <w:vAlign w:val="bottom"/>
            <w:gridSpan w:val="2"/>
          </w:tcPr>
          <w:p>
            <w:pPr>
              <w:spacing w:after="0"/>
              <w:rPr>
                <w:sz w:val="20"/>
                <w:szCs w:val="20"/>
                <w:color w:val="auto"/>
              </w:rPr>
            </w:pPr>
            <w:r>
              <w:rPr>
                <w:rFonts w:ascii="Arial" w:cs="Arial" w:eastAsia="Arial" w:hAnsi="Arial"/>
                <w:sz w:val="18"/>
                <w:szCs w:val="18"/>
                <w:color w:val="auto"/>
              </w:rPr>
              <w:t>TL 2019 Term Loan</w:t>
            </w:r>
          </w:p>
        </w:tc>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149,477</w:t>
            </w:r>
          </w:p>
        </w:tc>
        <w:tc>
          <w:tcPr>
            <w:tcW w:w="2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40" w:type="dxa"/>
            <w:vAlign w:val="bottom"/>
            <w:gridSpan w:val="2"/>
          </w:tcPr>
          <w:p>
            <w:pPr>
              <w:jc w:val="right"/>
              <w:ind w:right="360"/>
              <w:spacing w:after="0"/>
              <w:rPr>
                <w:sz w:val="20"/>
                <w:szCs w:val="20"/>
                <w:color w:val="auto"/>
              </w:rPr>
            </w:pPr>
            <w:r>
              <w:rPr>
                <w:rFonts w:ascii="Arial" w:cs="Arial" w:eastAsia="Arial" w:hAnsi="Arial"/>
                <w:sz w:val="18"/>
                <w:szCs w:val="18"/>
                <w:color w:val="auto"/>
              </w:rPr>
              <w:t>—</w:t>
            </w:r>
          </w:p>
        </w:tc>
        <w:tc>
          <w:tcPr>
            <w:tcW w:w="880" w:type="dxa"/>
            <w:vAlign w:val="bottom"/>
            <w:tcBorders>
              <w:right w:val="single" w:sz="8" w:color="auto"/>
            </w:tcBorders>
          </w:tcPr>
          <w:p>
            <w:pPr>
              <w:jc w:val="right"/>
              <w:spacing w:after="0"/>
              <w:rPr>
                <w:sz w:val="20"/>
                <w:szCs w:val="20"/>
                <w:color w:val="auto"/>
              </w:rPr>
            </w:pPr>
            <w:r>
              <w:rPr>
                <w:rFonts w:ascii="Arial" w:cs="Arial" w:eastAsia="Arial" w:hAnsi="Arial"/>
                <w:sz w:val="18"/>
                <w:szCs w:val="18"/>
                <w:color w:val="auto"/>
              </w:rPr>
              <w:t>149,477</w:t>
            </w:r>
          </w:p>
        </w:tc>
        <w:tc>
          <w:tcPr>
            <w:tcW w:w="1300" w:type="dxa"/>
            <w:vAlign w:val="bottom"/>
            <w:gridSpan w:val="3"/>
          </w:tcPr>
          <w:p>
            <w:pPr>
              <w:jc w:val="right"/>
              <w:ind w:right="280"/>
              <w:spacing w:after="0"/>
              <w:rPr>
                <w:sz w:val="20"/>
                <w:szCs w:val="20"/>
                <w:color w:val="auto"/>
              </w:rPr>
            </w:pPr>
            <w:r>
              <w:rPr>
                <w:rFonts w:ascii="Arial" w:cs="Arial" w:eastAsia="Arial" w:hAnsi="Arial"/>
                <w:sz w:val="18"/>
                <w:szCs w:val="18"/>
                <w:color w:val="auto"/>
              </w:rPr>
              <w:t>149,477</w:t>
            </w:r>
          </w:p>
        </w:tc>
        <w:tc>
          <w:tcPr>
            <w:tcW w:w="140" w:type="dxa"/>
            <w:vAlign w:val="bottom"/>
          </w:tcPr>
          <w:p>
            <w:pPr>
              <w:spacing w:after="0"/>
              <w:rPr>
                <w:sz w:val="18"/>
                <w:szCs w:val="18"/>
                <w:color w:val="auto"/>
              </w:rPr>
            </w:pPr>
          </w:p>
        </w:tc>
        <w:tc>
          <w:tcPr>
            <w:tcW w:w="98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c>
          <w:tcPr>
            <w:tcW w:w="1020" w:type="dxa"/>
            <w:vAlign w:val="bottom"/>
            <w:gridSpan w:val="3"/>
          </w:tcPr>
          <w:p>
            <w:pPr>
              <w:jc w:val="right"/>
              <w:ind w:right="60"/>
              <w:spacing w:after="0"/>
              <w:rPr>
                <w:sz w:val="20"/>
                <w:szCs w:val="20"/>
                <w:color w:val="auto"/>
              </w:rPr>
            </w:pPr>
            <w:r>
              <w:rPr>
                <w:rFonts w:ascii="Arial" w:cs="Arial" w:eastAsia="Arial" w:hAnsi="Arial"/>
                <w:sz w:val="18"/>
                <w:szCs w:val="18"/>
                <w:color w:val="auto"/>
              </w:rPr>
              <w:t>149,477</w:t>
            </w:r>
          </w:p>
        </w:tc>
        <w:tc>
          <w:tcPr>
            <w:tcW w:w="0" w:type="dxa"/>
            <w:vAlign w:val="bottom"/>
          </w:tcPr>
          <w:p>
            <w:pPr>
              <w:spacing w:after="0"/>
              <w:rPr>
                <w:sz w:val="1"/>
                <w:szCs w:val="1"/>
                <w:color w:val="auto"/>
              </w:rPr>
            </w:pPr>
          </w:p>
        </w:tc>
      </w:tr>
      <w:tr>
        <w:trPr>
          <w:trHeight w:val="216"/>
        </w:trPr>
        <w:tc>
          <w:tcPr>
            <w:tcW w:w="45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TMCL II Secured Debt Facility</w:t>
            </w:r>
          </w:p>
        </w:tc>
        <w:tc>
          <w:tcPr>
            <w:tcW w:w="8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649,531</w:t>
            </w:r>
          </w:p>
        </w:tc>
        <w:tc>
          <w:tcPr>
            <w:tcW w:w="2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w w:val="98"/>
              </w:rPr>
              <w:t>550,469</w:t>
            </w:r>
          </w:p>
        </w:tc>
        <w:tc>
          <w:tcPr>
            <w:tcW w:w="880" w:type="dxa"/>
            <w:vAlign w:val="bottom"/>
            <w:tcBorders>
              <w:right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9"/>
              </w:rPr>
              <w:t>1,200,000</w:t>
            </w:r>
          </w:p>
        </w:tc>
        <w:tc>
          <w:tcPr>
            <w:tcW w:w="1300" w:type="dxa"/>
            <w:vAlign w:val="bottom"/>
            <w:gridSpan w:val="3"/>
            <w:shd w:val="clear" w:color="auto" w:fill="CCEEFF"/>
          </w:tcPr>
          <w:p>
            <w:pPr>
              <w:jc w:val="right"/>
              <w:ind w:right="280"/>
              <w:spacing w:after="0"/>
              <w:rPr>
                <w:sz w:val="20"/>
                <w:szCs w:val="20"/>
                <w:color w:val="auto"/>
              </w:rPr>
            </w:pPr>
            <w:r>
              <w:rPr>
                <w:rFonts w:ascii="Arial" w:cs="Arial" w:eastAsia="Arial" w:hAnsi="Arial"/>
                <w:sz w:val="18"/>
                <w:szCs w:val="18"/>
                <w:color w:val="auto"/>
              </w:rPr>
              <w:t>649,531</w:t>
            </w:r>
          </w:p>
        </w:tc>
        <w:tc>
          <w:tcPr>
            <w:tcW w:w="14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4,906</w:t>
            </w:r>
          </w:p>
        </w:tc>
        <w:tc>
          <w:tcPr>
            <w:tcW w:w="10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654,437</w:t>
            </w:r>
          </w:p>
        </w:tc>
        <w:tc>
          <w:tcPr>
            <w:tcW w:w="0" w:type="dxa"/>
            <w:vAlign w:val="bottom"/>
          </w:tcPr>
          <w:p>
            <w:pPr>
              <w:spacing w:after="0"/>
              <w:rPr>
                <w:sz w:val="1"/>
                <w:szCs w:val="1"/>
                <w:color w:val="auto"/>
              </w:rPr>
            </w:pPr>
          </w:p>
        </w:tc>
      </w:tr>
      <w:tr>
        <w:trPr>
          <w:trHeight w:val="216"/>
        </w:trPr>
        <w:tc>
          <w:tcPr>
            <w:tcW w:w="4500" w:type="dxa"/>
            <w:vAlign w:val="bottom"/>
            <w:gridSpan w:val="2"/>
          </w:tcPr>
          <w:p>
            <w:pPr>
              <w:spacing w:after="0"/>
              <w:rPr>
                <w:sz w:val="20"/>
                <w:szCs w:val="20"/>
                <w:color w:val="auto"/>
              </w:rPr>
            </w:pPr>
            <w:r>
              <w:rPr>
                <w:rFonts w:ascii="Arial" w:cs="Arial" w:eastAsia="Arial" w:hAnsi="Arial"/>
                <w:sz w:val="18"/>
                <w:szCs w:val="18"/>
                <w:color w:val="auto"/>
              </w:rPr>
              <w:t>TMCL VI Term Loan</w:t>
            </w:r>
          </w:p>
        </w:tc>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225,123</w:t>
            </w:r>
          </w:p>
        </w:tc>
        <w:tc>
          <w:tcPr>
            <w:tcW w:w="2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40" w:type="dxa"/>
            <w:vAlign w:val="bottom"/>
            <w:gridSpan w:val="2"/>
          </w:tcPr>
          <w:p>
            <w:pPr>
              <w:jc w:val="right"/>
              <w:ind w:right="360"/>
              <w:spacing w:after="0"/>
              <w:rPr>
                <w:sz w:val="20"/>
                <w:szCs w:val="20"/>
                <w:color w:val="auto"/>
              </w:rPr>
            </w:pPr>
            <w:r>
              <w:rPr>
                <w:rFonts w:ascii="Arial" w:cs="Arial" w:eastAsia="Arial" w:hAnsi="Arial"/>
                <w:sz w:val="18"/>
                <w:szCs w:val="18"/>
                <w:color w:val="auto"/>
              </w:rPr>
              <w:t>—</w:t>
            </w:r>
          </w:p>
        </w:tc>
        <w:tc>
          <w:tcPr>
            <w:tcW w:w="880" w:type="dxa"/>
            <w:vAlign w:val="bottom"/>
            <w:tcBorders>
              <w:right w:val="single" w:sz="8" w:color="auto"/>
            </w:tcBorders>
          </w:tcPr>
          <w:p>
            <w:pPr>
              <w:jc w:val="right"/>
              <w:spacing w:after="0"/>
              <w:rPr>
                <w:sz w:val="20"/>
                <w:szCs w:val="20"/>
                <w:color w:val="auto"/>
              </w:rPr>
            </w:pPr>
            <w:r>
              <w:rPr>
                <w:rFonts w:ascii="Arial" w:cs="Arial" w:eastAsia="Arial" w:hAnsi="Arial"/>
                <w:sz w:val="18"/>
                <w:szCs w:val="18"/>
                <w:color w:val="auto"/>
              </w:rPr>
              <w:t>225,123</w:t>
            </w:r>
          </w:p>
        </w:tc>
        <w:tc>
          <w:tcPr>
            <w:tcW w:w="1300" w:type="dxa"/>
            <w:vAlign w:val="bottom"/>
            <w:gridSpan w:val="3"/>
          </w:tcPr>
          <w:p>
            <w:pPr>
              <w:jc w:val="right"/>
              <w:ind w:right="280"/>
              <w:spacing w:after="0"/>
              <w:rPr>
                <w:sz w:val="20"/>
                <w:szCs w:val="20"/>
                <w:color w:val="auto"/>
              </w:rPr>
            </w:pPr>
            <w:r>
              <w:rPr>
                <w:rFonts w:ascii="Arial" w:cs="Arial" w:eastAsia="Arial" w:hAnsi="Arial"/>
                <w:sz w:val="18"/>
                <w:szCs w:val="18"/>
                <w:color w:val="auto"/>
              </w:rPr>
              <w:t>225,123</w:t>
            </w:r>
          </w:p>
        </w:tc>
        <w:tc>
          <w:tcPr>
            <w:tcW w:w="140" w:type="dxa"/>
            <w:vAlign w:val="bottom"/>
          </w:tcPr>
          <w:p>
            <w:pPr>
              <w:spacing w:after="0"/>
              <w:rPr>
                <w:sz w:val="18"/>
                <w:szCs w:val="18"/>
                <w:color w:val="auto"/>
              </w:rPr>
            </w:pPr>
          </w:p>
        </w:tc>
        <w:tc>
          <w:tcPr>
            <w:tcW w:w="98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c>
          <w:tcPr>
            <w:tcW w:w="1020" w:type="dxa"/>
            <w:vAlign w:val="bottom"/>
            <w:gridSpan w:val="3"/>
          </w:tcPr>
          <w:p>
            <w:pPr>
              <w:jc w:val="right"/>
              <w:ind w:right="60"/>
              <w:spacing w:after="0"/>
              <w:rPr>
                <w:sz w:val="20"/>
                <w:szCs w:val="20"/>
                <w:color w:val="auto"/>
              </w:rPr>
            </w:pPr>
            <w:r>
              <w:rPr>
                <w:rFonts w:ascii="Arial" w:cs="Arial" w:eastAsia="Arial" w:hAnsi="Arial"/>
                <w:sz w:val="18"/>
                <w:szCs w:val="18"/>
                <w:color w:val="auto"/>
              </w:rPr>
              <w:t>225,123</w:t>
            </w:r>
          </w:p>
        </w:tc>
        <w:tc>
          <w:tcPr>
            <w:tcW w:w="0" w:type="dxa"/>
            <w:vAlign w:val="bottom"/>
          </w:tcPr>
          <w:p>
            <w:pPr>
              <w:spacing w:after="0"/>
              <w:rPr>
                <w:sz w:val="1"/>
                <w:szCs w:val="1"/>
                <w:color w:val="auto"/>
              </w:rPr>
            </w:pPr>
          </w:p>
        </w:tc>
      </w:tr>
      <w:tr>
        <w:trPr>
          <w:trHeight w:val="216"/>
        </w:trPr>
        <w:tc>
          <w:tcPr>
            <w:tcW w:w="45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TMCL VII 2019-1 Bonds (1)</w:t>
            </w:r>
          </w:p>
        </w:tc>
        <w:tc>
          <w:tcPr>
            <w:tcW w:w="8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303,333</w:t>
            </w:r>
          </w:p>
        </w:tc>
        <w:tc>
          <w:tcPr>
            <w:tcW w:w="2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880" w:type="dxa"/>
            <w:vAlign w:val="bottom"/>
            <w:tcBorders>
              <w:right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303,333</w:t>
            </w:r>
          </w:p>
        </w:tc>
        <w:tc>
          <w:tcPr>
            <w:tcW w:w="1300" w:type="dxa"/>
            <w:vAlign w:val="bottom"/>
            <w:gridSpan w:val="3"/>
            <w:shd w:val="clear" w:color="auto" w:fill="CCEEFF"/>
          </w:tcPr>
          <w:p>
            <w:pPr>
              <w:jc w:val="right"/>
              <w:ind w:right="280"/>
              <w:spacing w:after="0"/>
              <w:rPr>
                <w:sz w:val="20"/>
                <w:szCs w:val="20"/>
                <w:color w:val="auto"/>
              </w:rPr>
            </w:pPr>
            <w:r>
              <w:rPr>
                <w:rFonts w:ascii="Arial" w:cs="Arial" w:eastAsia="Arial" w:hAnsi="Arial"/>
                <w:sz w:val="18"/>
                <w:szCs w:val="18"/>
                <w:color w:val="auto"/>
              </w:rPr>
              <w:t>303,333</w:t>
            </w:r>
          </w:p>
        </w:tc>
        <w:tc>
          <w:tcPr>
            <w:tcW w:w="14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10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303,333</w:t>
            </w:r>
          </w:p>
        </w:tc>
        <w:tc>
          <w:tcPr>
            <w:tcW w:w="0" w:type="dxa"/>
            <w:vAlign w:val="bottom"/>
          </w:tcPr>
          <w:p>
            <w:pPr>
              <w:spacing w:after="0"/>
              <w:rPr>
                <w:sz w:val="1"/>
                <w:szCs w:val="1"/>
                <w:color w:val="auto"/>
              </w:rPr>
            </w:pPr>
          </w:p>
        </w:tc>
      </w:tr>
      <w:tr>
        <w:trPr>
          <w:trHeight w:val="216"/>
        </w:trPr>
        <w:tc>
          <w:tcPr>
            <w:tcW w:w="4500" w:type="dxa"/>
            <w:vAlign w:val="bottom"/>
            <w:gridSpan w:val="2"/>
          </w:tcPr>
          <w:p>
            <w:pPr>
              <w:spacing w:after="0"/>
              <w:rPr>
                <w:sz w:val="20"/>
                <w:szCs w:val="20"/>
                <w:color w:val="auto"/>
              </w:rPr>
            </w:pPr>
            <w:r>
              <w:rPr>
                <w:rFonts w:ascii="Arial" w:cs="Arial" w:eastAsia="Arial" w:hAnsi="Arial"/>
                <w:sz w:val="18"/>
                <w:szCs w:val="18"/>
                <w:color w:val="auto"/>
              </w:rPr>
              <w:t>TMCL VII 2020-1 Bonds (1)</w:t>
            </w:r>
          </w:p>
        </w:tc>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434,288</w:t>
            </w:r>
          </w:p>
        </w:tc>
        <w:tc>
          <w:tcPr>
            <w:tcW w:w="2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40" w:type="dxa"/>
            <w:vAlign w:val="bottom"/>
            <w:gridSpan w:val="2"/>
          </w:tcPr>
          <w:p>
            <w:pPr>
              <w:jc w:val="right"/>
              <w:ind w:right="360"/>
              <w:spacing w:after="0"/>
              <w:rPr>
                <w:sz w:val="20"/>
                <w:szCs w:val="20"/>
                <w:color w:val="auto"/>
              </w:rPr>
            </w:pPr>
            <w:r>
              <w:rPr>
                <w:rFonts w:ascii="Arial" w:cs="Arial" w:eastAsia="Arial" w:hAnsi="Arial"/>
                <w:sz w:val="18"/>
                <w:szCs w:val="18"/>
                <w:color w:val="auto"/>
              </w:rPr>
              <w:t>—</w:t>
            </w:r>
          </w:p>
        </w:tc>
        <w:tc>
          <w:tcPr>
            <w:tcW w:w="880" w:type="dxa"/>
            <w:vAlign w:val="bottom"/>
            <w:tcBorders>
              <w:right w:val="single" w:sz="8" w:color="auto"/>
            </w:tcBorders>
          </w:tcPr>
          <w:p>
            <w:pPr>
              <w:jc w:val="right"/>
              <w:spacing w:after="0"/>
              <w:rPr>
                <w:sz w:val="20"/>
                <w:szCs w:val="20"/>
                <w:color w:val="auto"/>
              </w:rPr>
            </w:pPr>
            <w:r>
              <w:rPr>
                <w:rFonts w:ascii="Arial" w:cs="Arial" w:eastAsia="Arial" w:hAnsi="Arial"/>
                <w:sz w:val="18"/>
                <w:szCs w:val="18"/>
                <w:color w:val="auto"/>
              </w:rPr>
              <w:t>434,288</w:t>
            </w:r>
          </w:p>
        </w:tc>
        <w:tc>
          <w:tcPr>
            <w:tcW w:w="1300" w:type="dxa"/>
            <w:vAlign w:val="bottom"/>
            <w:gridSpan w:val="3"/>
          </w:tcPr>
          <w:p>
            <w:pPr>
              <w:jc w:val="right"/>
              <w:ind w:right="280"/>
              <w:spacing w:after="0"/>
              <w:rPr>
                <w:sz w:val="20"/>
                <w:szCs w:val="20"/>
                <w:color w:val="auto"/>
              </w:rPr>
            </w:pPr>
            <w:r>
              <w:rPr>
                <w:rFonts w:ascii="Arial" w:cs="Arial" w:eastAsia="Arial" w:hAnsi="Arial"/>
                <w:sz w:val="18"/>
                <w:szCs w:val="18"/>
                <w:color w:val="auto"/>
              </w:rPr>
              <w:t>434,288</w:t>
            </w:r>
          </w:p>
        </w:tc>
        <w:tc>
          <w:tcPr>
            <w:tcW w:w="140" w:type="dxa"/>
            <w:vAlign w:val="bottom"/>
          </w:tcPr>
          <w:p>
            <w:pPr>
              <w:spacing w:after="0"/>
              <w:rPr>
                <w:sz w:val="18"/>
                <w:szCs w:val="18"/>
                <w:color w:val="auto"/>
              </w:rPr>
            </w:pPr>
          </w:p>
        </w:tc>
        <w:tc>
          <w:tcPr>
            <w:tcW w:w="98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c>
          <w:tcPr>
            <w:tcW w:w="1020" w:type="dxa"/>
            <w:vAlign w:val="bottom"/>
            <w:gridSpan w:val="3"/>
          </w:tcPr>
          <w:p>
            <w:pPr>
              <w:jc w:val="right"/>
              <w:ind w:right="60"/>
              <w:spacing w:after="0"/>
              <w:rPr>
                <w:sz w:val="20"/>
                <w:szCs w:val="20"/>
                <w:color w:val="auto"/>
              </w:rPr>
            </w:pPr>
            <w:r>
              <w:rPr>
                <w:rFonts w:ascii="Arial" w:cs="Arial" w:eastAsia="Arial" w:hAnsi="Arial"/>
                <w:sz w:val="18"/>
                <w:szCs w:val="18"/>
                <w:color w:val="auto"/>
              </w:rPr>
              <w:t>434,288</w:t>
            </w:r>
          </w:p>
        </w:tc>
        <w:tc>
          <w:tcPr>
            <w:tcW w:w="0" w:type="dxa"/>
            <w:vAlign w:val="bottom"/>
          </w:tcPr>
          <w:p>
            <w:pPr>
              <w:spacing w:after="0"/>
              <w:rPr>
                <w:sz w:val="1"/>
                <w:szCs w:val="1"/>
                <w:color w:val="auto"/>
              </w:rPr>
            </w:pPr>
          </w:p>
        </w:tc>
      </w:tr>
      <w:tr>
        <w:trPr>
          <w:trHeight w:val="216"/>
        </w:trPr>
        <w:tc>
          <w:tcPr>
            <w:tcW w:w="45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TMCL VII 2020-2 Bonds (1)</w:t>
            </w:r>
          </w:p>
        </w:tc>
        <w:tc>
          <w:tcPr>
            <w:tcW w:w="8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593,652</w:t>
            </w:r>
          </w:p>
        </w:tc>
        <w:tc>
          <w:tcPr>
            <w:tcW w:w="2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880" w:type="dxa"/>
            <w:vAlign w:val="bottom"/>
            <w:tcBorders>
              <w:right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593,652</w:t>
            </w:r>
          </w:p>
        </w:tc>
        <w:tc>
          <w:tcPr>
            <w:tcW w:w="1300" w:type="dxa"/>
            <w:vAlign w:val="bottom"/>
            <w:gridSpan w:val="3"/>
            <w:shd w:val="clear" w:color="auto" w:fill="CCEEFF"/>
          </w:tcPr>
          <w:p>
            <w:pPr>
              <w:jc w:val="right"/>
              <w:ind w:right="280"/>
              <w:spacing w:after="0"/>
              <w:rPr>
                <w:sz w:val="20"/>
                <w:szCs w:val="20"/>
                <w:color w:val="auto"/>
              </w:rPr>
            </w:pPr>
            <w:r>
              <w:rPr>
                <w:rFonts w:ascii="Arial" w:cs="Arial" w:eastAsia="Arial" w:hAnsi="Arial"/>
                <w:sz w:val="18"/>
                <w:szCs w:val="18"/>
                <w:color w:val="auto"/>
              </w:rPr>
              <w:t>593,652</w:t>
            </w:r>
          </w:p>
        </w:tc>
        <w:tc>
          <w:tcPr>
            <w:tcW w:w="14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10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593,652</w:t>
            </w:r>
          </w:p>
        </w:tc>
        <w:tc>
          <w:tcPr>
            <w:tcW w:w="0" w:type="dxa"/>
            <w:vAlign w:val="bottom"/>
          </w:tcPr>
          <w:p>
            <w:pPr>
              <w:spacing w:after="0"/>
              <w:rPr>
                <w:sz w:val="1"/>
                <w:szCs w:val="1"/>
                <w:color w:val="auto"/>
              </w:rPr>
            </w:pPr>
          </w:p>
        </w:tc>
      </w:tr>
      <w:tr>
        <w:trPr>
          <w:trHeight w:val="216"/>
        </w:trPr>
        <w:tc>
          <w:tcPr>
            <w:tcW w:w="4500" w:type="dxa"/>
            <w:vAlign w:val="bottom"/>
            <w:gridSpan w:val="2"/>
          </w:tcPr>
          <w:p>
            <w:pPr>
              <w:spacing w:after="0"/>
              <w:rPr>
                <w:sz w:val="20"/>
                <w:szCs w:val="20"/>
                <w:color w:val="auto"/>
              </w:rPr>
            </w:pPr>
            <w:r>
              <w:rPr>
                <w:rFonts w:ascii="Arial" w:cs="Arial" w:eastAsia="Arial" w:hAnsi="Arial"/>
                <w:sz w:val="18"/>
                <w:szCs w:val="18"/>
                <w:color w:val="auto"/>
              </w:rPr>
              <w:t>TMCL VII 2020-3 Bonds (1)</w:t>
            </w:r>
          </w:p>
        </w:tc>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215,972</w:t>
            </w:r>
          </w:p>
        </w:tc>
        <w:tc>
          <w:tcPr>
            <w:tcW w:w="2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40" w:type="dxa"/>
            <w:vAlign w:val="bottom"/>
            <w:gridSpan w:val="2"/>
          </w:tcPr>
          <w:p>
            <w:pPr>
              <w:jc w:val="right"/>
              <w:ind w:right="360"/>
              <w:spacing w:after="0"/>
              <w:rPr>
                <w:sz w:val="20"/>
                <w:szCs w:val="20"/>
                <w:color w:val="auto"/>
              </w:rPr>
            </w:pPr>
            <w:r>
              <w:rPr>
                <w:rFonts w:ascii="Arial" w:cs="Arial" w:eastAsia="Arial" w:hAnsi="Arial"/>
                <w:sz w:val="18"/>
                <w:szCs w:val="18"/>
                <w:color w:val="auto"/>
              </w:rPr>
              <w:t>—</w:t>
            </w:r>
          </w:p>
        </w:tc>
        <w:tc>
          <w:tcPr>
            <w:tcW w:w="880" w:type="dxa"/>
            <w:vAlign w:val="bottom"/>
            <w:tcBorders>
              <w:right w:val="single" w:sz="8" w:color="auto"/>
            </w:tcBorders>
          </w:tcPr>
          <w:p>
            <w:pPr>
              <w:jc w:val="right"/>
              <w:spacing w:after="0"/>
              <w:rPr>
                <w:sz w:val="20"/>
                <w:szCs w:val="20"/>
                <w:color w:val="auto"/>
              </w:rPr>
            </w:pPr>
            <w:r>
              <w:rPr>
                <w:rFonts w:ascii="Arial" w:cs="Arial" w:eastAsia="Arial" w:hAnsi="Arial"/>
                <w:sz w:val="18"/>
                <w:szCs w:val="18"/>
                <w:color w:val="auto"/>
              </w:rPr>
              <w:t>215,972</w:t>
            </w:r>
          </w:p>
        </w:tc>
        <w:tc>
          <w:tcPr>
            <w:tcW w:w="1300" w:type="dxa"/>
            <w:vAlign w:val="bottom"/>
            <w:gridSpan w:val="3"/>
          </w:tcPr>
          <w:p>
            <w:pPr>
              <w:jc w:val="right"/>
              <w:ind w:right="280"/>
              <w:spacing w:after="0"/>
              <w:rPr>
                <w:sz w:val="20"/>
                <w:szCs w:val="20"/>
                <w:color w:val="auto"/>
              </w:rPr>
            </w:pPr>
            <w:r>
              <w:rPr>
                <w:rFonts w:ascii="Arial" w:cs="Arial" w:eastAsia="Arial" w:hAnsi="Arial"/>
                <w:sz w:val="18"/>
                <w:szCs w:val="18"/>
                <w:color w:val="auto"/>
              </w:rPr>
              <w:t>215,972</w:t>
            </w:r>
          </w:p>
        </w:tc>
        <w:tc>
          <w:tcPr>
            <w:tcW w:w="140" w:type="dxa"/>
            <w:vAlign w:val="bottom"/>
          </w:tcPr>
          <w:p>
            <w:pPr>
              <w:spacing w:after="0"/>
              <w:rPr>
                <w:sz w:val="18"/>
                <w:szCs w:val="18"/>
                <w:color w:val="auto"/>
              </w:rPr>
            </w:pPr>
          </w:p>
        </w:tc>
        <w:tc>
          <w:tcPr>
            <w:tcW w:w="98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c>
          <w:tcPr>
            <w:tcW w:w="1020" w:type="dxa"/>
            <w:vAlign w:val="bottom"/>
            <w:gridSpan w:val="3"/>
          </w:tcPr>
          <w:p>
            <w:pPr>
              <w:jc w:val="right"/>
              <w:ind w:right="60"/>
              <w:spacing w:after="0"/>
              <w:rPr>
                <w:sz w:val="20"/>
                <w:szCs w:val="20"/>
                <w:color w:val="auto"/>
              </w:rPr>
            </w:pPr>
            <w:r>
              <w:rPr>
                <w:rFonts w:ascii="Arial" w:cs="Arial" w:eastAsia="Arial" w:hAnsi="Arial"/>
                <w:sz w:val="18"/>
                <w:szCs w:val="18"/>
                <w:color w:val="auto"/>
              </w:rPr>
              <w:t>215,972</w:t>
            </w:r>
          </w:p>
        </w:tc>
        <w:tc>
          <w:tcPr>
            <w:tcW w:w="0" w:type="dxa"/>
            <w:vAlign w:val="bottom"/>
          </w:tcPr>
          <w:p>
            <w:pPr>
              <w:spacing w:after="0"/>
              <w:rPr>
                <w:sz w:val="1"/>
                <w:szCs w:val="1"/>
                <w:color w:val="auto"/>
              </w:rPr>
            </w:pPr>
          </w:p>
        </w:tc>
      </w:tr>
      <w:tr>
        <w:trPr>
          <w:trHeight w:val="216"/>
        </w:trPr>
        <w:tc>
          <w:tcPr>
            <w:tcW w:w="45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TAP Funding Revolving Credit Facility (2)</w:t>
            </w:r>
          </w:p>
        </w:tc>
        <w:tc>
          <w:tcPr>
            <w:tcW w:w="8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132,150</w:t>
            </w:r>
          </w:p>
        </w:tc>
        <w:tc>
          <w:tcPr>
            <w:tcW w:w="2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22,850</w:t>
            </w:r>
          </w:p>
        </w:tc>
        <w:tc>
          <w:tcPr>
            <w:tcW w:w="880" w:type="dxa"/>
            <w:vAlign w:val="bottom"/>
            <w:tcBorders>
              <w:right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155,000</w:t>
            </w:r>
          </w:p>
        </w:tc>
        <w:tc>
          <w:tcPr>
            <w:tcW w:w="1300" w:type="dxa"/>
            <w:vAlign w:val="bottom"/>
            <w:gridSpan w:val="3"/>
            <w:shd w:val="clear" w:color="auto" w:fill="CCEEFF"/>
          </w:tcPr>
          <w:p>
            <w:pPr>
              <w:jc w:val="right"/>
              <w:ind w:right="280"/>
              <w:spacing w:after="0"/>
              <w:rPr>
                <w:sz w:val="20"/>
                <w:szCs w:val="20"/>
                <w:color w:val="auto"/>
              </w:rPr>
            </w:pPr>
            <w:r>
              <w:rPr>
                <w:rFonts w:ascii="Arial" w:cs="Arial" w:eastAsia="Arial" w:hAnsi="Arial"/>
                <w:sz w:val="18"/>
                <w:szCs w:val="18"/>
                <w:color w:val="auto"/>
              </w:rPr>
              <w:t>132,150</w:t>
            </w:r>
          </w:p>
        </w:tc>
        <w:tc>
          <w:tcPr>
            <w:tcW w:w="14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3,686</w:t>
            </w:r>
          </w:p>
        </w:tc>
        <w:tc>
          <w:tcPr>
            <w:tcW w:w="10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135,836</w:t>
            </w:r>
          </w:p>
        </w:tc>
        <w:tc>
          <w:tcPr>
            <w:tcW w:w="0" w:type="dxa"/>
            <w:vAlign w:val="bottom"/>
          </w:tcPr>
          <w:p>
            <w:pPr>
              <w:spacing w:after="0"/>
              <w:rPr>
                <w:sz w:val="1"/>
                <w:szCs w:val="1"/>
                <w:color w:val="auto"/>
              </w:rPr>
            </w:pPr>
          </w:p>
        </w:tc>
      </w:tr>
      <w:tr>
        <w:trPr>
          <w:trHeight w:val="223"/>
        </w:trPr>
        <w:tc>
          <w:tcPr>
            <w:tcW w:w="4500" w:type="dxa"/>
            <w:vAlign w:val="bottom"/>
            <w:gridSpan w:val="2"/>
          </w:tcPr>
          <w:p>
            <w:pPr>
              <w:spacing w:after="0"/>
              <w:rPr>
                <w:sz w:val="20"/>
                <w:szCs w:val="20"/>
                <w:color w:val="auto"/>
              </w:rPr>
            </w:pPr>
            <w:r>
              <w:rPr>
                <w:rFonts w:ascii="Arial" w:cs="Arial" w:eastAsia="Arial" w:hAnsi="Arial"/>
                <w:sz w:val="18"/>
                <w:szCs w:val="18"/>
                <w:color w:val="auto"/>
              </w:rPr>
              <w:t>Total (3)</w:t>
            </w: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8"/>
              </w:rPr>
              <w:t>$</w:t>
            </w:r>
            <w:r>
              <w:rPr>
                <w:rFonts w:ascii="Arial" w:cs="Arial" w:eastAsia="Arial" w:hAnsi="Arial"/>
                <w:sz w:val="18"/>
                <w:szCs w:val="18"/>
                <w:color w:val="auto"/>
                <w:w w:val="88"/>
              </w:rPr>
              <w:t>4,142,026</w:t>
            </w:r>
          </w:p>
        </w:tc>
        <w:tc>
          <w:tcPr>
            <w:tcW w:w="20" w:type="dxa"/>
            <w:vAlign w:val="bottom"/>
            <w:tcBorders>
              <w:bottom w:val="single" w:sz="8" w:color="auto"/>
            </w:tcBorders>
          </w:tcPr>
          <w:p>
            <w:pPr>
              <w:spacing w:after="0"/>
              <w:rPr>
                <w:sz w:val="19"/>
                <w:szCs w:val="19"/>
                <w:color w:val="auto"/>
              </w:rPr>
            </w:pPr>
          </w:p>
        </w:tc>
        <w:tc>
          <w:tcPr>
            <w:tcW w:w="260" w:type="dxa"/>
            <w:vAlign w:val="bottom"/>
          </w:tcPr>
          <w:p>
            <w:pPr>
              <w:spacing w:after="0"/>
              <w:rPr>
                <w:sz w:val="19"/>
                <w:szCs w:val="19"/>
                <w:color w:val="auto"/>
              </w:rPr>
            </w:pPr>
          </w:p>
        </w:tc>
        <w:tc>
          <w:tcPr>
            <w:tcW w:w="16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634,819</w:t>
            </w:r>
          </w:p>
        </w:tc>
        <w:tc>
          <w:tcPr>
            <w:tcW w:w="280" w:type="dxa"/>
            <w:vAlign w:val="bottom"/>
          </w:tcPr>
          <w:p>
            <w:pPr>
              <w:spacing w:after="0"/>
              <w:rPr>
                <w:sz w:val="19"/>
                <w:szCs w:val="19"/>
                <w:color w:val="auto"/>
              </w:rPr>
            </w:pPr>
          </w:p>
        </w:tc>
        <w:tc>
          <w:tcPr>
            <w:tcW w:w="880" w:type="dxa"/>
            <w:vAlign w:val="bottom"/>
            <w:tcBorders>
              <w:top w:val="single" w:sz="8" w:color="auto"/>
              <w:bottom w:val="single" w:sz="8" w:color="auto"/>
              <w:right w:val="single" w:sz="8" w:color="auto"/>
            </w:tcBorders>
          </w:tcPr>
          <w:p>
            <w:pPr>
              <w:jc w:val="right"/>
              <w:spacing w:after="0"/>
              <w:rPr>
                <w:sz w:val="20"/>
                <w:szCs w:val="20"/>
                <w:color w:val="auto"/>
              </w:rPr>
            </w:pPr>
            <w:r>
              <w:rPr>
                <w:rFonts w:ascii="Arial" w:cs="Arial" w:eastAsia="Arial" w:hAnsi="Arial"/>
                <w:sz w:val="18"/>
                <w:szCs w:val="18"/>
                <w:u w:val="single" w:color="auto"/>
                <w:color w:val="auto"/>
                <w:w w:val="88"/>
              </w:rPr>
              <w:t>$</w:t>
            </w:r>
            <w:r>
              <w:rPr>
                <w:rFonts w:ascii="Arial" w:cs="Arial" w:eastAsia="Arial" w:hAnsi="Arial"/>
                <w:sz w:val="18"/>
                <w:szCs w:val="18"/>
                <w:color w:val="auto"/>
                <w:w w:val="88"/>
              </w:rPr>
              <w:t>4,776,845</w:t>
            </w:r>
          </w:p>
        </w:tc>
        <w:tc>
          <w:tcPr>
            <w:tcW w:w="200" w:type="dxa"/>
            <w:vAlign w:val="bottom"/>
          </w:tcPr>
          <w:p>
            <w:pPr>
              <w:spacing w:after="0"/>
              <w:rPr>
                <w:sz w:val="19"/>
                <w:szCs w:val="19"/>
                <w:color w:val="auto"/>
              </w:rPr>
            </w:pP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8"/>
              </w:rPr>
              <w:t>$</w:t>
            </w:r>
            <w:r>
              <w:rPr>
                <w:rFonts w:ascii="Arial" w:cs="Arial" w:eastAsia="Arial" w:hAnsi="Arial"/>
                <w:sz w:val="18"/>
                <w:szCs w:val="18"/>
                <w:color w:val="auto"/>
                <w:w w:val="88"/>
              </w:rPr>
              <w:t>4,142,026</w:t>
            </w:r>
          </w:p>
        </w:tc>
        <w:tc>
          <w:tcPr>
            <w:tcW w:w="280" w:type="dxa"/>
            <w:vAlign w:val="bottom"/>
          </w:tcPr>
          <w:p>
            <w:pPr>
              <w:spacing w:after="0"/>
              <w:rPr>
                <w:sz w:val="19"/>
                <w:szCs w:val="19"/>
                <w:color w:val="auto"/>
              </w:rPr>
            </w:pPr>
          </w:p>
        </w:tc>
        <w:tc>
          <w:tcPr>
            <w:tcW w:w="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8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70,091</w:t>
            </w:r>
          </w:p>
        </w:tc>
        <w:tc>
          <w:tcPr>
            <w:tcW w:w="14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4"/>
              </w:rPr>
              <w:t>$</w:t>
            </w:r>
            <w:r>
              <w:rPr>
                <w:rFonts w:ascii="Arial" w:cs="Arial" w:eastAsia="Arial" w:hAnsi="Arial"/>
                <w:sz w:val="18"/>
                <w:szCs w:val="18"/>
                <w:color w:val="auto"/>
                <w:w w:val="84"/>
              </w:rPr>
              <w:t xml:space="preserve"> 4,212,117</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500" w:type="dxa"/>
            <w:vAlign w:val="bottom"/>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21" w:lineRule="exact"/>
        <w:rPr>
          <w:sz w:val="20"/>
          <w:szCs w:val="20"/>
          <w:color w:val="auto"/>
        </w:rPr>
      </w:pPr>
    </w:p>
    <w:p>
      <w:pPr>
        <w:ind w:left="424" w:right="640" w:hanging="424"/>
        <w:spacing w:after="0" w:line="277" w:lineRule="auto"/>
        <w:tabs>
          <w:tab w:leader="none" w:pos="424" w:val="left"/>
        </w:tabs>
        <w:numPr>
          <w:ilvl w:val="0"/>
          <w:numId w:val="50"/>
        </w:numPr>
        <w:rPr>
          <w:rFonts w:ascii="Arial" w:cs="Arial" w:eastAsia="Arial" w:hAnsi="Arial"/>
          <w:sz w:val="18"/>
          <w:szCs w:val="18"/>
          <w:color w:val="auto"/>
        </w:rPr>
      </w:pPr>
      <w:r>
        <w:rPr>
          <w:rFonts w:ascii="Arial" w:cs="Arial" w:eastAsia="Arial" w:hAnsi="Arial"/>
          <w:sz w:val="18"/>
          <w:szCs w:val="18"/>
          <w:color w:val="auto"/>
        </w:rPr>
        <w:t>Amounts on the TMCL VII 2019-1 Bonds, TMCL VII 2020-1 Bonds, TMCL VII 2020-2 Bonds and TMCL VII 2020-3 Bonds exclude an unamortized discount of $81, $79, $157 and $82, respectively.</w:t>
      </w:r>
    </w:p>
    <w:p>
      <w:pPr>
        <w:spacing w:after="0" w:line="10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64</w:t>
      </w:r>
    </w:p>
    <w:p>
      <w:pPr>
        <w:sectPr>
          <w:pgSz w:w="11900" w:h="16838" w:orient="portrait"/>
          <w:cols w:equalWidth="0" w:num="1">
            <w:col w:w="11024"/>
          </w:cols>
          <w:pgMar w:left="436" w:top="274" w:right="439" w:bottom="1440" w:gutter="0" w:footer="0" w:header="0"/>
        </w:sectPr>
      </w:pPr>
    </w:p>
    <w:bookmarkStart w:id="78" w:name="page79"/>
    <w:bookmarkEnd w:id="78"/>
    <w:p>
      <w:pPr>
        <w:ind w:left="424" w:right="260" w:hanging="424"/>
        <w:spacing w:after="0" w:line="291" w:lineRule="auto"/>
        <w:tabs>
          <w:tab w:leader="none" w:pos="424" w:val="left"/>
        </w:tabs>
        <w:numPr>
          <w:ilvl w:val="0"/>
          <w:numId w:val="51"/>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On February 10, 2021, the Company fully paid and terminated the TAP Funding Revolving Credit Facility (see Note 14 “Subsequent Event” to our consolidated financial statements in Item 18, </w:t>
      </w:r>
      <w:r>
        <w:rPr>
          <w:rFonts w:ascii="Arial" w:cs="Arial" w:eastAsia="Arial" w:hAnsi="Arial"/>
          <w:sz w:val="16"/>
          <w:szCs w:val="16"/>
          <w:i w:val="1"/>
          <w:iCs w:val="1"/>
          <w:color w:val="auto"/>
        </w:rPr>
        <w:t>“Financial Statements”</w:t>
      </w:r>
      <w:r>
        <w:rPr>
          <w:rFonts w:ascii="Arial" w:cs="Arial" w:eastAsia="Arial" w:hAnsi="Arial"/>
          <w:sz w:val="16"/>
          <w:szCs w:val="16"/>
          <w:color w:val="auto"/>
        </w:rPr>
        <w:t xml:space="preserve"> in this Annual Report on Form 20-F for further information).</w:t>
      </w:r>
    </w:p>
    <w:p>
      <w:pPr>
        <w:ind w:left="424" w:hanging="424"/>
        <w:spacing w:after="0"/>
        <w:tabs>
          <w:tab w:leader="none" w:pos="424" w:val="left"/>
        </w:tabs>
        <w:numPr>
          <w:ilvl w:val="0"/>
          <w:numId w:val="51"/>
        </w:numPr>
        <w:rPr>
          <w:rFonts w:ascii="Arial" w:cs="Arial" w:eastAsia="Arial" w:hAnsi="Arial"/>
          <w:sz w:val="18"/>
          <w:szCs w:val="18"/>
          <w:color w:val="auto"/>
        </w:rPr>
      </w:pPr>
      <w:r>
        <w:rPr>
          <w:rFonts w:ascii="Arial" w:cs="Arial" w:eastAsia="Arial" w:hAnsi="Arial"/>
          <w:sz w:val="18"/>
          <w:szCs w:val="18"/>
          <w:color w:val="auto"/>
        </w:rPr>
        <w:t>Current borrowing for all debts excludes prepaid debt issuance costs in an aggregate amount of $26,283.</w:t>
      </w:r>
    </w:p>
    <w:p>
      <w:pPr>
        <w:spacing w:after="0" w:line="211" w:lineRule="exact"/>
        <w:rPr>
          <w:sz w:val="20"/>
          <w:szCs w:val="20"/>
          <w:color w:val="auto"/>
        </w:rPr>
      </w:pPr>
    </w:p>
    <w:p>
      <w:pPr>
        <w:ind w:left="4" w:firstLine="440"/>
        <w:spacing w:after="0" w:line="255" w:lineRule="auto"/>
        <w:rPr>
          <w:sz w:val="20"/>
          <w:szCs w:val="20"/>
          <w:color w:val="auto"/>
        </w:rPr>
      </w:pPr>
      <w:r>
        <w:rPr>
          <w:rFonts w:ascii="Arial" w:cs="Arial" w:eastAsia="Arial" w:hAnsi="Arial"/>
          <w:sz w:val="18"/>
          <w:szCs w:val="18"/>
          <w:color w:val="auto"/>
        </w:rPr>
        <w:t>We have typically funded a significant portion of the purchase price of new containers through borrowings under our TL Revolving Credit Facility and TMCL II Secured Debt Facility and intend to continue to utilize these facilities in the future. In 2020, at such time as our secured debt facilities reached an appropriate size, the facilities were refinanced through the issuance of bonds to institutional investors. We anticipate similar refinancing at such times as the TL Revolving Credit Facility, TMCL II Secured Debt Facility or any similar revolving debt facilities we establish nears their maximum size. This timing will depend on our level of future purchases of containers, the size of our debt facilities in the future, and prevailing conditions in the debt markets.</w:t>
      </w:r>
    </w:p>
    <w:p>
      <w:pPr>
        <w:spacing w:after="0" w:line="192" w:lineRule="exact"/>
        <w:rPr>
          <w:sz w:val="20"/>
          <w:szCs w:val="20"/>
          <w:color w:val="auto"/>
        </w:rPr>
      </w:pPr>
    </w:p>
    <w:p>
      <w:pPr>
        <w:ind w:left="4" w:firstLine="440"/>
        <w:spacing w:after="0" w:line="257" w:lineRule="auto"/>
        <w:rPr>
          <w:sz w:val="20"/>
          <w:szCs w:val="20"/>
          <w:color w:val="auto"/>
        </w:rPr>
      </w:pPr>
      <w:r>
        <w:rPr>
          <w:rFonts w:ascii="Arial" w:cs="Arial" w:eastAsia="Arial" w:hAnsi="Arial"/>
          <w:sz w:val="18"/>
          <w:szCs w:val="18"/>
          <w:color w:val="auto"/>
        </w:rPr>
        <w:t xml:space="preserve">Our cash inflows from operations are affected by the utilization rate of our fleet and the per diem rates of our leases, whereas the cash inflows from proceeds for the sale of containers are affected by market demand for used containers and our available inventory of containers for sale. Our cash outflows are affected by payments and expenses related to our purchasing of containers, interest on our debt obligations or other contingencies discussed in Note 11 “Commitments and Contingencies” to our consolidated financial statements in Item 18, </w:t>
      </w:r>
      <w:r>
        <w:rPr>
          <w:rFonts w:ascii="Arial" w:cs="Arial" w:eastAsia="Arial" w:hAnsi="Arial"/>
          <w:sz w:val="18"/>
          <w:szCs w:val="18"/>
          <w:i w:val="1"/>
          <w:iCs w:val="1"/>
          <w:color w:val="auto"/>
        </w:rPr>
        <w:t>“Financial Statements”</w:t>
      </w:r>
      <w:r>
        <w:rPr>
          <w:rFonts w:ascii="Arial" w:cs="Arial" w:eastAsia="Arial" w:hAnsi="Arial"/>
          <w:sz w:val="18"/>
          <w:szCs w:val="18"/>
          <w:color w:val="auto"/>
        </w:rPr>
        <w:t xml:space="preserve"> in this Annual Report on Form 20-F, which may place demands on our short-term liquidity.</w:t>
      </w:r>
    </w:p>
    <w:p>
      <w:pPr>
        <w:spacing w:after="0" w:line="188" w:lineRule="exact"/>
        <w:rPr>
          <w:sz w:val="20"/>
          <w:szCs w:val="20"/>
          <w:color w:val="auto"/>
        </w:rPr>
      </w:pPr>
    </w:p>
    <w:p>
      <w:pPr>
        <w:ind w:left="4" w:right="120" w:firstLine="440"/>
        <w:spacing w:after="0" w:line="270" w:lineRule="auto"/>
        <w:rPr>
          <w:sz w:val="20"/>
          <w:szCs w:val="20"/>
          <w:color w:val="auto"/>
        </w:rPr>
      </w:pPr>
      <w:r>
        <w:rPr>
          <w:rFonts w:ascii="Arial" w:cs="Arial" w:eastAsia="Arial" w:hAnsi="Arial"/>
          <w:sz w:val="17"/>
          <w:szCs w:val="17"/>
          <w:color w:val="auto"/>
        </w:rPr>
        <w:t>We are a holding company with no material direct operations. Our principal assets are the equity interests we directly or indirectly hold in our operating subsidiaries, which own our operating assets. As a result, we are dependent on loans, dividends and other payments from our subsidiaries to generate the funds necessary to meet our financial obligations and to pay dividends, if any, on our common shares. Our subsidiaries are legally distinct from us and may be prohibited or restricted from paying dividends or otherwise making funds available to us under certain conditions. If we are unable to obtain funds from our subsidiaries, we may be unable to, or our board may exercise its discretion not to, pay dividends on our common shares. Our board of directors takes a fresh view every quarter, taking into consideration our cash needs for opportunities that may be available to us, and sets our dividend, if any, accordingly. The TL Revolving Credit Facility and TL 2019 Term Loan also prohibit TL from paying dividends to TGH in excess of certain limits. A substantial amount of cash used by TGH to pay dividends to its common shareholders has historically been received from TL and TEML in the form of dividends.</w:t>
      </w:r>
    </w:p>
    <w:p>
      <w:pPr>
        <w:spacing w:after="0" w:line="181" w:lineRule="exact"/>
        <w:rPr>
          <w:sz w:val="20"/>
          <w:szCs w:val="20"/>
          <w:color w:val="auto"/>
        </w:rPr>
      </w:pPr>
    </w:p>
    <w:p>
      <w:pPr>
        <w:ind w:left="4" w:firstLine="440"/>
        <w:spacing w:after="0" w:line="273" w:lineRule="auto"/>
        <w:rPr>
          <w:sz w:val="20"/>
          <w:szCs w:val="20"/>
          <w:color w:val="auto"/>
        </w:rPr>
      </w:pPr>
      <w:r>
        <w:rPr>
          <w:rFonts w:ascii="Arial" w:cs="Arial" w:eastAsia="Arial" w:hAnsi="Arial"/>
          <w:sz w:val="17"/>
          <w:szCs w:val="17"/>
          <w:color w:val="auto"/>
        </w:rPr>
        <w:t>Assuming that our lenders remain solvent, we currently believe that our existing cash and cash equivalents, cash flow from operations, proceeds from the sale of containers and borrowing availability under our debt facilities are sufficient to meet our liquidity needs for the next twelve months. While we are not yet through the pandemic, the financial performance of our customers has generally held up better than anticipated since our customers continue to benefit from recent high cargo volumes and high freight rates. We will continue to monitor our liquidity and the credit markets in light of the global economic uncertainty and financial market conditions caused by the COVID-19 pandemic. However, we cannot predict with any certainty the impact on the Company of any further disruptions in the credit environment.</w:t>
      </w:r>
    </w:p>
    <w:p>
      <w:pPr>
        <w:spacing w:after="0" w:line="286" w:lineRule="exact"/>
        <w:rPr>
          <w:sz w:val="20"/>
          <w:szCs w:val="20"/>
          <w:color w:val="auto"/>
        </w:rPr>
      </w:pPr>
    </w:p>
    <w:p>
      <w:pPr>
        <w:ind w:left="4"/>
        <w:spacing w:after="0"/>
        <w:rPr>
          <w:sz w:val="20"/>
          <w:szCs w:val="20"/>
          <w:color w:val="auto"/>
        </w:rPr>
      </w:pPr>
      <w:r>
        <w:rPr>
          <w:rFonts w:ascii="Arial" w:cs="Arial" w:eastAsia="Arial" w:hAnsi="Arial"/>
          <w:sz w:val="18"/>
          <w:szCs w:val="18"/>
          <w:b w:val="1"/>
          <w:bCs w:val="1"/>
          <w:i w:val="1"/>
          <w:iCs w:val="1"/>
          <w:color w:val="auto"/>
        </w:rPr>
        <w:t>Description of Indebtedness</w:t>
      </w:r>
    </w:p>
    <w:p>
      <w:pPr>
        <w:spacing w:after="0" w:line="117" w:lineRule="exact"/>
        <w:rPr>
          <w:sz w:val="20"/>
          <w:szCs w:val="20"/>
          <w:color w:val="auto"/>
        </w:rPr>
      </w:pPr>
    </w:p>
    <w:p>
      <w:pPr>
        <w:ind w:left="4" w:right="320" w:firstLine="440"/>
        <w:spacing w:after="0" w:line="277" w:lineRule="auto"/>
        <w:rPr>
          <w:sz w:val="20"/>
          <w:szCs w:val="20"/>
          <w:color w:val="auto"/>
        </w:rPr>
      </w:pPr>
      <w:r>
        <w:rPr>
          <w:rFonts w:ascii="Arial" w:cs="Arial" w:eastAsia="Arial" w:hAnsi="Arial"/>
          <w:sz w:val="18"/>
          <w:szCs w:val="18"/>
          <w:color w:val="auto"/>
        </w:rPr>
        <w:t xml:space="preserve">For further discussion, see Note 8 “Debt” and Note 9 “Derivative Instruments” to our consolidated financial statements in Item 18, </w:t>
      </w:r>
      <w:r>
        <w:rPr>
          <w:rFonts w:ascii="Arial" w:cs="Arial" w:eastAsia="Arial" w:hAnsi="Arial"/>
          <w:sz w:val="18"/>
          <w:szCs w:val="18"/>
          <w:i w:val="1"/>
          <w:iCs w:val="1"/>
          <w:color w:val="auto"/>
        </w:rPr>
        <w:t>“Financial</w:t>
      </w:r>
      <w:r>
        <w:rPr>
          <w:rFonts w:ascii="Arial" w:cs="Arial" w:eastAsia="Arial" w:hAnsi="Arial"/>
          <w:sz w:val="18"/>
          <w:szCs w:val="18"/>
          <w:color w:val="auto"/>
        </w:rPr>
        <w:t xml:space="preserve"> </w:t>
      </w:r>
      <w:r>
        <w:rPr>
          <w:rFonts w:ascii="Arial" w:cs="Arial" w:eastAsia="Arial" w:hAnsi="Arial"/>
          <w:sz w:val="18"/>
          <w:szCs w:val="18"/>
          <w:i w:val="1"/>
          <w:iCs w:val="1"/>
          <w:color w:val="auto"/>
        </w:rPr>
        <w:t xml:space="preserve">Statements” </w:t>
      </w:r>
      <w:r>
        <w:rPr>
          <w:rFonts w:ascii="Arial" w:cs="Arial" w:eastAsia="Arial" w:hAnsi="Arial"/>
          <w:sz w:val="18"/>
          <w:szCs w:val="18"/>
          <w:color w:val="auto"/>
        </w:rPr>
        <w:t>in this Annual Report on Form 20-F.</w:t>
      </w:r>
    </w:p>
    <w:p>
      <w:pPr>
        <w:spacing w:after="0" w:line="170" w:lineRule="exact"/>
        <w:rPr>
          <w:sz w:val="20"/>
          <w:szCs w:val="20"/>
          <w:color w:val="auto"/>
        </w:rPr>
      </w:pPr>
    </w:p>
    <w:p>
      <w:pPr>
        <w:ind w:left="4" w:right="40" w:firstLine="440"/>
        <w:spacing w:after="0" w:line="257" w:lineRule="auto"/>
        <w:rPr>
          <w:sz w:val="20"/>
          <w:szCs w:val="20"/>
          <w:color w:val="auto"/>
        </w:rPr>
      </w:pPr>
      <w:r>
        <w:rPr>
          <w:rFonts w:ascii="Arial" w:cs="Arial" w:eastAsia="Arial" w:hAnsi="Arial"/>
          <w:sz w:val="18"/>
          <w:szCs w:val="18"/>
          <w:color w:val="auto"/>
        </w:rPr>
        <w:t>As of December 31, 2020, the total outstanding principal balance on our fixed rate debt facilities was $1,922 million with fixed interest rates between 2.1% and 5.07% as of December 31, 2020. Final maturities on these fixed rate debt facilities are between December 2026 and September 2045. As of December 31, 2020, the total outstanding principal balance on our floating rate debt facilities was $2,220 million with interest rates between 1.65% and 2.11%, primarily LIBOR plus a margin, as of December 31, 2020. Final maturities on these floating rate debt facilities are between December 2021 and July 2026.</w:t>
      </w:r>
    </w:p>
    <w:p>
      <w:pPr>
        <w:spacing w:after="0" w:line="120"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65</w:t>
      </w:r>
    </w:p>
    <w:p>
      <w:pPr>
        <w:sectPr>
          <w:pgSz w:w="11900" w:h="16838" w:orient="portrait"/>
          <w:cols w:equalWidth="0" w:num="1">
            <w:col w:w="11004"/>
          </w:cols>
          <w:pgMar w:left="436" w:top="274" w:right="459" w:bottom="1440" w:gutter="0" w:footer="0" w:header="0"/>
        </w:sectPr>
      </w:pPr>
    </w:p>
    <w:bookmarkStart w:id="79" w:name="page80"/>
    <w:bookmarkEnd w:id="79"/>
    <w:p>
      <w:pPr>
        <w:ind w:left="444"/>
        <w:spacing w:after="0"/>
        <w:rPr>
          <w:sz w:val="20"/>
          <w:szCs w:val="20"/>
          <w:color w:val="auto"/>
        </w:rPr>
      </w:pPr>
      <w:r>
        <w:rPr>
          <w:rFonts w:ascii="Arial" w:cs="Arial" w:eastAsia="Arial" w:hAnsi="Arial"/>
          <w:sz w:val="18"/>
          <w:szCs w:val="18"/>
          <w:i w:val="1"/>
          <w:i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7174865" cy="38735"/>
                    </a:xfrm>
                    <a:prstGeom prst="rect">
                      <a:avLst/>
                    </a:prstGeom>
                    <a:noFill/>
                  </pic:spPr>
                </pic:pic>
              </a:graphicData>
            </a:graphic>
          </wp:anchor>
        </w:drawing>
        <w:t>Debt Covenants</w:t>
      </w:r>
    </w:p>
    <w:p>
      <w:pPr>
        <w:spacing w:after="0" w:line="117" w:lineRule="exact"/>
        <w:rPr>
          <w:sz w:val="20"/>
          <w:szCs w:val="20"/>
          <w:color w:val="auto"/>
        </w:rPr>
      </w:pPr>
    </w:p>
    <w:p>
      <w:pPr>
        <w:ind w:left="4" w:right="140" w:firstLine="440"/>
        <w:spacing w:after="0" w:line="275" w:lineRule="auto"/>
        <w:rPr>
          <w:sz w:val="20"/>
          <w:szCs w:val="20"/>
          <w:color w:val="auto"/>
        </w:rPr>
      </w:pPr>
      <w:r>
        <w:rPr>
          <w:rFonts w:ascii="Arial" w:cs="Arial" w:eastAsia="Arial" w:hAnsi="Arial"/>
          <w:sz w:val="17"/>
          <w:szCs w:val="17"/>
          <w:color w:val="auto"/>
        </w:rPr>
        <w:t>All of our debt facilities are secured by specific pools of containers and related assets owned by the Company. TGH also acts as an unconditional guarantor of the TL Revolving Credit Facility and the TL 2019 Term Loan. In addition to customary events of default as defined in our credit agreements and indenture and various restrictive financial covenants, the Company’s debt facilities also contain other various debt covenants and borrowing base minimums. The TL Revolving Credit Facility and TL 2019 Term Loan also contains cross default provisions that may result in an acceleration of principal repayment under these debt facilities if an uncured default condition were to exist.</w:t>
      </w:r>
    </w:p>
    <w:p>
      <w:pPr>
        <w:spacing w:after="0" w:line="176" w:lineRule="exact"/>
        <w:rPr>
          <w:sz w:val="20"/>
          <w:szCs w:val="20"/>
          <w:color w:val="auto"/>
        </w:rPr>
      </w:pPr>
    </w:p>
    <w:p>
      <w:pPr>
        <w:ind w:left="4" w:right="60" w:firstLine="440"/>
        <w:spacing w:after="0" w:line="259" w:lineRule="auto"/>
        <w:rPr>
          <w:sz w:val="20"/>
          <w:szCs w:val="20"/>
          <w:color w:val="auto"/>
        </w:rPr>
      </w:pPr>
      <w:r>
        <w:rPr>
          <w:rFonts w:ascii="Arial" w:cs="Arial" w:eastAsia="Arial" w:hAnsi="Arial"/>
          <w:sz w:val="18"/>
          <w:szCs w:val="18"/>
          <w:color w:val="auto"/>
        </w:rPr>
        <w:t>The debt agreements are the obligations of our subsidiaries and related debt covenants may be calculated at the consolidated or subsidiary level. We are subject to financial covenants such as those related to leverage, interest coverage, container sales proceeds ratio, net income and debt levels, including limitations on certain liens, indebtedness and investments. The table below reflects the key covenants for the Company that cover the majority of our debt agreements as of December 31, 2020:</w:t>
      </w:r>
    </w:p>
    <w:p>
      <w:pPr>
        <w:spacing w:after="0" w:line="205" w:lineRule="exact"/>
        <w:rPr>
          <w:sz w:val="20"/>
          <w:szCs w:val="20"/>
          <w:color w:val="auto"/>
        </w:rPr>
      </w:pPr>
    </w:p>
    <w:tbl>
      <w:tblPr>
        <w:tblLayout w:type="fixed"/>
        <w:tblInd w:w="4" w:type="dxa"/>
        <w:tblCellMar>
          <w:top w:w="0" w:type="dxa"/>
          <w:left w:w="0" w:type="dxa"/>
          <w:bottom w:w="0" w:type="dxa"/>
          <w:right w:w="0" w:type="dxa"/>
        </w:tblCellMar>
      </w:tblPr>
      <w:tr>
        <w:trPr>
          <w:trHeight w:val="191"/>
        </w:trPr>
        <w:tc>
          <w:tcPr>
            <w:tcW w:w="122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w w:val="93"/>
              </w:rPr>
              <w:t>Financial Covenant</w:t>
            </w:r>
          </w:p>
        </w:tc>
        <w:tc>
          <w:tcPr>
            <w:tcW w:w="1780" w:type="dxa"/>
            <w:vAlign w:val="bottom"/>
          </w:tcPr>
          <w:p>
            <w:pPr>
              <w:spacing w:after="0"/>
              <w:rPr>
                <w:sz w:val="16"/>
                <w:szCs w:val="16"/>
                <w:color w:val="auto"/>
              </w:rPr>
            </w:pPr>
          </w:p>
        </w:tc>
        <w:tc>
          <w:tcPr>
            <w:tcW w:w="2740" w:type="dxa"/>
            <w:vAlign w:val="bottom"/>
            <w:gridSpan w:val="2"/>
          </w:tcPr>
          <w:p>
            <w:pPr>
              <w:ind w:left="1160"/>
              <w:spacing w:after="0"/>
              <w:rPr>
                <w:sz w:val="20"/>
                <w:szCs w:val="20"/>
                <w:color w:val="auto"/>
              </w:rPr>
            </w:pPr>
            <w:r>
              <w:rPr>
                <w:rFonts w:ascii="Arial" w:cs="Arial" w:eastAsia="Arial" w:hAnsi="Arial"/>
                <w:sz w:val="14"/>
                <w:szCs w:val="14"/>
                <w:b w:val="1"/>
                <w:bCs w:val="1"/>
                <w:color w:val="auto"/>
              </w:rPr>
              <w:t>TGH</w:t>
            </w:r>
          </w:p>
        </w:tc>
        <w:tc>
          <w:tcPr>
            <w:tcW w:w="2640" w:type="dxa"/>
            <w:vAlign w:val="bottom"/>
          </w:tcPr>
          <w:p>
            <w:pPr>
              <w:ind w:left="1220"/>
              <w:spacing w:after="0"/>
              <w:rPr>
                <w:sz w:val="20"/>
                <w:szCs w:val="20"/>
                <w:color w:val="auto"/>
              </w:rPr>
            </w:pPr>
            <w:r>
              <w:rPr>
                <w:rFonts w:ascii="Arial" w:cs="Arial" w:eastAsia="Arial" w:hAnsi="Arial"/>
                <w:sz w:val="14"/>
                <w:szCs w:val="14"/>
                <w:b w:val="1"/>
                <w:bCs w:val="1"/>
                <w:color w:val="auto"/>
              </w:rPr>
              <w:t>TL</w:t>
            </w:r>
          </w:p>
        </w:tc>
        <w:tc>
          <w:tcPr>
            <w:tcW w:w="100" w:type="dxa"/>
            <w:vAlign w:val="bottom"/>
          </w:tcPr>
          <w:p>
            <w:pPr>
              <w:spacing w:after="0"/>
              <w:rPr>
                <w:sz w:val="16"/>
                <w:szCs w:val="16"/>
                <w:color w:val="auto"/>
              </w:rPr>
            </w:pPr>
          </w:p>
        </w:tc>
        <w:tc>
          <w:tcPr>
            <w:tcW w:w="2540" w:type="dxa"/>
            <w:vAlign w:val="bottom"/>
          </w:tcPr>
          <w:p>
            <w:pPr>
              <w:ind w:left="1060"/>
              <w:spacing w:after="0"/>
              <w:rPr>
                <w:sz w:val="20"/>
                <w:szCs w:val="20"/>
                <w:color w:val="auto"/>
              </w:rPr>
            </w:pPr>
            <w:r>
              <w:rPr>
                <w:rFonts w:ascii="Arial" w:cs="Arial" w:eastAsia="Arial" w:hAnsi="Arial"/>
                <w:sz w:val="14"/>
                <w:szCs w:val="14"/>
                <w:b w:val="1"/>
                <w:bCs w:val="1"/>
                <w:color w:val="auto"/>
              </w:rPr>
              <w:t>TEML</w:t>
            </w:r>
          </w:p>
        </w:tc>
      </w:tr>
      <w:tr>
        <w:trPr>
          <w:trHeight w:val="203"/>
        </w:trPr>
        <w:tc>
          <w:tcPr>
            <w:tcW w:w="300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Consolidated leverage ratio (1)</w:t>
            </w:r>
          </w:p>
        </w:tc>
        <w:tc>
          <w:tcPr>
            <w:tcW w:w="2640" w:type="dxa"/>
            <w:vAlign w:val="bottom"/>
            <w:tcBorders>
              <w:top w:val="single" w:sz="8" w:color="auto"/>
            </w:tcBorders>
            <w:shd w:val="clear" w:color="auto" w:fill="CCEEFF"/>
          </w:tcPr>
          <w:p>
            <w:pPr>
              <w:spacing w:after="0" w:line="203" w:lineRule="exact"/>
              <w:rPr>
                <w:sz w:val="20"/>
                <w:szCs w:val="20"/>
                <w:color w:val="auto"/>
              </w:rPr>
            </w:pPr>
            <w:r>
              <w:rPr>
                <w:rFonts w:ascii="Arial" w:cs="Arial" w:eastAsia="Arial" w:hAnsi="Arial"/>
                <w:sz w:val="18"/>
                <w:szCs w:val="18"/>
                <w:color w:val="auto"/>
              </w:rPr>
              <w:t>Shall not exceed 3.50:1</w:t>
            </w:r>
          </w:p>
        </w:tc>
        <w:tc>
          <w:tcPr>
            <w:tcW w:w="100" w:type="dxa"/>
            <w:vAlign w:val="bottom"/>
            <w:tcBorders>
              <w:top w:val="single" w:sz="8" w:color="CCEEFF"/>
            </w:tcBorders>
            <w:shd w:val="clear" w:color="auto" w:fill="CCEEFF"/>
          </w:tcPr>
          <w:p>
            <w:pPr>
              <w:spacing w:after="0"/>
              <w:rPr>
                <w:sz w:val="17"/>
                <w:szCs w:val="17"/>
                <w:color w:val="auto"/>
              </w:rPr>
            </w:pPr>
          </w:p>
        </w:tc>
        <w:tc>
          <w:tcPr>
            <w:tcW w:w="2640" w:type="dxa"/>
            <w:vAlign w:val="bottom"/>
            <w:tcBorders>
              <w:top w:val="single" w:sz="8" w:color="auto"/>
            </w:tcBorders>
            <w:shd w:val="clear" w:color="auto" w:fill="CCEEFF"/>
          </w:tcPr>
          <w:p>
            <w:pPr>
              <w:spacing w:after="0" w:line="203" w:lineRule="exact"/>
              <w:rPr>
                <w:sz w:val="20"/>
                <w:szCs w:val="20"/>
                <w:color w:val="auto"/>
              </w:rPr>
            </w:pPr>
            <w:r>
              <w:rPr>
                <w:rFonts w:ascii="Arial" w:cs="Arial" w:eastAsia="Arial" w:hAnsi="Arial"/>
                <w:sz w:val="18"/>
                <w:szCs w:val="18"/>
                <w:color w:val="auto"/>
              </w:rPr>
              <w:t>Shall not exceed 3.50:1</w:t>
            </w:r>
          </w:p>
        </w:tc>
        <w:tc>
          <w:tcPr>
            <w:tcW w:w="100" w:type="dxa"/>
            <w:vAlign w:val="bottom"/>
            <w:tcBorders>
              <w:top w:val="single" w:sz="8" w:color="CCEEFF"/>
            </w:tcBorders>
            <w:shd w:val="clear" w:color="auto" w:fill="CCEEFF"/>
          </w:tcPr>
          <w:p>
            <w:pPr>
              <w:spacing w:after="0"/>
              <w:rPr>
                <w:sz w:val="17"/>
                <w:szCs w:val="17"/>
                <w:color w:val="auto"/>
              </w:rPr>
            </w:pPr>
          </w:p>
        </w:tc>
        <w:tc>
          <w:tcPr>
            <w:tcW w:w="2540" w:type="dxa"/>
            <w:vAlign w:val="bottom"/>
            <w:tcBorders>
              <w:top w:val="single" w:sz="8" w:color="auto"/>
            </w:tcBorders>
            <w:shd w:val="clear" w:color="auto" w:fill="CCEEFF"/>
          </w:tcPr>
          <w:p>
            <w:pPr>
              <w:ind w:left="1140"/>
              <w:spacing w:after="0" w:line="203" w:lineRule="exact"/>
              <w:rPr>
                <w:sz w:val="20"/>
                <w:szCs w:val="20"/>
                <w:color w:val="auto"/>
              </w:rPr>
            </w:pPr>
            <w:r>
              <w:rPr>
                <w:rFonts w:ascii="Arial" w:cs="Arial" w:eastAsia="Arial" w:hAnsi="Arial"/>
                <w:sz w:val="18"/>
                <w:szCs w:val="18"/>
                <w:color w:val="auto"/>
              </w:rPr>
              <w:t>—</w:t>
            </w:r>
          </w:p>
        </w:tc>
      </w:tr>
      <w:tr>
        <w:trPr>
          <w:trHeight w:val="202"/>
        </w:trPr>
        <w:tc>
          <w:tcPr>
            <w:tcW w:w="3000" w:type="dxa"/>
            <w:vAlign w:val="bottom"/>
            <w:gridSpan w:val="2"/>
          </w:tcPr>
          <w:p>
            <w:pPr>
              <w:spacing w:after="0" w:line="201" w:lineRule="exact"/>
              <w:rPr>
                <w:sz w:val="20"/>
                <w:szCs w:val="20"/>
                <w:color w:val="auto"/>
              </w:rPr>
            </w:pPr>
            <w:r>
              <w:rPr>
                <w:rFonts w:ascii="Arial" w:cs="Arial" w:eastAsia="Arial" w:hAnsi="Arial"/>
                <w:sz w:val="18"/>
                <w:szCs w:val="18"/>
                <w:color w:val="auto"/>
              </w:rPr>
              <w:t>Consolidated fixed charge coverage</w:t>
            </w:r>
          </w:p>
        </w:tc>
        <w:tc>
          <w:tcPr>
            <w:tcW w:w="26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6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540" w:type="dxa"/>
            <w:vAlign w:val="bottom"/>
          </w:tcPr>
          <w:p>
            <w:pPr>
              <w:spacing w:after="0"/>
              <w:rPr>
                <w:sz w:val="17"/>
                <w:szCs w:val="17"/>
                <w:color w:val="auto"/>
              </w:rPr>
            </w:pPr>
          </w:p>
        </w:tc>
      </w:tr>
      <w:tr>
        <w:trPr>
          <w:trHeight w:val="230"/>
        </w:trPr>
        <w:tc>
          <w:tcPr>
            <w:tcW w:w="3000" w:type="dxa"/>
            <w:vAlign w:val="bottom"/>
            <w:gridSpan w:val="2"/>
          </w:tcPr>
          <w:p>
            <w:pPr>
              <w:ind w:left="180"/>
              <w:spacing w:after="0"/>
              <w:rPr>
                <w:sz w:val="20"/>
                <w:szCs w:val="20"/>
                <w:color w:val="auto"/>
              </w:rPr>
            </w:pPr>
            <w:r>
              <w:rPr>
                <w:rFonts w:ascii="Arial" w:cs="Arial" w:eastAsia="Arial" w:hAnsi="Arial"/>
                <w:sz w:val="18"/>
                <w:szCs w:val="18"/>
                <w:color w:val="auto"/>
              </w:rPr>
              <w:t>ratio</w:t>
            </w:r>
          </w:p>
        </w:tc>
        <w:tc>
          <w:tcPr>
            <w:tcW w:w="2740" w:type="dxa"/>
            <w:vAlign w:val="bottom"/>
            <w:gridSpan w:val="2"/>
          </w:tcPr>
          <w:p>
            <w:pPr>
              <w:spacing w:after="0"/>
              <w:rPr>
                <w:sz w:val="20"/>
                <w:szCs w:val="20"/>
                <w:color w:val="auto"/>
              </w:rPr>
            </w:pPr>
            <w:r>
              <w:rPr>
                <w:rFonts w:ascii="Arial" w:cs="Arial" w:eastAsia="Arial" w:hAnsi="Arial"/>
                <w:sz w:val="18"/>
                <w:szCs w:val="18"/>
                <w:color w:val="auto"/>
              </w:rPr>
              <w:t>Shall not be less than 1.20:1</w:t>
            </w:r>
          </w:p>
        </w:tc>
        <w:tc>
          <w:tcPr>
            <w:tcW w:w="2640" w:type="dxa"/>
            <w:vAlign w:val="bottom"/>
          </w:tcPr>
          <w:p>
            <w:pPr>
              <w:ind w:left="118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20"/>
                <w:szCs w:val="20"/>
                <w:color w:val="auto"/>
              </w:rPr>
            </w:pPr>
          </w:p>
        </w:tc>
        <w:tc>
          <w:tcPr>
            <w:tcW w:w="2540" w:type="dxa"/>
            <w:vAlign w:val="bottom"/>
          </w:tcPr>
          <w:p>
            <w:pPr>
              <w:ind w:left="1140"/>
              <w:spacing w:after="0"/>
              <w:rPr>
                <w:sz w:val="20"/>
                <w:szCs w:val="20"/>
                <w:color w:val="auto"/>
              </w:rPr>
            </w:pPr>
            <w:r>
              <w:rPr>
                <w:rFonts w:ascii="Arial" w:cs="Arial" w:eastAsia="Arial" w:hAnsi="Arial"/>
                <w:sz w:val="18"/>
                <w:szCs w:val="18"/>
                <w:color w:val="auto"/>
              </w:rPr>
              <w:t>—</w:t>
            </w:r>
          </w:p>
        </w:tc>
      </w:tr>
      <w:tr>
        <w:trPr>
          <w:trHeight w:val="216"/>
        </w:trPr>
        <w:tc>
          <w:tcPr>
            <w:tcW w:w="30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Consolidated interest coverage ratio</w:t>
            </w:r>
          </w:p>
        </w:tc>
        <w:tc>
          <w:tcPr>
            <w:tcW w:w="2740" w:type="dxa"/>
            <w:vAlign w:val="bottom"/>
            <w:gridSpan w:val="2"/>
            <w:shd w:val="clear" w:color="auto" w:fill="CCEEFF"/>
          </w:tcPr>
          <w:p>
            <w:pPr>
              <w:ind w:left="1180"/>
              <w:spacing w:after="0"/>
              <w:rPr>
                <w:sz w:val="20"/>
                <w:szCs w:val="20"/>
                <w:color w:val="auto"/>
              </w:rPr>
            </w:pPr>
            <w:r>
              <w:rPr>
                <w:rFonts w:ascii="Arial" w:cs="Arial" w:eastAsia="Arial" w:hAnsi="Arial"/>
                <w:sz w:val="18"/>
                <w:szCs w:val="18"/>
                <w:color w:val="auto"/>
              </w:rPr>
              <w:t>—</w:t>
            </w:r>
          </w:p>
        </w:tc>
        <w:tc>
          <w:tcPr>
            <w:tcW w:w="2640" w:type="dxa"/>
            <w:vAlign w:val="bottom"/>
            <w:shd w:val="clear" w:color="auto" w:fill="CCEEFF"/>
          </w:tcPr>
          <w:p>
            <w:pPr>
              <w:spacing w:after="0"/>
              <w:rPr>
                <w:sz w:val="20"/>
                <w:szCs w:val="20"/>
                <w:color w:val="auto"/>
              </w:rPr>
            </w:pPr>
            <w:r>
              <w:rPr>
                <w:rFonts w:ascii="Arial" w:cs="Arial" w:eastAsia="Arial" w:hAnsi="Arial"/>
                <w:sz w:val="18"/>
                <w:szCs w:val="18"/>
                <w:color w:val="auto"/>
              </w:rPr>
              <w:t>Shall not be less than 4.00:1</w:t>
            </w:r>
          </w:p>
        </w:tc>
        <w:tc>
          <w:tcPr>
            <w:tcW w:w="100" w:type="dxa"/>
            <w:vAlign w:val="bottom"/>
            <w:shd w:val="clear" w:color="auto" w:fill="CCEEFF"/>
          </w:tcPr>
          <w:p>
            <w:pPr>
              <w:spacing w:after="0"/>
              <w:rPr>
                <w:sz w:val="18"/>
                <w:szCs w:val="18"/>
                <w:color w:val="auto"/>
              </w:rPr>
            </w:pPr>
          </w:p>
        </w:tc>
        <w:tc>
          <w:tcPr>
            <w:tcW w:w="2540" w:type="dxa"/>
            <w:vAlign w:val="bottom"/>
            <w:shd w:val="clear" w:color="auto" w:fill="CCEEFF"/>
          </w:tcPr>
          <w:p>
            <w:pPr>
              <w:ind w:left="1140"/>
              <w:spacing w:after="0"/>
              <w:rPr>
                <w:sz w:val="20"/>
                <w:szCs w:val="20"/>
                <w:color w:val="auto"/>
              </w:rPr>
            </w:pPr>
            <w:r>
              <w:rPr>
                <w:rFonts w:ascii="Arial" w:cs="Arial" w:eastAsia="Arial" w:hAnsi="Arial"/>
                <w:sz w:val="18"/>
                <w:szCs w:val="18"/>
                <w:color w:val="auto"/>
              </w:rPr>
              <w:t>—</w:t>
            </w:r>
          </w:p>
        </w:tc>
      </w:tr>
      <w:tr>
        <w:trPr>
          <w:trHeight w:val="216"/>
        </w:trPr>
        <w:tc>
          <w:tcPr>
            <w:tcW w:w="3000" w:type="dxa"/>
            <w:vAlign w:val="bottom"/>
            <w:gridSpan w:val="2"/>
          </w:tcPr>
          <w:p>
            <w:pPr>
              <w:spacing w:after="0"/>
              <w:rPr>
                <w:sz w:val="20"/>
                <w:szCs w:val="20"/>
                <w:color w:val="auto"/>
              </w:rPr>
            </w:pPr>
            <w:r>
              <w:rPr>
                <w:rFonts w:ascii="Arial" w:cs="Arial" w:eastAsia="Arial" w:hAnsi="Arial"/>
                <w:sz w:val="18"/>
                <w:szCs w:val="18"/>
                <w:color w:val="auto"/>
              </w:rPr>
              <w:t>Consolidated funded debt</w:t>
            </w:r>
          </w:p>
        </w:tc>
        <w:tc>
          <w:tcPr>
            <w:tcW w:w="2740" w:type="dxa"/>
            <w:vAlign w:val="bottom"/>
            <w:gridSpan w:val="2"/>
          </w:tcPr>
          <w:p>
            <w:pPr>
              <w:ind w:left="1180"/>
              <w:spacing w:after="0"/>
              <w:rPr>
                <w:sz w:val="20"/>
                <w:szCs w:val="20"/>
                <w:color w:val="auto"/>
              </w:rPr>
            </w:pPr>
            <w:r>
              <w:rPr>
                <w:rFonts w:ascii="Arial" w:cs="Arial" w:eastAsia="Arial" w:hAnsi="Arial"/>
                <w:sz w:val="18"/>
                <w:szCs w:val="18"/>
                <w:color w:val="auto"/>
              </w:rPr>
              <w:t>—</w:t>
            </w:r>
          </w:p>
        </w:tc>
        <w:tc>
          <w:tcPr>
            <w:tcW w:w="2640" w:type="dxa"/>
            <w:vAlign w:val="bottom"/>
          </w:tcPr>
          <w:p>
            <w:pPr>
              <w:ind w:left="1180"/>
              <w:spacing w:after="0"/>
              <w:rPr>
                <w:sz w:val="20"/>
                <w:szCs w:val="20"/>
                <w:color w:val="auto"/>
              </w:rPr>
            </w:pPr>
            <w:r>
              <w:rPr>
                <w:rFonts w:ascii="Arial" w:cs="Arial" w:eastAsia="Arial" w:hAnsi="Arial"/>
                <w:sz w:val="18"/>
                <w:szCs w:val="18"/>
                <w:color w:val="auto"/>
              </w:rPr>
              <w:t>—</w:t>
            </w:r>
          </w:p>
        </w:tc>
        <w:tc>
          <w:tcPr>
            <w:tcW w:w="2640" w:type="dxa"/>
            <w:vAlign w:val="bottom"/>
            <w:gridSpan w:val="2"/>
          </w:tcPr>
          <w:p>
            <w:pPr>
              <w:ind w:left="100"/>
              <w:spacing w:after="0"/>
              <w:rPr>
                <w:sz w:val="20"/>
                <w:szCs w:val="20"/>
                <w:color w:val="auto"/>
              </w:rPr>
            </w:pPr>
            <w:r>
              <w:rPr>
                <w:rFonts w:ascii="Arial" w:cs="Arial" w:eastAsia="Arial" w:hAnsi="Arial"/>
                <w:sz w:val="18"/>
                <w:szCs w:val="18"/>
                <w:color w:val="auto"/>
              </w:rPr>
              <w:t>Shall not exceed $1,000</w:t>
            </w:r>
          </w:p>
        </w:tc>
      </w:tr>
      <w:tr>
        <w:trPr>
          <w:trHeight w:val="202"/>
        </w:trPr>
        <w:tc>
          <w:tcPr>
            <w:tcW w:w="300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rPr>
              <w:t>Consolidated tangible net worth</w:t>
            </w:r>
          </w:p>
        </w:tc>
        <w:tc>
          <w:tcPr>
            <w:tcW w:w="274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w w:val="93"/>
              </w:rPr>
              <w:t>Shall not be less than $972,000 plus</w:t>
            </w:r>
          </w:p>
        </w:tc>
        <w:tc>
          <w:tcPr>
            <w:tcW w:w="26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2540" w:type="dxa"/>
            <w:vAlign w:val="bottom"/>
            <w:shd w:val="clear" w:color="auto" w:fill="CCEEFF"/>
          </w:tcPr>
          <w:p>
            <w:pPr>
              <w:spacing w:after="0"/>
              <w:rPr>
                <w:sz w:val="17"/>
                <w:szCs w:val="17"/>
                <w:color w:val="auto"/>
              </w:rPr>
            </w:pPr>
          </w:p>
        </w:tc>
      </w:tr>
      <w:tr>
        <w:trPr>
          <w:trHeight w:val="216"/>
        </w:trPr>
        <w:tc>
          <w:tcPr>
            <w:tcW w:w="1220" w:type="dxa"/>
            <w:vAlign w:val="bottom"/>
            <w:shd w:val="clear" w:color="auto" w:fill="CCEEFF"/>
          </w:tcPr>
          <w:p>
            <w:pPr>
              <w:spacing w:after="0"/>
              <w:rPr>
                <w:sz w:val="18"/>
                <w:szCs w:val="18"/>
                <w:color w:val="auto"/>
              </w:rPr>
            </w:pPr>
          </w:p>
        </w:tc>
        <w:tc>
          <w:tcPr>
            <w:tcW w:w="1780" w:type="dxa"/>
            <w:vAlign w:val="bottom"/>
            <w:shd w:val="clear" w:color="auto" w:fill="CCEEFF"/>
          </w:tcPr>
          <w:p>
            <w:pPr>
              <w:spacing w:after="0"/>
              <w:rPr>
                <w:sz w:val="18"/>
                <w:szCs w:val="18"/>
                <w:color w:val="auto"/>
              </w:rPr>
            </w:pPr>
          </w:p>
        </w:tc>
        <w:tc>
          <w:tcPr>
            <w:tcW w:w="274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7"/>
              </w:rPr>
              <w:t>50% of TGH’s net income following</w:t>
            </w:r>
          </w:p>
        </w:tc>
        <w:tc>
          <w:tcPr>
            <w:tcW w:w="26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540" w:type="dxa"/>
            <w:vAlign w:val="bottom"/>
            <w:shd w:val="clear" w:color="auto" w:fill="CCEEFF"/>
          </w:tcPr>
          <w:p>
            <w:pPr>
              <w:spacing w:after="0"/>
              <w:rPr>
                <w:sz w:val="18"/>
                <w:szCs w:val="18"/>
                <w:color w:val="auto"/>
              </w:rPr>
            </w:pPr>
          </w:p>
        </w:tc>
      </w:tr>
      <w:tr>
        <w:trPr>
          <w:trHeight w:val="230"/>
        </w:trPr>
        <w:tc>
          <w:tcPr>
            <w:tcW w:w="1220" w:type="dxa"/>
            <w:vAlign w:val="bottom"/>
            <w:shd w:val="clear" w:color="auto" w:fill="CCEEFF"/>
          </w:tcPr>
          <w:p>
            <w:pPr>
              <w:spacing w:after="0"/>
              <w:rPr>
                <w:sz w:val="20"/>
                <w:szCs w:val="20"/>
                <w:color w:val="auto"/>
              </w:rPr>
            </w:pPr>
          </w:p>
        </w:tc>
        <w:tc>
          <w:tcPr>
            <w:tcW w:w="1780" w:type="dxa"/>
            <w:vAlign w:val="bottom"/>
            <w:shd w:val="clear" w:color="auto" w:fill="CCEEFF"/>
          </w:tcPr>
          <w:p>
            <w:pPr>
              <w:spacing w:after="0"/>
              <w:rPr>
                <w:sz w:val="20"/>
                <w:szCs w:val="20"/>
                <w:color w:val="auto"/>
              </w:rPr>
            </w:pPr>
          </w:p>
        </w:tc>
        <w:tc>
          <w:tcPr>
            <w:tcW w:w="27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June 30, 2018</w:t>
            </w:r>
          </w:p>
        </w:tc>
        <w:tc>
          <w:tcPr>
            <w:tcW w:w="2640" w:type="dxa"/>
            <w:vAlign w:val="bottom"/>
            <w:shd w:val="clear" w:color="auto" w:fill="CCEEFF"/>
          </w:tcPr>
          <w:p>
            <w:pPr>
              <w:ind w:left="118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20"/>
                <w:szCs w:val="20"/>
                <w:color w:val="auto"/>
              </w:rPr>
            </w:pPr>
          </w:p>
        </w:tc>
        <w:tc>
          <w:tcPr>
            <w:tcW w:w="2540" w:type="dxa"/>
            <w:vAlign w:val="bottom"/>
            <w:shd w:val="clear" w:color="auto" w:fill="CCEEFF"/>
          </w:tcPr>
          <w:p>
            <w:pPr>
              <w:ind w:left="1140"/>
              <w:spacing w:after="0"/>
              <w:rPr>
                <w:sz w:val="20"/>
                <w:szCs w:val="20"/>
                <w:color w:val="auto"/>
              </w:rPr>
            </w:pPr>
            <w:r>
              <w:rPr>
                <w:rFonts w:ascii="Arial" w:cs="Arial" w:eastAsia="Arial" w:hAnsi="Arial"/>
                <w:sz w:val="18"/>
                <w:szCs w:val="18"/>
                <w:color w:val="auto"/>
              </w:rPr>
              <w:t>—</w:t>
            </w:r>
          </w:p>
        </w:tc>
      </w:tr>
      <w:tr>
        <w:trPr>
          <w:trHeight w:val="230"/>
        </w:trPr>
        <w:tc>
          <w:tcPr>
            <w:tcW w:w="3000" w:type="dxa"/>
            <w:vAlign w:val="bottom"/>
            <w:gridSpan w:val="2"/>
          </w:tcPr>
          <w:p>
            <w:pPr>
              <w:spacing w:after="0"/>
              <w:rPr>
                <w:sz w:val="20"/>
                <w:szCs w:val="20"/>
                <w:color w:val="auto"/>
              </w:rPr>
            </w:pPr>
            <w:r>
              <w:rPr>
                <w:rFonts w:ascii="Arial" w:cs="Arial" w:eastAsia="Arial" w:hAnsi="Arial"/>
                <w:sz w:val="18"/>
                <w:szCs w:val="18"/>
                <w:color w:val="auto"/>
              </w:rPr>
              <w:t>Annual after-tax profit</w:t>
            </w:r>
          </w:p>
        </w:tc>
        <w:tc>
          <w:tcPr>
            <w:tcW w:w="2740" w:type="dxa"/>
            <w:vAlign w:val="bottom"/>
            <w:gridSpan w:val="2"/>
          </w:tcPr>
          <w:p>
            <w:pPr>
              <w:ind w:left="1180"/>
              <w:spacing w:after="0"/>
              <w:rPr>
                <w:sz w:val="20"/>
                <w:szCs w:val="20"/>
                <w:color w:val="auto"/>
              </w:rPr>
            </w:pPr>
            <w:r>
              <w:rPr>
                <w:rFonts w:ascii="Arial" w:cs="Arial" w:eastAsia="Arial" w:hAnsi="Arial"/>
                <w:sz w:val="18"/>
                <w:szCs w:val="18"/>
                <w:color w:val="auto"/>
              </w:rPr>
              <w:t>—</w:t>
            </w:r>
          </w:p>
        </w:tc>
        <w:tc>
          <w:tcPr>
            <w:tcW w:w="2640" w:type="dxa"/>
            <w:vAlign w:val="bottom"/>
          </w:tcPr>
          <w:p>
            <w:pPr>
              <w:ind w:left="1180"/>
              <w:spacing w:after="0"/>
              <w:rPr>
                <w:sz w:val="20"/>
                <w:szCs w:val="20"/>
                <w:color w:val="auto"/>
              </w:rPr>
            </w:pPr>
            <w:r>
              <w:rPr>
                <w:rFonts w:ascii="Arial" w:cs="Arial" w:eastAsia="Arial" w:hAnsi="Arial"/>
                <w:sz w:val="18"/>
                <w:szCs w:val="18"/>
                <w:color w:val="auto"/>
              </w:rPr>
              <w:t>—</w:t>
            </w:r>
          </w:p>
        </w:tc>
        <w:tc>
          <w:tcPr>
            <w:tcW w:w="2640" w:type="dxa"/>
            <w:vAlign w:val="bottom"/>
            <w:gridSpan w:val="2"/>
          </w:tcPr>
          <w:p>
            <w:pPr>
              <w:ind w:left="100"/>
              <w:spacing w:after="0"/>
              <w:rPr>
                <w:sz w:val="20"/>
                <w:szCs w:val="20"/>
                <w:color w:val="auto"/>
              </w:rPr>
            </w:pPr>
            <w:r>
              <w:rPr>
                <w:rFonts w:ascii="Arial" w:cs="Arial" w:eastAsia="Arial" w:hAnsi="Arial"/>
                <w:sz w:val="18"/>
                <w:szCs w:val="18"/>
                <w:color w:val="auto"/>
              </w:rPr>
              <w:t>Shall not be less than $2,000</w:t>
            </w:r>
          </w:p>
        </w:tc>
      </w:tr>
    </w:tbl>
    <w:p>
      <w:pPr>
        <w:spacing w:after="0" w:line="214" w:lineRule="exact"/>
        <w:rPr>
          <w:sz w:val="20"/>
          <w:szCs w:val="20"/>
          <w:color w:val="auto"/>
        </w:rPr>
      </w:pPr>
    </w:p>
    <w:p>
      <w:pPr>
        <w:ind w:left="424" w:hanging="424"/>
        <w:spacing w:after="0"/>
        <w:tabs>
          <w:tab w:leader="none" w:pos="424" w:val="left"/>
        </w:tabs>
        <w:numPr>
          <w:ilvl w:val="0"/>
          <w:numId w:val="52"/>
        </w:numPr>
        <w:rPr>
          <w:rFonts w:ascii="Arial" w:cs="Arial" w:eastAsia="Arial" w:hAnsi="Arial"/>
          <w:sz w:val="18"/>
          <w:szCs w:val="18"/>
          <w:color w:val="auto"/>
        </w:rPr>
      </w:pPr>
      <w:r>
        <w:rPr>
          <w:rFonts w:ascii="Arial" w:cs="Arial" w:eastAsia="Arial" w:hAnsi="Arial"/>
          <w:sz w:val="18"/>
          <w:szCs w:val="18"/>
          <w:color w:val="auto"/>
        </w:rPr>
        <w:t>In January 2021, we amended the TL debt facilities which modified the consolidated leverage ratio for TGH to 3.80:1.</w:t>
      </w:r>
    </w:p>
    <w:p>
      <w:pPr>
        <w:spacing w:after="0" w:line="225" w:lineRule="exact"/>
        <w:rPr>
          <w:sz w:val="20"/>
          <w:szCs w:val="20"/>
          <w:color w:val="auto"/>
        </w:rPr>
      </w:pPr>
    </w:p>
    <w:p>
      <w:pPr>
        <w:ind w:left="4" w:right="520" w:firstLine="440"/>
        <w:spacing w:after="0" w:line="277" w:lineRule="auto"/>
        <w:rPr>
          <w:sz w:val="20"/>
          <w:szCs w:val="20"/>
          <w:color w:val="auto"/>
        </w:rPr>
      </w:pPr>
      <w:r>
        <w:rPr>
          <w:rFonts w:ascii="Arial" w:cs="Arial" w:eastAsia="Arial" w:hAnsi="Arial"/>
          <w:sz w:val="18"/>
          <w:szCs w:val="18"/>
          <w:color w:val="auto"/>
        </w:rPr>
        <w:t>All of the Company’s debt facilities also contain restrictive covenants on borrowing base minimums. We were in full compliance with these requirements as of December 31, 2020.</w:t>
      </w:r>
    </w:p>
    <w:p>
      <w:pPr>
        <w:spacing w:after="0" w:line="278" w:lineRule="exact"/>
        <w:rPr>
          <w:sz w:val="20"/>
          <w:szCs w:val="20"/>
          <w:color w:val="auto"/>
        </w:rPr>
      </w:pPr>
    </w:p>
    <w:p>
      <w:pPr>
        <w:ind w:left="4"/>
        <w:spacing w:after="0"/>
        <w:rPr>
          <w:sz w:val="20"/>
          <w:szCs w:val="20"/>
          <w:color w:val="auto"/>
        </w:rPr>
      </w:pPr>
      <w:r>
        <w:rPr>
          <w:rFonts w:ascii="Arial" w:cs="Arial" w:eastAsia="Arial" w:hAnsi="Arial"/>
          <w:sz w:val="18"/>
          <w:szCs w:val="18"/>
          <w:b w:val="1"/>
          <w:bCs w:val="1"/>
          <w:i w:val="1"/>
          <w:iCs w:val="1"/>
          <w:color w:val="auto"/>
        </w:rPr>
        <w:t>Cash Flow</w:t>
      </w:r>
    </w:p>
    <w:p>
      <w:pPr>
        <w:spacing w:after="0" w:line="117" w:lineRule="exact"/>
        <w:rPr>
          <w:sz w:val="20"/>
          <w:szCs w:val="20"/>
          <w:color w:val="auto"/>
        </w:rPr>
      </w:pPr>
    </w:p>
    <w:p>
      <w:pPr>
        <w:ind w:left="444"/>
        <w:spacing w:after="0"/>
        <w:rPr>
          <w:sz w:val="20"/>
          <w:szCs w:val="20"/>
          <w:color w:val="auto"/>
        </w:rPr>
      </w:pPr>
      <w:r>
        <w:rPr>
          <w:rFonts w:ascii="Arial" w:cs="Arial" w:eastAsia="Arial" w:hAnsi="Arial"/>
          <w:sz w:val="18"/>
          <w:szCs w:val="18"/>
          <w:color w:val="auto"/>
        </w:rPr>
        <w:t>The following table summarizes historical cash flow information for the years ended December 31, 2020 and 2019:</w:t>
      </w:r>
    </w:p>
    <w:p>
      <w:pPr>
        <w:spacing w:after="0" w:line="244" w:lineRule="exact"/>
        <w:rPr>
          <w:sz w:val="20"/>
          <w:szCs w:val="20"/>
          <w:color w:val="auto"/>
        </w:rPr>
      </w:pPr>
    </w:p>
    <w:tbl>
      <w:tblPr>
        <w:tblLayout w:type="fixed"/>
        <w:tblInd w:w="444" w:type="dxa"/>
        <w:tblCellMar>
          <w:top w:w="0" w:type="dxa"/>
          <w:left w:w="0" w:type="dxa"/>
          <w:bottom w:w="0" w:type="dxa"/>
          <w:right w:w="0" w:type="dxa"/>
        </w:tblCellMar>
      </w:tblPr>
      <w:tr>
        <w:trPr>
          <w:trHeight w:val="171"/>
        </w:trPr>
        <w:tc>
          <w:tcPr>
            <w:tcW w:w="20" w:type="dxa"/>
            <w:vAlign w:val="bottom"/>
          </w:tcPr>
          <w:p>
            <w:pPr>
              <w:spacing w:after="0"/>
              <w:rPr>
                <w:sz w:val="14"/>
                <w:szCs w:val="14"/>
                <w:color w:val="auto"/>
              </w:rPr>
            </w:pPr>
          </w:p>
        </w:tc>
        <w:tc>
          <w:tcPr>
            <w:tcW w:w="58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140" w:type="dxa"/>
            <w:vAlign w:val="bottom"/>
            <w:gridSpan w:val="6"/>
          </w:tcPr>
          <w:p>
            <w:pPr>
              <w:jc w:val="center"/>
              <w:ind w:right="460"/>
              <w:spacing w:after="0"/>
              <w:rPr>
                <w:sz w:val="20"/>
                <w:szCs w:val="20"/>
                <w:color w:val="auto"/>
              </w:rPr>
            </w:pPr>
            <w:r>
              <w:rPr>
                <w:rFonts w:ascii="Arial" w:cs="Arial" w:eastAsia="Arial" w:hAnsi="Arial"/>
                <w:sz w:val="14"/>
                <w:szCs w:val="14"/>
                <w:b w:val="1"/>
                <w:bCs w:val="1"/>
                <w:color w:val="auto"/>
                <w:w w:val="93"/>
              </w:rPr>
              <w:t>Year Ended December 31,</w:t>
            </w:r>
          </w:p>
        </w:tc>
        <w:tc>
          <w:tcPr>
            <w:tcW w:w="100" w:type="dxa"/>
            <w:vAlign w:val="bottom"/>
          </w:tcPr>
          <w:p>
            <w:pPr>
              <w:spacing w:after="0"/>
              <w:rPr>
                <w:sz w:val="14"/>
                <w:szCs w:val="14"/>
                <w:color w:val="auto"/>
              </w:rPr>
            </w:pPr>
          </w:p>
        </w:tc>
        <w:tc>
          <w:tcPr>
            <w:tcW w:w="1940" w:type="dxa"/>
            <w:vAlign w:val="bottom"/>
            <w:gridSpan w:val="4"/>
          </w:tcPr>
          <w:p>
            <w:pPr>
              <w:jc w:val="right"/>
              <w:ind w:right="760"/>
              <w:spacing w:after="0"/>
              <w:rPr>
                <w:sz w:val="20"/>
                <w:szCs w:val="20"/>
                <w:color w:val="auto"/>
              </w:rPr>
            </w:pPr>
            <w:r>
              <w:rPr>
                <w:rFonts w:ascii="Arial" w:cs="Arial" w:eastAsia="Arial" w:hAnsi="Arial"/>
                <w:sz w:val="14"/>
                <w:szCs w:val="14"/>
                <w:b w:val="1"/>
                <w:bCs w:val="1"/>
                <w:color w:val="auto"/>
              </w:rPr>
              <w:t>2020 vs 2019</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582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640" w:type="dxa"/>
            <w:vAlign w:val="bottom"/>
            <w:tcBorders>
              <w:top w:val="single" w:sz="8" w:color="auto"/>
            </w:tcBorders>
          </w:tcPr>
          <w:p>
            <w:pPr>
              <w:jc w:val="right"/>
              <w:ind w:right="135"/>
              <w:spacing w:after="0" w:line="142" w:lineRule="exact"/>
              <w:rPr>
                <w:sz w:val="20"/>
                <w:szCs w:val="20"/>
                <w:color w:val="auto"/>
              </w:rPr>
            </w:pPr>
            <w:r>
              <w:rPr>
                <w:rFonts w:ascii="Arial" w:cs="Arial" w:eastAsia="Arial" w:hAnsi="Arial"/>
                <w:sz w:val="14"/>
                <w:szCs w:val="14"/>
                <w:b w:val="1"/>
                <w:bCs w:val="1"/>
                <w:color w:val="auto"/>
              </w:rPr>
              <w:t>2020</w:t>
            </w:r>
          </w:p>
        </w:tc>
        <w:tc>
          <w:tcPr>
            <w:tcW w:w="220" w:type="dxa"/>
            <w:vAlign w:val="bottom"/>
            <w:tcBorders>
              <w:top w:val="single" w:sz="8" w:color="auto"/>
            </w:tcBorders>
          </w:tcPr>
          <w:p>
            <w:pPr>
              <w:spacing w:after="0"/>
              <w:rPr>
                <w:sz w:val="12"/>
                <w:szCs w:val="12"/>
                <w:color w:val="auto"/>
              </w:rPr>
            </w:pPr>
          </w:p>
        </w:tc>
        <w:tc>
          <w:tcPr>
            <w:tcW w:w="160" w:type="dxa"/>
            <w:vAlign w:val="bottom"/>
            <w:tcBorders>
              <w:top w:val="single" w:sz="8" w:color="auto"/>
            </w:tcBorders>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640" w:type="dxa"/>
            <w:vAlign w:val="bottom"/>
            <w:tcBorders>
              <w:top w:val="single" w:sz="8" w:color="auto"/>
            </w:tcBorders>
          </w:tcPr>
          <w:p>
            <w:pPr>
              <w:jc w:val="right"/>
              <w:ind w:right="132"/>
              <w:spacing w:after="0" w:line="142" w:lineRule="exact"/>
              <w:rPr>
                <w:sz w:val="20"/>
                <w:szCs w:val="20"/>
                <w:color w:val="auto"/>
              </w:rPr>
            </w:pPr>
            <w:r>
              <w:rPr>
                <w:rFonts w:ascii="Arial" w:cs="Arial" w:eastAsia="Arial" w:hAnsi="Arial"/>
                <w:sz w:val="14"/>
                <w:szCs w:val="14"/>
                <w:b w:val="1"/>
                <w:bCs w:val="1"/>
                <w:color w:val="auto"/>
              </w:rPr>
              <w:t>2019</w:t>
            </w:r>
          </w:p>
        </w:tc>
        <w:tc>
          <w:tcPr>
            <w:tcW w:w="380" w:type="dxa"/>
            <w:vAlign w:val="bottom"/>
          </w:tcPr>
          <w:p>
            <w:pPr>
              <w:spacing w:after="0"/>
              <w:rPr>
                <w:sz w:val="12"/>
                <w:szCs w:val="12"/>
                <w:color w:val="auto"/>
              </w:rPr>
            </w:pPr>
          </w:p>
        </w:tc>
        <w:tc>
          <w:tcPr>
            <w:tcW w:w="1120" w:type="dxa"/>
            <w:vAlign w:val="bottom"/>
            <w:tcBorders>
              <w:top w:val="single" w:sz="8" w:color="auto"/>
            </w:tcBorders>
            <w:gridSpan w:val="3"/>
          </w:tcPr>
          <w:p>
            <w:pPr>
              <w:jc w:val="right"/>
              <w:ind w:right="460"/>
              <w:spacing w:after="0" w:line="142" w:lineRule="exact"/>
              <w:rPr>
                <w:sz w:val="20"/>
                <w:szCs w:val="20"/>
                <w:color w:val="auto"/>
              </w:rPr>
            </w:pPr>
            <w:r>
              <w:rPr>
                <w:rFonts w:ascii="Arial" w:cs="Arial" w:eastAsia="Arial" w:hAnsi="Arial"/>
                <w:sz w:val="14"/>
                <w:szCs w:val="14"/>
                <w:b w:val="1"/>
                <w:bCs w:val="1"/>
                <w:color w:val="auto"/>
              </w:rPr>
              <w:t>$ Change</w:t>
            </w:r>
          </w:p>
        </w:tc>
        <w:tc>
          <w:tcPr>
            <w:tcW w:w="66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94"/>
              </w:rPr>
              <w:t>% Change</w:t>
            </w:r>
          </w:p>
        </w:tc>
        <w:tc>
          <w:tcPr>
            <w:tcW w:w="2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582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1760" w:type="dxa"/>
            <w:vAlign w:val="bottom"/>
            <w:tcBorders>
              <w:top w:val="single" w:sz="8" w:color="auto"/>
            </w:tcBorders>
            <w:gridSpan w:val="5"/>
          </w:tcPr>
          <w:p>
            <w:pPr>
              <w:jc w:val="center"/>
              <w:spacing w:after="0" w:line="142" w:lineRule="exact"/>
              <w:rPr>
                <w:sz w:val="20"/>
                <w:szCs w:val="20"/>
                <w:color w:val="auto"/>
              </w:rPr>
            </w:pPr>
            <w:r>
              <w:rPr>
                <w:rFonts w:ascii="Arial" w:cs="Arial" w:eastAsia="Arial" w:hAnsi="Arial"/>
                <w:sz w:val="14"/>
                <w:szCs w:val="14"/>
                <w:b w:val="1"/>
                <w:bCs w:val="1"/>
                <w:color w:val="auto"/>
                <w:w w:val="91"/>
              </w:rPr>
              <w:t>(Dollars in thousands)</w:t>
            </w:r>
          </w:p>
        </w:tc>
        <w:tc>
          <w:tcPr>
            <w:tcW w:w="38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360" w:type="dxa"/>
            <w:vAlign w:val="bottom"/>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2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20" w:type="dxa"/>
            <w:vAlign w:val="bottom"/>
            <w:shd w:val="clear" w:color="auto" w:fill="CCEEFF"/>
          </w:tcPr>
          <w:p>
            <w:pPr>
              <w:spacing w:after="0"/>
              <w:rPr>
                <w:sz w:val="20"/>
                <w:szCs w:val="20"/>
                <w:color w:val="auto"/>
              </w:rPr>
            </w:pPr>
            <w:r>
              <w:rPr>
                <w:rFonts w:ascii="Arial" w:cs="Arial" w:eastAsia="Arial" w:hAnsi="Arial"/>
                <w:sz w:val="18"/>
                <w:szCs w:val="18"/>
                <w:color w:val="auto"/>
              </w:rPr>
              <w:t>Net income</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73,673</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56,556</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02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17,117</w:t>
            </w: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30.3%</w:t>
            </w: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5820" w:type="dxa"/>
            <w:vAlign w:val="bottom"/>
          </w:tcPr>
          <w:p>
            <w:pPr>
              <w:spacing w:after="0" w:line="201" w:lineRule="exact"/>
              <w:rPr>
                <w:sz w:val="20"/>
                <w:szCs w:val="20"/>
                <w:color w:val="auto"/>
              </w:rPr>
            </w:pPr>
            <w:r>
              <w:rPr>
                <w:rFonts w:ascii="Arial" w:cs="Arial" w:eastAsia="Arial" w:hAnsi="Arial"/>
                <w:sz w:val="18"/>
                <w:szCs w:val="18"/>
                <w:color w:val="auto"/>
              </w:rPr>
              <w:t>Adjustments to reconcile net income to net cash provided by operating</w:t>
            </w:r>
          </w:p>
        </w:tc>
        <w:tc>
          <w:tcPr>
            <w:tcW w:w="10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5820" w:type="dxa"/>
            <w:vAlign w:val="bottom"/>
          </w:tcPr>
          <w:p>
            <w:pPr>
              <w:ind w:left="160"/>
              <w:spacing w:after="0"/>
              <w:rPr>
                <w:sz w:val="20"/>
                <w:szCs w:val="20"/>
                <w:color w:val="auto"/>
              </w:rPr>
            </w:pPr>
            <w:r>
              <w:rPr>
                <w:rFonts w:ascii="Arial" w:cs="Arial" w:eastAsia="Arial" w:hAnsi="Arial"/>
                <w:sz w:val="18"/>
                <w:szCs w:val="18"/>
                <w:color w:val="auto"/>
              </w:rPr>
              <w:t>activities:</w:t>
            </w:r>
          </w:p>
        </w:tc>
        <w:tc>
          <w:tcPr>
            <w:tcW w:w="100" w:type="dxa"/>
            <w:vAlign w:val="bottom"/>
          </w:tcPr>
          <w:p>
            <w:pPr>
              <w:spacing w:after="0"/>
              <w:rPr>
                <w:sz w:val="20"/>
                <w:szCs w:val="20"/>
                <w:color w:val="auto"/>
              </w:rPr>
            </w:pPr>
          </w:p>
        </w:tc>
        <w:tc>
          <w:tcPr>
            <w:tcW w:w="860" w:type="dxa"/>
            <w:vAlign w:val="bottom"/>
            <w:gridSpan w:val="2"/>
          </w:tcPr>
          <w:p>
            <w:pPr>
              <w:jc w:val="right"/>
              <w:ind w:right="220"/>
              <w:spacing w:after="0"/>
              <w:rPr>
                <w:sz w:val="20"/>
                <w:szCs w:val="20"/>
                <w:color w:val="auto"/>
              </w:rPr>
            </w:pPr>
            <w:r>
              <w:rPr>
                <w:rFonts w:ascii="Arial" w:cs="Arial" w:eastAsia="Arial" w:hAnsi="Arial"/>
                <w:sz w:val="18"/>
                <w:szCs w:val="18"/>
                <w:color w:val="auto"/>
                <w:w w:val="95"/>
              </w:rPr>
              <w:t>322,582</w:t>
            </w:r>
          </w:p>
        </w:tc>
        <w:tc>
          <w:tcPr>
            <w:tcW w:w="1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20" w:type="dxa"/>
            <w:vAlign w:val="bottom"/>
            <w:gridSpan w:val="2"/>
          </w:tcPr>
          <w:p>
            <w:pPr>
              <w:jc w:val="right"/>
              <w:ind w:right="360"/>
              <w:spacing w:after="0"/>
              <w:rPr>
                <w:sz w:val="20"/>
                <w:szCs w:val="20"/>
                <w:color w:val="auto"/>
              </w:rPr>
            </w:pPr>
            <w:r>
              <w:rPr>
                <w:rFonts w:ascii="Arial" w:cs="Arial" w:eastAsia="Arial" w:hAnsi="Arial"/>
                <w:sz w:val="18"/>
                <w:szCs w:val="18"/>
                <w:color w:val="auto"/>
                <w:w w:val="98"/>
              </w:rPr>
              <w:t>371,989</w:t>
            </w:r>
          </w:p>
        </w:tc>
        <w:tc>
          <w:tcPr>
            <w:tcW w:w="100" w:type="dxa"/>
            <w:vAlign w:val="bottom"/>
          </w:tcPr>
          <w:p>
            <w:pPr>
              <w:spacing w:after="0"/>
              <w:rPr>
                <w:sz w:val="20"/>
                <w:szCs w:val="20"/>
                <w:color w:val="auto"/>
              </w:rPr>
            </w:pPr>
          </w:p>
        </w:tc>
        <w:tc>
          <w:tcPr>
            <w:tcW w:w="1020" w:type="dxa"/>
            <w:vAlign w:val="bottom"/>
            <w:gridSpan w:val="2"/>
          </w:tcPr>
          <w:p>
            <w:pPr>
              <w:jc w:val="right"/>
              <w:ind w:right="300"/>
              <w:spacing w:after="0"/>
              <w:rPr>
                <w:sz w:val="20"/>
                <w:szCs w:val="20"/>
                <w:color w:val="auto"/>
              </w:rPr>
            </w:pPr>
            <w:r>
              <w:rPr>
                <w:rFonts w:ascii="Arial" w:cs="Arial" w:eastAsia="Arial" w:hAnsi="Arial"/>
                <w:sz w:val="18"/>
                <w:szCs w:val="18"/>
                <w:color w:val="auto"/>
              </w:rPr>
              <w:t>(49,407)</w:t>
            </w:r>
          </w:p>
        </w:tc>
        <w:tc>
          <w:tcPr>
            <w:tcW w:w="920" w:type="dxa"/>
            <w:vAlign w:val="bottom"/>
            <w:gridSpan w:val="2"/>
          </w:tcPr>
          <w:p>
            <w:pPr>
              <w:jc w:val="right"/>
              <w:ind w:right="40"/>
              <w:spacing w:after="0"/>
              <w:rPr>
                <w:sz w:val="20"/>
                <w:szCs w:val="20"/>
                <w:color w:val="auto"/>
              </w:rPr>
            </w:pPr>
            <w:r>
              <w:rPr>
                <w:rFonts w:ascii="Arial" w:cs="Arial" w:eastAsia="Arial" w:hAnsi="Arial"/>
                <w:sz w:val="18"/>
                <w:szCs w:val="18"/>
                <w:color w:val="auto"/>
              </w:rPr>
              <w:t>(13.3%)</w:t>
            </w: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58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360" w:type="dxa"/>
            <w:vAlign w:val="bottom"/>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20" w:type="dxa"/>
            <w:vAlign w:val="bottom"/>
            <w:vMerge w:val="continue"/>
          </w:tcPr>
          <w:p>
            <w:pPr>
              <w:spacing w:after="0"/>
              <w:rPr>
                <w:sz w:val="18"/>
                <w:szCs w:val="18"/>
                <w:color w:val="auto"/>
              </w:rPr>
            </w:pPr>
          </w:p>
        </w:tc>
        <w:tc>
          <w:tcPr>
            <w:tcW w:w="5820" w:type="dxa"/>
            <w:vAlign w:val="bottom"/>
            <w:shd w:val="clear" w:color="auto" w:fill="CCEEFF"/>
          </w:tcPr>
          <w:p>
            <w:pPr>
              <w:spacing w:after="0"/>
              <w:rPr>
                <w:sz w:val="20"/>
                <w:szCs w:val="20"/>
                <w:color w:val="auto"/>
              </w:rPr>
            </w:pPr>
            <w:r>
              <w:rPr>
                <w:rFonts w:ascii="Arial" w:cs="Arial" w:eastAsia="Arial" w:hAnsi="Arial"/>
                <w:sz w:val="18"/>
                <w:szCs w:val="18"/>
                <w:color w:val="auto"/>
              </w:rPr>
              <w:t>Net cash provided by operating activities</w:t>
            </w:r>
          </w:p>
        </w:tc>
        <w:tc>
          <w:tcPr>
            <w:tcW w:w="1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w w:val="95"/>
              </w:rPr>
              <w:t>396,255</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w w:val="98"/>
              </w:rPr>
              <w:t>428,545</w:t>
            </w: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(32,290)</w:t>
            </w:r>
          </w:p>
        </w:tc>
        <w:tc>
          <w:tcPr>
            <w:tcW w:w="9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(7.5%)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20" w:type="dxa"/>
            <w:vAlign w:val="bottom"/>
          </w:tcPr>
          <w:p>
            <w:pPr>
              <w:spacing w:after="0"/>
              <w:rPr>
                <w:sz w:val="20"/>
                <w:szCs w:val="20"/>
                <w:color w:val="auto"/>
              </w:rPr>
            </w:pPr>
            <w:r>
              <w:rPr>
                <w:rFonts w:ascii="Arial" w:cs="Arial" w:eastAsia="Arial" w:hAnsi="Arial"/>
                <w:sz w:val="18"/>
                <w:szCs w:val="18"/>
                <w:color w:val="auto"/>
              </w:rPr>
              <w:t>Net cash used in investing activities</w:t>
            </w:r>
          </w:p>
        </w:tc>
        <w:tc>
          <w:tcPr>
            <w:tcW w:w="100" w:type="dxa"/>
            <w:vAlign w:val="bottom"/>
          </w:tcPr>
          <w:p>
            <w:pPr>
              <w:spacing w:after="0"/>
              <w:rPr>
                <w:sz w:val="18"/>
                <w:szCs w:val="18"/>
                <w:color w:val="auto"/>
              </w:rPr>
            </w:pPr>
          </w:p>
        </w:tc>
        <w:tc>
          <w:tcPr>
            <w:tcW w:w="860" w:type="dxa"/>
            <w:vAlign w:val="bottom"/>
            <w:gridSpan w:val="2"/>
          </w:tcPr>
          <w:p>
            <w:pPr>
              <w:jc w:val="right"/>
              <w:ind w:right="160"/>
              <w:spacing w:after="0"/>
              <w:rPr>
                <w:sz w:val="20"/>
                <w:szCs w:val="20"/>
                <w:color w:val="auto"/>
              </w:rPr>
            </w:pPr>
            <w:r>
              <w:rPr>
                <w:rFonts w:ascii="Arial" w:cs="Arial" w:eastAsia="Arial" w:hAnsi="Arial"/>
                <w:sz w:val="18"/>
                <w:szCs w:val="18"/>
                <w:color w:val="auto"/>
                <w:w w:val="88"/>
              </w:rPr>
              <w:t>(689,902)</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20" w:type="dxa"/>
            <w:vAlign w:val="bottom"/>
            <w:gridSpan w:val="2"/>
          </w:tcPr>
          <w:p>
            <w:pPr>
              <w:jc w:val="right"/>
              <w:ind w:right="300"/>
              <w:spacing w:after="0"/>
              <w:rPr>
                <w:sz w:val="20"/>
                <w:szCs w:val="20"/>
                <w:color w:val="auto"/>
              </w:rPr>
            </w:pPr>
            <w:r>
              <w:rPr>
                <w:rFonts w:ascii="Arial" w:cs="Arial" w:eastAsia="Arial" w:hAnsi="Arial"/>
                <w:sz w:val="18"/>
                <w:szCs w:val="18"/>
                <w:color w:val="auto"/>
                <w:w w:val="90"/>
              </w:rPr>
              <w:t>(761,792)</w:t>
            </w:r>
          </w:p>
        </w:tc>
        <w:tc>
          <w:tcPr>
            <w:tcW w:w="100" w:type="dxa"/>
            <w:vAlign w:val="bottom"/>
          </w:tcPr>
          <w:p>
            <w:pPr>
              <w:spacing w:after="0"/>
              <w:rPr>
                <w:sz w:val="18"/>
                <w:szCs w:val="18"/>
                <w:color w:val="auto"/>
              </w:rPr>
            </w:pPr>
          </w:p>
        </w:tc>
        <w:tc>
          <w:tcPr>
            <w:tcW w:w="1020" w:type="dxa"/>
            <w:vAlign w:val="bottom"/>
            <w:gridSpan w:val="2"/>
          </w:tcPr>
          <w:p>
            <w:pPr>
              <w:jc w:val="right"/>
              <w:ind w:right="360"/>
              <w:spacing w:after="0"/>
              <w:rPr>
                <w:sz w:val="20"/>
                <w:szCs w:val="20"/>
                <w:color w:val="auto"/>
              </w:rPr>
            </w:pPr>
            <w:r>
              <w:rPr>
                <w:rFonts w:ascii="Arial" w:cs="Arial" w:eastAsia="Arial" w:hAnsi="Arial"/>
                <w:sz w:val="18"/>
                <w:szCs w:val="18"/>
                <w:color w:val="auto"/>
              </w:rPr>
              <w:t>71,890</w:t>
            </w:r>
          </w:p>
        </w:tc>
        <w:tc>
          <w:tcPr>
            <w:tcW w:w="920" w:type="dxa"/>
            <w:vAlign w:val="bottom"/>
            <w:gridSpan w:val="2"/>
          </w:tcPr>
          <w:p>
            <w:pPr>
              <w:jc w:val="right"/>
              <w:ind w:right="40"/>
              <w:spacing w:after="0"/>
              <w:rPr>
                <w:sz w:val="20"/>
                <w:szCs w:val="20"/>
                <w:color w:val="auto"/>
              </w:rPr>
            </w:pPr>
            <w:r>
              <w:rPr>
                <w:rFonts w:ascii="Arial" w:cs="Arial" w:eastAsia="Arial" w:hAnsi="Arial"/>
                <w:sz w:val="18"/>
                <w:szCs w:val="18"/>
                <w:color w:val="auto"/>
              </w:rPr>
              <w:t>(9.4%)</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20" w:type="dxa"/>
            <w:vAlign w:val="bottom"/>
            <w:shd w:val="clear" w:color="auto" w:fill="CCEEFF"/>
          </w:tcPr>
          <w:p>
            <w:pPr>
              <w:spacing w:after="0"/>
              <w:rPr>
                <w:sz w:val="20"/>
                <w:szCs w:val="20"/>
                <w:color w:val="auto"/>
              </w:rPr>
            </w:pPr>
            <w:r>
              <w:rPr>
                <w:rFonts w:ascii="Arial" w:cs="Arial" w:eastAsia="Arial" w:hAnsi="Arial"/>
                <w:sz w:val="18"/>
                <w:szCs w:val="18"/>
                <w:color w:val="auto"/>
              </w:rPr>
              <w:t>Net cash provided by financing activities</w:t>
            </w:r>
          </w:p>
        </w:tc>
        <w:tc>
          <w:tcPr>
            <w:tcW w:w="1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w w:val="95"/>
              </w:rPr>
              <w:t>220,730</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w w:val="98"/>
              </w:rPr>
              <w:t>386,182</w:t>
            </w: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w w:val="90"/>
              </w:rPr>
              <w:t>(165,452)</w:t>
            </w:r>
          </w:p>
        </w:tc>
        <w:tc>
          <w:tcPr>
            <w:tcW w:w="9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(42.8%)</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20" w:type="dxa"/>
            <w:vAlign w:val="bottom"/>
          </w:tcPr>
          <w:p>
            <w:pPr>
              <w:spacing w:after="0"/>
              <w:rPr>
                <w:sz w:val="20"/>
                <w:szCs w:val="20"/>
                <w:color w:val="auto"/>
              </w:rPr>
            </w:pPr>
            <w:r>
              <w:rPr>
                <w:rFonts w:ascii="Arial" w:cs="Arial" w:eastAsia="Arial" w:hAnsi="Arial"/>
                <w:sz w:val="18"/>
                <w:szCs w:val="18"/>
                <w:color w:val="auto"/>
              </w:rPr>
              <w:t>Effect of exchange rate changes</w:t>
            </w:r>
          </w:p>
        </w:tc>
        <w:tc>
          <w:tcPr>
            <w:tcW w:w="100" w:type="dxa"/>
            <w:vAlign w:val="bottom"/>
          </w:tcPr>
          <w:p>
            <w:pPr>
              <w:spacing w:after="0"/>
              <w:rPr>
                <w:sz w:val="18"/>
                <w:szCs w:val="18"/>
                <w:color w:val="auto"/>
              </w:rPr>
            </w:pPr>
          </w:p>
        </w:tc>
        <w:tc>
          <w:tcPr>
            <w:tcW w:w="860" w:type="dxa"/>
            <w:vAlign w:val="bottom"/>
            <w:gridSpan w:val="2"/>
          </w:tcPr>
          <w:p>
            <w:pPr>
              <w:jc w:val="right"/>
              <w:ind w:right="220"/>
              <w:spacing w:after="0"/>
              <w:rPr>
                <w:sz w:val="20"/>
                <w:szCs w:val="20"/>
                <w:color w:val="auto"/>
              </w:rPr>
            </w:pPr>
            <w:r>
              <w:rPr>
                <w:rFonts w:ascii="Arial" w:cs="Arial" w:eastAsia="Arial" w:hAnsi="Arial"/>
                <w:sz w:val="18"/>
                <w:szCs w:val="18"/>
                <w:color w:val="auto"/>
              </w:rPr>
              <w:t>177</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20" w:type="dxa"/>
            <w:vAlign w:val="bottom"/>
            <w:gridSpan w:val="2"/>
          </w:tcPr>
          <w:p>
            <w:pPr>
              <w:jc w:val="right"/>
              <w:ind w:right="360"/>
              <w:spacing w:after="0"/>
              <w:rPr>
                <w:sz w:val="20"/>
                <w:szCs w:val="20"/>
                <w:color w:val="auto"/>
              </w:rPr>
            </w:pPr>
            <w:r>
              <w:rPr>
                <w:rFonts w:ascii="Arial" w:cs="Arial" w:eastAsia="Arial" w:hAnsi="Arial"/>
                <w:sz w:val="18"/>
                <w:szCs w:val="18"/>
                <w:color w:val="auto"/>
              </w:rPr>
              <w:t>42</w:t>
            </w:r>
          </w:p>
        </w:tc>
        <w:tc>
          <w:tcPr>
            <w:tcW w:w="100" w:type="dxa"/>
            <w:vAlign w:val="bottom"/>
          </w:tcPr>
          <w:p>
            <w:pPr>
              <w:spacing w:after="0"/>
              <w:rPr>
                <w:sz w:val="18"/>
                <w:szCs w:val="18"/>
                <w:color w:val="auto"/>
              </w:rPr>
            </w:pPr>
          </w:p>
        </w:tc>
        <w:tc>
          <w:tcPr>
            <w:tcW w:w="1020" w:type="dxa"/>
            <w:vAlign w:val="bottom"/>
            <w:gridSpan w:val="2"/>
          </w:tcPr>
          <w:p>
            <w:pPr>
              <w:jc w:val="right"/>
              <w:ind w:right="360"/>
              <w:spacing w:after="0"/>
              <w:rPr>
                <w:sz w:val="20"/>
                <w:szCs w:val="20"/>
                <w:color w:val="auto"/>
              </w:rPr>
            </w:pPr>
            <w:r>
              <w:rPr>
                <w:rFonts w:ascii="Arial" w:cs="Arial" w:eastAsia="Arial" w:hAnsi="Arial"/>
                <w:sz w:val="18"/>
                <w:szCs w:val="18"/>
                <w:color w:val="auto"/>
              </w:rPr>
              <w:t>135</w:t>
            </w:r>
          </w:p>
        </w:tc>
        <w:tc>
          <w:tcPr>
            <w:tcW w:w="920" w:type="dxa"/>
            <w:vAlign w:val="bottom"/>
            <w:gridSpan w:val="2"/>
          </w:tcPr>
          <w:p>
            <w:pPr>
              <w:jc w:val="right"/>
              <w:ind w:right="100"/>
              <w:spacing w:after="0"/>
              <w:rPr>
                <w:sz w:val="20"/>
                <w:szCs w:val="20"/>
                <w:color w:val="auto"/>
              </w:rPr>
            </w:pPr>
            <w:r>
              <w:rPr>
                <w:rFonts w:ascii="Arial" w:cs="Arial" w:eastAsia="Arial" w:hAnsi="Arial"/>
                <w:sz w:val="18"/>
                <w:szCs w:val="18"/>
                <w:color w:val="auto"/>
              </w:rPr>
              <w:t>321.4%</w:t>
            </w: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58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360" w:type="dxa"/>
            <w:vAlign w:val="bottom"/>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20" w:type="dxa"/>
            <w:vAlign w:val="bottom"/>
            <w:vMerge w:val="continue"/>
          </w:tcPr>
          <w:p>
            <w:pPr>
              <w:spacing w:after="0"/>
              <w:rPr>
                <w:sz w:val="18"/>
                <w:szCs w:val="18"/>
                <w:color w:val="auto"/>
              </w:rPr>
            </w:pPr>
          </w:p>
        </w:tc>
        <w:tc>
          <w:tcPr>
            <w:tcW w:w="5820" w:type="dxa"/>
            <w:vAlign w:val="bottom"/>
            <w:shd w:val="clear" w:color="auto" w:fill="CCEEFF"/>
          </w:tcPr>
          <w:p>
            <w:pPr>
              <w:spacing w:after="0"/>
              <w:rPr>
                <w:sz w:val="20"/>
                <w:szCs w:val="20"/>
                <w:color w:val="auto"/>
              </w:rPr>
            </w:pPr>
            <w:r>
              <w:rPr>
                <w:rFonts w:ascii="Arial" w:cs="Arial" w:eastAsia="Arial" w:hAnsi="Arial"/>
                <w:sz w:val="18"/>
                <w:szCs w:val="18"/>
                <w:color w:val="auto"/>
              </w:rPr>
              <w:t>Net (decrease) increase in cash</w:t>
            </w:r>
          </w:p>
        </w:tc>
        <w:tc>
          <w:tcPr>
            <w:tcW w:w="1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(72,740)</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52,977</w:t>
            </w: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w w:val="90"/>
              </w:rPr>
              <w:t>(125,717)</w:t>
            </w:r>
          </w:p>
        </w:tc>
        <w:tc>
          <w:tcPr>
            <w:tcW w:w="9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(237.3%)</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20" w:type="dxa"/>
            <w:vAlign w:val="bottom"/>
          </w:tcPr>
          <w:p>
            <w:pPr>
              <w:spacing w:after="0"/>
              <w:rPr>
                <w:sz w:val="20"/>
                <w:szCs w:val="20"/>
                <w:color w:val="auto"/>
              </w:rPr>
            </w:pPr>
            <w:r>
              <w:rPr>
                <w:rFonts w:ascii="Arial" w:cs="Arial" w:eastAsia="Arial" w:hAnsi="Arial"/>
                <w:sz w:val="18"/>
                <w:szCs w:val="18"/>
                <w:color w:val="auto"/>
              </w:rPr>
              <w:t>Cash, cash equivalents and restricted cash, beginning of the year</w:t>
            </w:r>
          </w:p>
        </w:tc>
        <w:tc>
          <w:tcPr>
            <w:tcW w:w="100" w:type="dxa"/>
            <w:vAlign w:val="bottom"/>
          </w:tcPr>
          <w:p>
            <w:pPr>
              <w:spacing w:after="0"/>
              <w:rPr>
                <w:sz w:val="18"/>
                <w:szCs w:val="18"/>
                <w:color w:val="auto"/>
              </w:rPr>
            </w:pPr>
          </w:p>
        </w:tc>
        <w:tc>
          <w:tcPr>
            <w:tcW w:w="860" w:type="dxa"/>
            <w:vAlign w:val="bottom"/>
            <w:gridSpan w:val="2"/>
          </w:tcPr>
          <w:p>
            <w:pPr>
              <w:jc w:val="right"/>
              <w:ind w:right="220"/>
              <w:spacing w:after="0"/>
              <w:rPr>
                <w:sz w:val="20"/>
                <w:szCs w:val="20"/>
                <w:color w:val="auto"/>
              </w:rPr>
            </w:pPr>
            <w:r>
              <w:rPr>
                <w:rFonts w:ascii="Arial" w:cs="Arial" w:eastAsia="Arial" w:hAnsi="Arial"/>
                <w:sz w:val="18"/>
                <w:szCs w:val="18"/>
                <w:color w:val="auto"/>
                <w:w w:val="95"/>
              </w:rPr>
              <w:t>277,905</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20" w:type="dxa"/>
            <w:vAlign w:val="bottom"/>
            <w:gridSpan w:val="2"/>
          </w:tcPr>
          <w:p>
            <w:pPr>
              <w:jc w:val="right"/>
              <w:ind w:right="360"/>
              <w:spacing w:after="0"/>
              <w:rPr>
                <w:sz w:val="20"/>
                <w:szCs w:val="20"/>
                <w:color w:val="auto"/>
              </w:rPr>
            </w:pPr>
            <w:r>
              <w:rPr>
                <w:rFonts w:ascii="Arial" w:cs="Arial" w:eastAsia="Arial" w:hAnsi="Arial"/>
                <w:sz w:val="18"/>
                <w:szCs w:val="18"/>
                <w:color w:val="auto"/>
                <w:w w:val="98"/>
              </w:rPr>
              <w:t>224,928</w:t>
            </w:r>
          </w:p>
        </w:tc>
        <w:tc>
          <w:tcPr>
            <w:tcW w:w="100" w:type="dxa"/>
            <w:vAlign w:val="bottom"/>
          </w:tcPr>
          <w:p>
            <w:pPr>
              <w:spacing w:after="0"/>
              <w:rPr>
                <w:sz w:val="18"/>
                <w:szCs w:val="18"/>
                <w:color w:val="auto"/>
              </w:rPr>
            </w:pPr>
          </w:p>
        </w:tc>
        <w:tc>
          <w:tcPr>
            <w:tcW w:w="1020" w:type="dxa"/>
            <w:vAlign w:val="bottom"/>
            <w:gridSpan w:val="2"/>
          </w:tcPr>
          <w:p>
            <w:pPr>
              <w:jc w:val="right"/>
              <w:ind w:right="360"/>
              <w:spacing w:after="0"/>
              <w:rPr>
                <w:sz w:val="20"/>
                <w:szCs w:val="20"/>
                <w:color w:val="auto"/>
              </w:rPr>
            </w:pPr>
            <w:r>
              <w:rPr>
                <w:rFonts w:ascii="Arial" w:cs="Arial" w:eastAsia="Arial" w:hAnsi="Arial"/>
                <w:sz w:val="18"/>
                <w:szCs w:val="18"/>
                <w:color w:val="auto"/>
              </w:rPr>
              <w:t>52,977</w:t>
            </w:r>
          </w:p>
        </w:tc>
        <w:tc>
          <w:tcPr>
            <w:tcW w:w="920" w:type="dxa"/>
            <w:vAlign w:val="bottom"/>
            <w:gridSpan w:val="2"/>
          </w:tcPr>
          <w:p>
            <w:pPr>
              <w:jc w:val="right"/>
              <w:ind w:right="100"/>
              <w:spacing w:after="0"/>
              <w:rPr>
                <w:sz w:val="20"/>
                <w:szCs w:val="20"/>
                <w:color w:val="auto"/>
              </w:rPr>
            </w:pPr>
            <w:r>
              <w:rPr>
                <w:rFonts w:ascii="Arial" w:cs="Arial" w:eastAsia="Arial" w:hAnsi="Arial"/>
                <w:sz w:val="18"/>
                <w:szCs w:val="18"/>
                <w:color w:val="auto"/>
              </w:rPr>
              <w:t>23.6%</w:t>
            </w: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58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360" w:type="dxa"/>
            <w:vAlign w:val="bottom"/>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20" w:type="dxa"/>
            <w:vAlign w:val="bottom"/>
            <w:vMerge w:val="continue"/>
          </w:tcPr>
          <w:p>
            <w:pPr>
              <w:spacing w:after="0"/>
              <w:rPr>
                <w:sz w:val="18"/>
                <w:szCs w:val="18"/>
                <w:color w:val="auto"/>
              </w:rPr>
            </w:pPr>
          </w:p>
        </w:tc>
        <w:tc>
          <w:tcPr>
            <w:tcW w:w="5820" w:type="dxa"/>
            <w:vAlign w:val="bottom"/>
            <w:shd w:val="clear" w:color="auto" w:fill="CCEEFF"/>
          </w:tcPr>
          <w:p>
            <w:pPr>
              <w:spacing w:after="0"/>
              <w:rPr>
                <w:sz w:val="20"/>
                <w:szCs w:val="20"/>
                <w:color w:val="auto"/>
              </w:rPr>
            </w:pPr>
            <w:r>
              <w:rPr>
                <w:rFonts w:ascii="Arial" w:cs="Arial" w:eastAsia="Arial" w:hAnsi="Arial"/>
                <w:sz w:val="18"/>
                <w:szCs w:val="18"/>
                <w:color w:val="auto"/>
              </w:rPr>
              <w:t>Cash, cash equivalents and restricted cash, end of the year</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w w:val="95"/>
              </w:rPr>
              <w:t>205,165</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w w:val="98"/>
              </w:rPr>
              <w:t>277,905</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02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(72,740)</w:t>
            </w:r>
          </w:p>
        </w:tc>
        <w:tc>
          <w:tcPr>
            <w:tcW w:w="9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(26.2%)</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8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23" w:lineRule="exact"/>
        <w:rPr>
          <w:sz w:val="20"/>
          <w:szCs w:val="20"/>
          <w:color w:val="auto"/>
        </w:rPr>
      </w:pPr>
    </w:p>
    <w:p>
      <w:pPr>
        <w:ind w:left="444"/>
        <w:spacing w:after="0"/>
        <w:rPr>
          <w:sz w:val="20"/>
          <w:szCs w:val="20"/>
          <w:color w:val="auto"/>
        </w:rPr>
      </w:pPr>
      <w:r>
        <w:rPr>
          <w:rFonts w:ascii="Arial" w:cs="Arial" w:eastAsia="Arial" w:hAnsi="Arial"/>
          <w:sz w:val="18"/>
          <w:szCs w:val="18"/>
          <w:i w:val="1"/>
          <w:iCs w:val="1"/>
          <w:color w:val="auto"/>
        </w:rPr>
        <w:t>Operating Activities</w:t>
      </w:r>
    </w:p>
    <w:p>
      <w:pPr>
        <w:spacing w:after="0" w:line="117" w:lineRule="exact"/>
        <w:rPr>
          <w:sz w:val="20"/>
          <w:szCs w:val="20"/>
          <w:color w:val="auto"/>
        </w:rPr>
      </w:pPr>
    </w:p>
    <w:p>
      <w:pPr>
        <w:ind w:left="4" w:right="80" w:firstLine="440"/>
        <w:spacing w:after="0" w:line="263" w:lineRule="auto"/>
        <w:rPr>
          <w:sz w:val="20"/>
          <w:szCs w:val="20"/>
          <w:color w:val="auto"/>
        </w:rPr>
      </w:pPr>
      <w:r>
        <w:rPr>
          <w:rFonts w:ascii="Arial" w:cs="Arial" w:eastAsia="Arial" w:hAnsi="Arial"/>
          <w:sz w:val="18"/>
          <w:szCs w:val="18"/>
          <w:color w:val="auto"/>
        </w:rPr>
        <w:t>Net cash provided by operating activities decreased $32,290 (-7.5%) from 2019 to 2020. The decrease in net cash provided by operating activities was primarily due to a $39,920 decrease in net working capital adjustments, partially offset by a $7,630 increase in net income adjusted for non-cash items such as depreciation expense, unrealized</w:t>
      </w:r>
    </w:p>
    <w:p>
      <w:pPr>
        <w:spacing w:after="0" w:line="116"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66</w:t>
      </w:r>
    </w:p>
    <w:p>
      <w:pPr>
        <w:sectPr>
          <w:pgSz w:w="11900" w:h="16838" w:orient="portrait"/>
          <w:cols w:equalWidth="0" w:num="1">
            <w:col w:w="11024"/>
          </w:cols>
          <w:pgMar w:left="436" w:top="274" w:right="439" w:bottom="1440" w:gutter="0" w:footer="0" w:header="0"/>
        </w:sectPr>
      </w:pPr>
    </w:p>
    <w:bookmarkStart w:id="80" w:name="page81"/>
    <w:bookmarkEnd w:id="80"/>
    <w:p>
      <w:pPr>
        <w:ind w:right="10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7174865" cy="38735"/>
                    </a:xfrm>
                    <a:prstGeom prst="rect">
                      <a:avLst/>
                    </a:prstGeom>
                    <a:noFill/>
                  </pic:spPr>
                </pic:pic>
              </a:graphicData>
            </a:graphic>
          </wp:anchor>
        </w:drawing>
        <w:t>loss on derivative instruments, amortization and write-off of debt issuance costs and accretion of bond discounts. The decrease in net working capital provided by operating activities were primarily due to a $13,991 decrease in accounts receivable, a $12,338 decrease in trading containers and a $7,590 decrease in prepaid expenses and other current assets.</w:t>
      </w:r>
    </w:p>
    <w:p>
      <w:pPr>
        <w:spacing w:after="0" w:line="292"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Investing Activities</w:t>
      </w:r>
    </w:p>
    <w:p>
      <w:pPr>
        <w:spacing w:after="0" w:line="117" w:lineRule="exact"/>
        <w:rPr>
          <w:sz w:val="20"/>
          <w:szCs w:val="20"/>
          <w:color w:val="auto"/>
        </w:rPr>
      </w:pPr>
    </w:p>
    <w:p>
      <w:pPr>
        <w:ind w:right="180" w:firstLine="440"/>
        <w:spacing w:after="0" w:line="263" w:lineRule="auto"/>
        <w:rPr>
          <w:sz w:val="20"/>
          <w:szCs w:val="20"/>
          <w:color w:val="auto"/>
        </w:rPr>
      </w:pPr>
      <w:r>
        <w:rPr>
          <w:rFonts w:ascii="Arial" w:cs="Arial" w:eastAsia="Arial" w:hAnsi="Arial"/>
          <w:sz w:val="18"/>
          <w:szCs w:val="18"/>
          <w:color w:val="auto"/>
        </w:rPr>
        <w:t>Net cash used in investing activities decreased $71,890 (-9.4%) from 2019 to 2020 primarily due to cash paid in 2019 for LAPCO acquisition of $171,841 and a $165,182 decrease in payments for container leaseback financing receivable, partially offset by a $279,152 increase in cash paid for container and fixed asset purchases.</w:t>
      </w:r>
    </w:p>
    <w:p>
      <w:pPr>
        <w:spacing w:after="0" w:line="292"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Financing Activities</w:t>
      </w:r>
    </w:p>
    <w:p>
      <w:pPr>
        <w:spacing w:after="0" w:line="117" w:lineRule="exact"/>
        <w:rPr>
          <w:sz w:val="20"/>
          <w:szCs w:val="20"/>
          <w:color w:val="auto"/>
        </w:rPr>
      </w:pPr>
    </w:p>
    <w:p>
      <w:pPr>
        <w:ind w:right="160" w:firstLine="440"/>
        <w:spacing w:after="0" w:line="257" w:lineRule="auto"/>
        <w:rPr>
          <w:sz w:val="20"/>
          <w:szCs w:val="20"/>
          <w:color w:val="auto"/>
        </w:rPr>
      </w:pPr>
      <w:r>
        <w:rPr>
          <w:rFonts w:ascii="Arial" w:cs="Arial" w:eastAsia="Arial" w:hAnsi="Arial"/>
          <w:sz w:val="18"/>
          <w:szCs w:val="18"/>
          <w:color w:val="auto"/>
        </w:rPr>
        <w:t>Net cash provided by financing activities decreased $165,452 (-42.8%%) from 2019 to 2020 primarily due to a $750,013 increase in principal payments on debt, partially offset by a $675,037 increase in proceeds from debt. Additionally, the decrease in net cash provided by financing activities were due to a $59,896 increase in purchase of treasury shares under the Company’s share repurchase program which commenced in September 2019, $17,448 proceed from container leaseback financing liability from 2019 and $12,515 payment on the extinguishment of container leaseback financing liability that was due to container investor in 2020.</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 Research and Development, Patents and Licenses, etc.</w:t>
      </w:r>
    </w:p>
    <w:p>
      <w:pPr>
        <w:spacing w:after="0" w:line="121" w:lineRule="exact"/>
        <w:rPr>
          <w:sz w:val="20"/>
          <w:szCs w:val="20"/>
          <w:color w:val="auto"/>
        </w:rPr>
      </w:pPr>
    </w:p>
    <w:p>
      <w:pPr>
        <w:ind w:right="40" w:firstLine="440"/>
        <w:spacing w:after="0" w:line="263" w:lineRule="auto"/>
        <w:rPr>
          <w:sz w:val="20"/>
          <w:szCs w:val="20"/>
          <w:color w:val="auto"/>
        </w:rPr>
      </w:pPr>
      <w:r>
        <w:rPr>
          <w:rFonts w:ascii="Arial" w:cs="Arial" w:eastAsia="Arial" w:hAnsi="Arial"/>
          <w:sz w:val="18"/>
          <w:szCs w:val="18"/>
          <w:color w:val="auto"/>
        </w:rPr>
        <w:t>We do not carry out research and development activities and our business and profitability are not materially dependent upon any patents or licenses. We have registered “TEXTAINER,” “TEX” and “tex” (logo) in the U.S. Patent and Trademark Office and in the patent and trademark agencies of thirteen countries as trademarks.</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 Trend Information</w:t>
      </w:r>
    </w:p>
    <w:p>
      <w:pPr>
        <w:spacing w:after="0" w:line="121" w:lineRule="exact"/>
        <w:rPr>
          <w:sz w:val="20"/>
          <w:szCs w:val="20"/>
          <w:color w:val="auto"/>
        </w:rPr>
      </w:pPr>
    </w:p>
    <w:p>
      <w:pPr>
        <w:ind w:firstLine="440"/>
        <w:spacing w:after="0" w:line="272" w:lineRule="auto"/>
        <w:rPr>
          <w:sz w:val="20"/>
          <w:szCs w:val="20"/>
          <w:color w:val="auto"/>
        </w:rPr>
      </w:pPr>
      <w:r>
        <w:rPr>
          <w:rFonts w:ascii="Arial" w:cs="Arial" w:eastAsia="Arial" w:hAnsi="Arial"/>
          <w:sz w:val="17"/>
          <w:szCs w:val="17"/>
          <w:color w:val="auto"/>
        </w:rPr>
        <w:t xml:space="preserve">Please see Item 5, </w:t>
      </w:r>
      <w:r>
        <w:rPr>
          <w:rFonts w:ascii="Arial" w:cs="Arial" w:eastAsia="Arial" w:hAnsi="Arial"/>
          <w:sz w:val="17"/>
          <w:szCs w:val="17"/>
          <w:i w:val="1"/>
          <w:iCs w:val="1"/>
          <w:color w:val="auto"/>
        </w:rPr>
        <w:t>“Operating and Financial Review and Prospects – Tabular Disclosure of Contractual Obligations”</w:t>
      </w:r>
      <w:r>
        <w:rPr>
          <w:rFonts w:ascii="Arial" w:cs="Arial" w:eastAsia="Arial" w:hAnsi="Arial"/>
          <w:sz w:val="17"/>
          <w:szCs w:val="17"/>
          <w:color w:val="auto"/>
        </w:rPr>
        <w:t xml:space="preserve"> for a description of identifiable trends, demands, commitments, events or uncertainties that will result in, or that are reasonably likely to result in, our liquidity either increasing or decreasing at present or in the foreseeable future. We will require sufficient capital in the future to meet our payments and other obligations under our contractual obligations and commercial commitments. The need to make such payments is a “Trend” as it is unlikely that all such obligations will be eliminated from our future business activities. We intend to utilize cash on hand in order to meet our obligations under our contractual obligations and commercial commitments. It is likely that we will generate sufficient operating cash flow to meet these ongoing obligations in the foreseeable future. From time to time, we may issue additional debt in order to raise capital for future requirements.</w:t>
      </w:r>
    </w:p>
    <w:p>
      <w:pPr>
        <w:spacing w:after="0" w:line="28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 Off-Balance Sheet Arrangements</w:t>
      </w:r>
    </w:p>
    <w:p>
      <w:pPr>
        <w:spacing w:after="0" w:line="121" w:lineRule="exact"/>
        <w:rPr>
          <w:sz w:val="20"/>
          <w:szCs w:val="20"/>
          <w:color w:val="auto"/>
        </w:rPr>
      </w:pPr>
    </w:p>
    <w:p>
      <w:pPr>
        <w:ind w:right="160" w:firstLine="440"/>
        <w:spacing w:after="0" w:line="263" w:lineRule="auto"/>
        <w:rPr>
          <w:sz w:val="20"/>
          <w:szCs w:val="20"/>
          <w:color w:val="auto"/>
        </w:rPr>
      </w:pPr>
      <w:r>
        <w:rPr>
          <w:rFonts w:ascii="Arial" w:cs="Arial" w:eastAsia="Arial" w:hAnsi="Arial"/>
          <w:sz w:val="18"/>
          <w:szCs w:val="18"/>
          <w:color w:val="auto"/>
        </w:rPr>
        <w:t>At December 31, 2020, we had no off-balance sheet arrangements that have or are reasonably likely to have a current or future effect on our financial condition, change in financial condition, revenues or expenses, results of operations, liquidity, capital expenditures or capital resources that is material to investors.</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67</w:t>
      </w:r>
    </w:p>
    <w:p>
      <w:pPr>
        <w:sectPr>
          <w:pgSz w:w="11900" w:h="16838" w:orient="portrait"/>
          <w:cols w:equalWidth="0" w:num="1">
            <w:col w:w="11000"/>
          </w:cols>
          <w:pgMar w:left="440" w:top="274" w:right="459" w:bottom="1440" w:gutter="0" w:footer="0" w:header="0"/>
        </w:sectPr>
      </w:pPr>
    </w:p>
    <w:bookmarkStart w:id="81" w:name="page82"/>
    <w:bookmarkEnd w:id="81"/>
    <w:p>
      <w:pPr>
        <w:ind w:left="4"/>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7174865" cy="38735"/>
                    </a:xfrm>
                    <a:prstGeom prst="rect">
                      <a:avLst/>
                    </a:prstGeom>
                    <a:noFill/>
                  </pic:spPr>
                </pic:pic>
              </a:graphicData>
            </a:graphic>
          </wp:anchor>
        </w:drawing>
        <w:t>F. Tabular Disclosure of Contractual Obligations</w:t>
      </w:r>
    </w:p>
    <w:p>
      <w:pPr>
        <w:spacing w:after="0" w:line="121" w:lineRule="exact"/>
        <w:rPr>
          <w:sz w:val="20"/>
          <w:szCs w:val="20"/>
          <w:color w:val="auto"/>
        </w:rPr>
      </w:pPr>
    </w:p>
    <w:p>
      <w:pPr>
        <w:ind w:left="444"/>
        <w:spacing w:after="0"/>
        <w:rPr>
          <w:sz w:val="20"/>
          <w:szCs w:val="20"/>
          <w:color w:val="auto"/>
        </w:rPr>
      </w:pPr>
      <w:r>
        <w:rPr>
          <w:rFonts w:ascii="Arial" w:cs="Arial" w:eastAsia="Arial" w:hAnsi="Arial"/>
          <w:sz w:val="18"/>
          <w:szCs w:val="18"/>
          <w:color w:val="auto"/>
        </w:rPr>
        <w:t>The following table sets forth our contractual obligations and commercial commitments by due date as of December 31, 2020:</w:t>
      </w:r>
    </w:p>
    <w:p>
      <w:pPr>
        <w:spacing w:after="0" w:line="244" w:lineRule="exact"/>
        <w:rPr>
          <w:sz w:val="20"/>
          <w:szCs w:val="20"/>
          <w:color w:val="auto"/>
        </w:rPr>
      </w:pPr>
    </w:p>
    <w:tbl>
      <w:tblPr>
        <w:tblLayout w:type="fixed"/>
        <w:tblInd w:w="4" w:type="dxa"/>
        <w:tblCellMar>
          <w:top w:w="0" w:type="dxa"/>
          <w:left w:w="0" w:type="dxa"/>
          <w:bottom w:w="0" w:type="dxa"/>
          <w:right w:w="0" w:type="dxa"/>
        </w:tblCellMar>
      </w:tblPr>
      <w:tr>
        <w:trPr>
          <w:trHeight w:val="171"/>
        </w:trPr>
        <w:tc>
          <w:tcPr>
            <w:tcW w:w="1220" w:type="dxa"/>
            <w:vAlign w:val="bottom"/>
          </w:tcPr>
          <w:p>
            <w:pPr>
              <w:spacing w:after="0"/>
              <w:rPr>
                <w:sz w:val="14"/>
                <w:szCs w:val="14"/>
                <w:color w:val="auto"/>
              </w:rPr>
            </w:pPr>
          </w:p>
        </w:tc>
        <w:tc>
          <w:tcPr>
            <w:tcW w:w="230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4620" w:type="dxa"/>
            <w:vAlign w:val="bottom"/>
            <w:tcBorders>
              <w:bottom w:val="single" w:sz="8" w:color="auto"/>
            </w:tcBorders>
            <w:gridSpan w:val="16"/>
          </w:tcPr>
          <w:p>
            <w:pPr>
              <w:jc w:val="center"/>
              <w:ind w:right="220"/>
              <w:spacing w:after="0"/>
              <w:rPr>
                <w:sz w:val="20"/>
                <w:szCs w:val="20"/>
                <w:color w:val="auto"/>
              </w:rPr>
            </w:pPr>
            <w:r>
              <w:rPr>
                <w:rFonts w:ascii="Arial" w:cs="Arial" w:eastAsia="Arial" w:hAnsi="Arial"/>
                <w:sz w:val="14"/>
                <w:szCs w:val="14"/>
                <w:b w:val="1"/>
                <w:bCs w:val="1"/>
                <w:color w:val="auto"/>
                <w:w w:val="93"/>
              </w:rPr>
              <w:t>Payments Due by Twelve Month Period Ending December 31</w:t>
            </w:r>
          </w:p>
        </w:tc>
        <w:tc>
          <w:tcPr>
            <w:tcW w:w="14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1220" w:type="dxa"/>
            <w:vAlign w:val="bottom"/>
          </w:tcPr>
          <w:p>
            <w:pPr>
              <w:spacing w:after="0"/>
              <w:rPr>
                <w:sz w:val="10"/>
                <w:szCs w:val="10"/>
                <w:color w:val="auto"/>
              </w:rPr>
            </w:pPr>
          </w:p>
        </w:tc>
        <w:tc>
          <w:tcPr>
            <w:tcW w:w="230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940" w:type="dxa"/>
            <w:vAlign w:val="bottom"/>
            <w:gridSpan w:val="2"/>
            <w:vMerge w:val="restart"/>
          </w:tcPr>
          <w:p>
            <w:pPr>
              <w:ind w:left="240"/>
              <w:spacing w:after="0"/>
              <w:rPr>
                <w:sz w:val="20"/>
                <w:szCs w:val="20"/>
                <w:color w:val="auto"/>
              </w:rPr>
            </w:pPr>
            <w:r>
              <w:rPr>
                <w:rFonts w:ascii="Arial" w:cs="Arial" w:eastAsia="Arial" w:hAnsi="Arial"/>
                <w:sz w:val="14"/>
                <w:szCs w:val="14"/>
                <w:b w:val="1"/>
                <w:bCs w:val="1"/>
                <w:color w:val="auto"/>
              </w:rPr>
              <w:t>Total</w:t>
            </w:r>
          </w:p>
        </w:tc>
        <w:tc>
          <w:tcPr>
            <w:tcW w:w="1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80" w:type="dxa"/>
            <w:vAlign w:val="bottom"/>
            <w:vMerge w:val="restart"/>
          </w:tcPr>
          <w:p>
            <w:pPr>
              <w:jc w:val="right"/>
              <w:ind w:right="112"/>
              <w:spacing w:after="0"/>
              <w:rPr>
                <w:sz w:val="20"/>
                <w:szCs w:val="20"/>
                <w:color w:val="auto"/>
              </w:rPr>
            </w:pPr>
            <w:r>
              <w:rPr>
                <w:rFonts w:ascii="Arial" w:cs="Arial" w:eastAsia="Arial" w:hAnsi="Arial"/>
                <w:sz w:val="14"/>
                <w:szCs w:val="14"/>
                <w:b w:val="1"/>
                <w:bCs w:val="1"/>
                <w:color w:val="auto"/>
              </w:rPr>
              <w:t>2021</w:t>
            </w:r>
          </w:p>
        </w:tc>
        <w:tc>
          <w:tcPr>
            <w:tcW w:w="140" w:type="dxa"/>
            <w:vAlign w:val="bottom"/>
          </w:tcPr>
          <w:p>
            <w:pPr>
              <w:spacing w:after="0"/>
              <w:rPr>
                <w:sz w:val="10"/>
                <w:szCs w:val="10"/>
                <w:color w:val="auto"/>
              </w:rPr>
            </w:pPr>
          </w:p>
        </w:tc>
        <w:tc>
          <w:tcPr>
            <w:tcW w:w="800" w:type="dxa"/>
            <w:vAlign w:val="bottom"/>
            <w:gridSpan w:val="2"/>
            <w:vMerge w:val="restart"/>
          </w:tcPr>
          <w:p>
            <w:pPr>
              <w:jc w:val="right"/>
              <w:ind w:right="118"/>
              <w:spacing w:after="0"/>
              <w:rPr>
                <w:sz w:val="20"/>
                <w:szCs w:val="20"/>
                <w:color w:val="auto"/>
              </w:rPr>
            </w:pPr>
            <w:r>
              <w:rPr>
                <w:rFonts w:ascii="Arial" w:cs="Arial" w:eastAsia="Arial" w:hAnsi="Arial"/>
                <w:sz w:val="14"/>
                <w:szCs w:val="14"/>
                <w:b w:val="1"/>
                <w:bCs w:val="1"/>
                <w:color w:val="auto"/>
              </w:rPr>
              <w:t>2022</w:t>
            </w:r>
          </w:p>
        </w:tc>
        <w:tc>
          <w:tcPr>
            <w:tcW w:w="140" w:type="dxa"/>
            <w:vAlign w:val="bottom"/>
          </w:tcPr>
          <w:p>
            <w:pPr>
              <w:spacing w:after="0"/>
              <w:rPr>
                <w:sz w:val="10"/>
                <w:szCs w:val="10"/>
                <w:color w:val="auto"/>
              </w:rPr>
            </w:pPr>
          </w:p>
        </w:tc>
        <w:tc>
          <w:tcPr>
            <w:tcW w:w="940" w:type="dxa"/>
            <w:vAlign w:val="bottom"/>
            <w:gridSpan w:val="2"/>
            <w:vMerge w:val="restart"/>
          </w:tcPr>
          <w:p>
            <w:pPr>
              <w:jc w:val="center"/>
              <w:ind w:left="51"/>
              <w:spacing w:after="0"/>
              <w:rPr>
                <w:sz w:val="20"/>
                <w:szCs w:val="20"/>
                <w:color w:val="auto"/>
              </w:rPr>
            </w:pPr>
            <w:r>
              <w:rPr>
                <w:rFonts w:ascii="Arial" w:cs="Arial" w:eastAsia="Arial" w:hAnsi="Arial"/>
                <w:sz w:val="14"/>
                <w:szCs w:val="14"/>
                <w:b w:val="1"/>
                <w:bCs w:val="1"/>
                <w:color w:val="auto"/>
                <w:w w:val="89"/>
              </w:rPr>
              <w:t>2023</w:t>
            </w:r>
          </w:p>
        </w:tc>
        <w:tc>
          <w:tcPr>
            <w:tcW w:w="1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00" w:type="dxa"/>
            <w:vAlign w:val="bottom"/>
            <w:vMerge w:val="restart"/>
          </w:tcPr>
          <w:p>
            <w:pPr>
              <w:jc w:val="right"/>
              <w:ind w:right="111"/>
              <w:spacing w:after="0"/>
              <w:rPr>
                <w:sz w:val="20"/>
                <w:szCs w:val="20"/>
                <w:color w:val="auto"/>
              </w:rPr>
            </w:pPr>
            <w:r>
              <w:rPr>
                <w:rFonts w:ascii="Arial" w:cs="Arial" w:eastAsia="Arial" w:hAnsi="Arial"/>
                <w:sz w:val="14"/>
                <w:szCs w:val="14"/>
                <w:b w:val="1"/>
                <w:bCs w:val="1"/>
                <w:color w:val="auto"/>
              </w:rPr>
              <w:t>2024</w:t>
            </w:r>
          </w:p>
        </w:tc>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00" w:type="dxa"/>
            <w:vAlign w:val="bottom"/>
            <w:vMerge w:val="restart"/>
          </w:tcPr>
          <w:p>
            <w:pPr>
              <w:jc w:val="right"/>
              <w:ind w:right="111"/>
              <w:spacing w:after="0"/>
              <w:rPr>
                <w:sz w:val="20"/>
                <w:szCs w:val="20"/>
                <w:color w:val="auto"/>
              </w:rPr>
            </w:pPr>
            <w:r>
              <w:rPr>
                <w:rFonts w:ascii="Arial" w:cs="Arial" w:eastAsia="Arial" w:hAnsi="Arial"/>
                <w:sz w:val="14"/>
                <w:szCs w:val="14"/>
                <w:b w:val="1"/>
                <w:bCs w:val="1"/>
                <w:color w:val="auto"/>
              </w:rPr>
              <w:t>2025</w:t>
            </w:r>
          </w:p>
        </w:tc>
        <w:tc>
          <w:tcPr>
            <w:tcW w:w="1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20" w:type="dxa"/>
            <w:vAlign w:val="bottom"/>
          </w:tcPr>
          <w:p>
            <w:pPr>
              <w:jc w:val="right"/>
              <w:ind w:right="53"/>
              <w:spacing w:after="0" w:line="119" w:lineRule="exact"/>
              <w:rPr>
                <w:sz w:val="20"/>
                <w:szCs w:val="20"/>
                <w:color w:val="auto"/>
              </w:rPr>
            </w:pPr>
            <w:r>
              <w:rPr>
                <w:rFonts w:ascii="Arial" w:cs="Arial" w:eastAsia="Arial" w:hAnsi="Arial"/>
                <w:sz w:val="13"/>
                <w:szCs w:val="13"/>
                <w:b w:val="1"/>
                <w:bCs w:val="1"/>
                <w:color w:val="auto"/>
              </w:rPr>
              <w:t>2026 and</w:t>
            </w: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1220" w:type="dxa"/>
            <w:vAlign w:val="bottom"/>
          </w:tcPr>
          <w:p>
            <w:pPr>
              <w:spacing w:after="0"/>
              <w:rPr>
                <w:sz w:val="14"/>
                <w:szCs w:val="14"/>
                <w:color w:val="auto"/>
              </w:rPr>
            </w:pPr>
          </w:p>
        </w:tc>
        <w:tc>
          <w:tcPr>
            <w:tcW w:w="230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940" w:type="dxa"/>
            <w:vAlign w:val="bottom"/>
            <w:gridSpan w:val="2"/>
            <w:vMerge w:val="continue"/>
          </w:tcPr>
          <w:p>
            <w:pPr>
              <w:spacing w:after="0"/>
              <w:rPr>
                <w:sz w:val="14"/>
                <w:szCs w:val="14"/>
                <w:color w:val="auto"/>
              </w:rPr>
            </w:pPr>
          </w:p>
        </w:tc>
        <w:tc>
          <w:tcPr>
            <w:tcW w:w="1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80" w:type="dxa"/>
            <w:vAlign w:val="bottom"/>
            <w:vMerge w:val="continue"/>
          </w:tcPr>
          <w:p>
            <w:pPr>
              <w:spacing w:after="0"/>
              <w:rPr>
                <w:sz w:val="14"/>
                <w:szCs w:val="14"/>
                <w:color w:val="auto"/>
              </w:rPr>
            </w:pPr>
          </w:p>
        </w:tc>
        <w:tc>
          <w:tcPr>
            <w:tcW w:w="140" w:type="dxa"/>
            <w:vAlign w:val="bottom"/>
          </w:tcPr>
          <w:p>
            <w:pPr>
              <w:spacing w:after="0"/>
              <w:rPr>
                <w:sz w:val="14"/>
                <w:szCs w:val="14"/>
                <w:color w:val="auto"/>
              </w:rPr>
            </w:pPr>
          </w:p>
        </w:tc>
        <w:tc>
          <w:tcPr>
            <w:tcW w:w="800" w:type="dxa"/>
            <w:vAlign w:val="bottom"/>
            <w:gridSpan w:val="2"/>
            <w:vMerge w:val="continue"/>
          </w:tcPr>
          <w:p>
            <w:pPr>
              <w:spacing w:after="0"/>
              <w:rPr>
                <w:sz w:val="14"/>
                <w:szCs w:val="14"/>
                <w:color w:val="auto"/>
              </w:rPr>
            </w:pPr>
          </w:p>
        </w:tc>
        <w:tc>
          <w:tcPr>
            <w:tcW w:w="140" w:type="dxa"/>
            <w:vAlign w:val="bottom"/>
          </w:tcPr>
          <w:p>
            <w:pPr>
              <w:spacing w:after="0"/>
              <w:rPr>
                <w:sz w:val="14"/>
                <w:szCs w:val="14"/>
                <w:color w:val="auto"/>
              </w:rPr>
            </w:pPr>
          </w:p>
        </w:tc>
        <w:tc>
          <w:tcPr>
            <w:tcW w:w="940" w:type="dxa"/>
            <w:vAlign w:val="bottom"/>
            <w:gridSpan w:val="2"/>
            <w:vMerge w:val="continue"/>
          </w:tcPr>
          <w:p>
            <w:pPr>
              <w:spacing w:after="0"/>
              <w:rPr>
                <w:sz w:val="14"/>
                <w:szCs w:val="14"/>
                <w:color w:val="auto"/>
              </w:rPr>
            </w:pPr>
          </w:p>
        </w:tc>
        <w:tc>
          <w:tcPr>
            <w:tcW w:w="1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0" w:type="dxa"/>
            <w:vAlign w:val="bottom"/>
            <w:vMerge w:val="continue"/>
          </w:tcPr>
          <w:p>
            <w:pPr>
              <w:spacing w:after="0"/>
              <w:rPr>
                <w:sz w:val="14"/>
                <w:szCs w:val="14"/>
                <w:color w:val="auto"/>
              </w:rPr>
            </w:pPr>
          </w:p>
        </w:tc>
        <w:tc>
          <w:tcPr>
            <w:tcW w:w="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0" w:type="dxa"/>
            <w:vAlign w:val="bottom"/>
            <w:vMerge w:val="continue"/>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80" w:type="dxa"/>
            <w:vAlign w:val="bottom"/>
            <w:gridSpan w:val="2"/>
          </w:tcPr>
          <w:p>
            <w:pPr>
              <w:spacing w:after="0"/>
              <w:rPr>
                <w:sz w:val="20"/>
                <w:szCs w:val="20"/>
                <w:color w:val="auto"/>
              </w:rPr>
            </w:pPr>
            <w:r>
              <w:rPr>
                <w:rFonts w:ascii="Arial" w:cs="Arial" w:eastAsia="Arial" w:hAnsi="Arial"/>
                <w:sz w:val="14"/>
                <w:szCs w:val="14"/>
                <w:b w:val="1"/>
                <w:bCs w:val="1"/>
                <w:color w:val="auto"/>
              </w:rPr>
              <w:t>thereafter</w:t>
            </w:r>
          </w:p>
        </w:tc>
        <w:tc>
          <w:tcPr>
            <w:tcW w:w="0" w:type="dxa"/>
            <w:vAlign w:val="bottom"/>
          </w:tcPr>
          <w:p>
            <w:pPr>
              <w:spacing w:after="0"/>
              <w:rPr>
                <w:sz w:val="1"/>
                <w:szCs w:val="1"/>
                <w:color w:val="auto"/>
              </w:rPr>
            </w:pPr>
          </w:p>
        </w:tc>
      </w:tr>
      <w:tr>
        <w:trPr>
          <w:trHeight w:val="119"/>
        </w:trPr>
        <w:tc>
          <w:tcPr>
            <w:tcW w:w="1220" w:type="dxa"/>
            <w:vAlign w:val="bottom"/>
          </w:tcPr>
          <w:p>
            <w:pPr>
              <w:spacing w:after="0"/>
              <w:rPr>
                <w:sz w:val="10"/>
                <w:szCs w:val="10"/>
                <w:color w:val="auto"/>
              </w:rPr>
            </w:pPr>
          </w:p>
        </w:tc>
        <w:tc>
          <w:tcPr>
            <w:tcW w:w="230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820" w:type="dxa"/>
            <w:vAlign w:val="bottom"/>
            <w:tcBorders>
              <w:top w:val="single" w:sz="8" w:color="auto"/>
            </w:tcBorders>
          </w:tcPr>
          <w:p>
            <w:pPr>
              <w:spacing w:after="0"/>
              <w:rPr>
                <w:sz w:val="10"/>
                <w:szCs w:val="10"/>
                <w:color w:val="auto"/>
              </w:rPr>
            </w:pPr>
          </w:p>
        </w:tc>
        <w:tc>
          <w:tcPr>
            <w:tcW w:w="1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580" w:type="dxa"/>
            <w:vAlign w:val="bottom"/>
            <w:tcBorders>
              <w:top w:val="single" w:sz="8" w:color="auto"/>
            </w:tcBorders>
          </w:tcPr>
          <w:p>
            <w:pPr>
              <w:spacing w:after="0"/>
              <w:rPr>
                <w:sz w:val="10"/>
                <w:szCs w:val="10"/>
                <w:color w:val="auto"/>
              </w:rPr>
            </w:pPr>
          </w:p>
        </w:tc>
        <w:tc>
          <w:tcPr>
            <w:tcW w:w="1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120" w:type="dxa"/>
            <w:vAlign w:val="bottom"/>
            <w:tcBorders>
              <w:top w:val="single" w:sz="8" w:color="auto"/>
            </w:tcBorders>
            <w:gridSpan w:val="7"/>
          </w:tcPr>
          <w:p>
            <w:pPr>
              <w:jc w:val="center"/>
              <w:ind w:left="518"/>
              <w:spacing w:after="0" w:line="119" w:lineRule="exact"/>
              <w:rPr>
                <w:sz w:val="20"/>
                <w:szCs w:val="20"/>
                <w:color w:val="auto"/>
              </w:rPr>
            </w:pPr>
            <w:r>
              <w:rPr>
                <w:rFonts w:ascii="Arial" w:cs="Arial" w:eastAsia="Arial" w:hAnsi="Arial"/>
                <w:sz w:val="13"/>
                <w:szCs w:val="13"/>
                <w:b w:val="1"/>
                <w:bCs w:val="1"/>
                <w:color w:val="auto"/>
                <w:w w:val="99"/>
              </w:rPr>
              <w:t>(Dollars in thousands)</w:t>
            </w:r>
          </w:p>
        </w:tc>
        <w:tc>
          <w:tcPr>
            <w:tcW w:w="600" w:type="dxa"/>
            <w:vAlign w:val="bottom"/>
            <w:tcBorders>
              <w:top w:val="single" w:sz="8" w:color="auto"/>
            </w:tcBorders>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600" w:type="dxa"/>
            <w:vAlign w:val="bottom"/>
            <w:tcBorders>
              <w:top w:val="single" w:sz="8" w:color="auto"/>
            </w:tcBorders>
          </w:tcPr>
          <w:p>
            <w:pPr>
              <w:spacing w:after="0"/>
              <w:rPr>
                <w:sz w:val="10"/>
                <w:szCs w:val="10"/>
                <w:color w:val="auto"/>
              </w:rPr>
            </w:pPr>
          </w:p>
        </w:tc>
        <w:tc>
          <w:tcPr>
            <w:tcW w:w="1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720" w:type="dxa"/>
            <w:vAlign w:val="bottom"/>
            <w:tcBorders>
              <w:top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1220" w:type="dxa"/>
            <w:vAlign w:val="bottom"/>
          </w:tcPr>
          <w:p>
            <w:pPr>
              <w:spacing w:after="0"/>
              <w:rPr>
                <w:sz w:val="14"/>
                <w:szCs w:val="14"/>
                <w:color w:val="auto"/>
              </w:rPr>
            </w:pPr>
          </w:p>
        </w:tc>
        <w:tc>
          <w:tcPr>
            <w:tcW w:w="230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96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95"/>
              </w:rPr>
              <w:t>(Unaudited)</w:t>
            </w: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6"/>
        </w:trPr>
        <w:tc>
          <w:tcPr>
            <w:tcW w:w="35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TL Revolving Credit Facility</w:t>
            </w:r>
          </w:p>
        </w:tc>
        <w:tc>
          <w:tcPr>
            <w:tcW w:w="162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$1,438,500</w:t>
            </w:r>
          </w:p>
        </w:tc>
        <w:tc>
          <w:tcPr>
            <w:tcW w:w="2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31,316</w:t>
            </w:r>
          </w:p>
        </w:tc>
        <w:tc>
          <w:tcPr>
            <w:tcW w:w="94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$135,245</w:t>
            </w:r>
          </w:p>
        </w:tc>
        <w:tc>
          <w:tcPr>
            <w:tcW w:w="108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$1,271,939</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ind w:left="4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520" w:type="dxa"/>
            <w:vAlign w:val="bottom"/>
            <w:gridSpan w:val="2"/>
          </w:tcPr>
          <w:p>
            <w:pPr>
              <w:spacing w:after="0"/>
              <w:rPr>
                <w:sz w:val="20"/>
                <w:szCs w:val="20"/>
                <w:color w:val="auto"/>
              </w:rPr>
            </w:pPr>
            <w:r>
              <w:rPr>
                <w:rFonts w:ascii="Arial" w:cs="Arial" w:eastAsia="Arial" w:hAnsi="Arial"/>
                <w:sz w:val="18"/>
                <w:szCs w:val="18"/>
                <w:color w:val="auto"/>
              </w:rPr>
              <w:t>TL 2019 Term Loan</w:t>
            </w:r>
          </w:p>
        </w:tc>
        <w:tc>
          <w:tcPr>
            <w:tcW w:w="1620" w:type="dxa"/>
            <w:vAlign w:val="bottom"/>
            <w:gridSpan w:val="3"/>
          </w:tcPr>
          <w:p>
            <w:pPr>
              <w:jc w:val="right"/>
              <w:ind w:right="120"/>
              <w:spacing w:after="0"/>
              <w:rPr>
                <w:sz w:val="20"/>
                <w:szCs w:val="20"/>
                <w:color w:val="auto"/>
              </w:rPr>
            </w:pPr>
            <w:r>
              <w:rPr>
                <w:rFonts w:ascii="Arial" w:cs="Arial" w:eastAsia="Arial" w:hAnsi="Arial"/>
                <w:sz w:val="18"/>
                <w:szCs w:val="18"/>
                <w:color w:val="auto"/>
              </w:rPr>
              <w:t>149,477</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40"/>
              <w:spacing w:after="0"/>
              <w:rPr>
                <w:sz w:val="20"/>
                <w:szCs w:val="20"/>
                <w:color w:val="auto"/>
              </w:rPr>
            </w:pPr>
            <w:r>
              <w:rPr>
                <w:rFonts w:ascii="Arial" w:cs="Arial" w:eastAsia="Arial" w:hAnsi="Arial"/>
                <w:sz w:val="18"/>
                <w:szCs w:val="18"/>
                <w:color w:val="auto"/>
              </w:rPr>
              <w:t>10,898</w:t>
            </w:r>
          </w:p>
        </w:tc>
        <w:tc>
          <w:tcPr>
            <w:tcW w:w="940" w:type="dxa"/>
            <w:vAlign w:val="bottom"/>
            <w:gridSpan w:val="3"/>
          </w:tcPr>
          <w:p>
            <w:pPr>
              <w:jc w:val="right"/>
              <w:ind w:right="140"/>
              <w:spacing w:after="0"/>
              <w:rPr>
                <w:sz w:val="20"/>
                <w:szCs w:val="20"/>
                <w:color w:val="auto"/>
              </w:rPr>
            </w:pPr>
            <w:r>
              <w:rPr>
                <w:rFonts w:ascii="Arial" w:cs="Arial" w:eastAsia="Arial" w:hAnsi="Arial"/>
                <w:sz w:val="18"/>
                <w:szCs w:val="18"/>
                <w:color w:val="auto"/>
              </w:rPr>
              <w:t>11,285</w:t>
            </w:r>
          </w:p>
        </w:tc>
        <w:tc>
          <w:tcPr>
            <w:tcW w:w="1080" w:type="dxa"/>
            <w:vAlign w:val="bottom"/>
            <w:gridSpan w:val="3"/>
          </w:tcPr>
          <w:p>
            <w:pPr>
              <w:jc w:val="right"/>
              <w:ind w:right="140"/>
              <w:spacing w:after="0"/>
              <w:rPr>
                <w:sz w:val="20"/>
                <w:szCs w:val="20"/>
                <w:color w:val="auto"/>
              </w:rPr>
            </w:pPr>
            <w:r>
              <w:rPr>
                <w:rFonts w:ascii="Arial" w:cs="Arial" w:eastAsia="Arial" w:hAnsi="Arial"/>
                <w:sz w:val="18"/>
                <w:szCs w:val="18"/>
                <w:color w:val="auto"/>
              </w:rPr>
              <w:t>11,686</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12,102</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12,532</w:t>
            </w:r>
          </w:p>
        </w:tc>
        <w:tc>
          <w:tcPr>
            <w:tcW w:w="24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780" w:type="dxa"/>
            <w:vAlign w:val="bottom"/>
            <w:gridSpan w:val="2"/>
          </w:tcPr>
          <w:p>
            <w:pPr>
              <w:jc w:val="right"/>
              <w:ind w:right="60"/>
              <w:spacing w:after="0"/>
              <w:rPr>
                <w:sz w:val="20"/>
                <w:szCs w:val="20"/>
                <w:color w:val="auto"/>
              </w:rPr>
            </w:pPr>
            <w:r>
              <w:rPr>
                <w:rFonts w:ascii="Arial" w:cs="Arial" w:eastAsia="Arial" w:hAnsi="Arial"/>
                <w:sz w:val="18"/>
                <w:szCs w:val="18"/>
                <w:color w:val="auto"/>
              </w:rPr>
              <w:t>90,974</w:t>
            </w:r>
          </w:p>
        </w:tc>
        <w:tc>
          <w:tcPr>
            <w:tcW w:w="0" w:type="dxa"/>
            <w:vAlign w:val="bottom"/>
          </w:tcPr>
          <w:p>
            <w:pPr>
              <w:spacing w:after="0"/>
              <w:rPr>
                <w:sz w:val="1"/>
                <w:szCs w:val="1"/>
                <w:color w:val="auto"/>
              </w:rPr>
            </w:pPr>
          </w:p>
        </w:tc>
      </w:tr>
      <w:tr>
        <w:trPr>
          <w:trHeight w:val="216"/>
        </w:trPr>
        <w:tc>
          <w:tcPr>
            <w:tcW w:w="35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TMCL II Secured Debt Facility (1)</w:t>
            </w:r>
          </w:p>
        </w:tc>
        <w:tc>
          <w:tcPr>
            <w:tcW w:w="162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649,531</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51,964</w:t>
            </w:r>
          </w:p>
        </w:tc>
        <w:tc>
          <w:tcPr>
            <w:tcW w:w="94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56,707</w:t>
            </w:r>
          </w:p>
        </w:tc>
        <w:tc>
          <w:tcPr>
            <w:tcW w:w="108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56,439</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56,439</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56,439</w:t>
            </w:r>
          </w:p>
        </w:tc>
        <w:tc>
          <w:tcPr>
            <w:tcW w:w="2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371,541</w:t>
            </w:r>
          </w:p>
        </w:tc>
        <w:tc>
          <w:tcPr>
            <w:tcW w:w="0" w:type="dxa"/>
            <w:vAlign w:val="bottom"/>
          </w:tcPr>
          <w:p>
            <w:pPr>
              <w:spacing w:after="0"/>
              <w:rPr>
                <w:sz w:val="1"/>
                <w:szCs w:val="1"/>
                <w:color w:val="auto"/>
              </w:rPr>
            </w:pPr>
          </w:p>
        </w:tc>
      </w:tr>
      <w:tr>
        <w:trPr>
          <w:trHeight w:val="216"/>
        </w:trPr>
        <w:tc>
          <w:tcPr>
            <w:tcW w:w="3520" w:type="dxa"/>
            <w:vAlign w:val="bottom"/>
            <w:gridSpan w:val="2"/>
          </w:tcPr>
          <w:p>
            <w:pPr>
              <w:spacing w:after="0"/>
              <w:rPr>
                <w:sz w:val="20"/>
                <w:szCs w:val="20"/>
                <w:color w:val="auto"/>
              </w:rPr>
            </w:pPr>
            <w:r>
              <w:rPr>
                <w:rFonts w:ascii="Arial" w:cs="Arial" w:eastAsia="Arial" w:hAnsi="Arial"/>
                <w:sz w:val="18"/>
                <w:szCs w:val="18"/>
                <w:color w:val="auto"/>
              </w:rPr>
              <w:t>TMCL VI Term Loan</w:t>
            </w:r>
          </w:p>
        </w:tc>
        <w:tc>
          <w:tcPr>
            <w:tcW w:w="1620" w:type="dxa"/>
            <w:vAlign w:val="bottom"/>
            <w:gridSpan w:val="3"/>
          </w:tcPr>
          <w:p>
            <w:pPr>
              <w:jc w:val="right"/>
              <w:ind w:right="120"/>
              <w:spacing w:after="0"/>
              <w:rPr>
                <w:sz w:val="20"/>
                <w:szCs w:val="20"/>
                <w:color w:val="auto"/>
              </w:rPr>
            </w:pPr>
            <w:r>
              <w:rPr>
                <w:rFonts w:ascii="Arial" w:cs="Arial" w:eastAsia="Arial" w:hAnsi="Arial"/>
                <w:sz w:val="18"/>
                <w:szCs w:val="18"/>
                <w:color w:val="auto"/>
              </w:rPr>
              <w:t>225,123</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40"/>
              <w:spacing w:after="0"/>
              <w:rPr>
                <w:sz w:val="20"/>
                <w:szCs w:val="20"/>
                <w:color w:val="auto"/>
              </w:rPr>
            </w:pPr>
            <w:r>
              <w:rPr>
                <w:rFonts w:ascii="Arial" w:cs="Arial" w:eastAsia="Arial" w:hAnsi="Arial"/>
                <w:sz w:val="18"/>
                <w:szCs w:val="18"/>
                <w:color w:val="auto"/>
              </w:rPr>
              <w:t>25,206</w:t>
            </w:r>
          </w:p>
        </w:tc>
        <w:tc>
          <w:tcPr>
            <w:tcW w:w="940" w:type="dxa"/>
            <w:vAlign w:val="bottom"/>
            <w:gridSpan w:val="3"/>
          </w:tcPr>
          <w:p>
            <w:pPr>
              <w:jc w:val="right"/>
              <w:ind w:right="140"/>
              <w:spacing w:after="0"/>
              <w:rPr>
                <w:sz w:val="20"/>
                <w:szCs w:val="20"/>
                <w:color w:val="auto"/>
              </w:rPr>
            </w:pPr>
            <w:r>
              <w:rPr>
                <w:rFonts w:ascii="Arial" w:cs="Arial" w:eastAsia="Arial" w:hAnsi="Arial"/>
                <w:sz w:val="18"/>
                <w:szCs w:val="18"/>
                <w:color w:val="auto"/>
              </w:rPr>
              <w:t>25,206</w:t>
            </w:r>
          </w:p>
        </w:tc>
        <w:tc>
          <w:tcPr>
            <w:tcW w:w="1080" w:type="dxa"/>
            <w:vAlign w:val="bottom"/>
            <w:gridSpan w:val="3"/>
          </w:tcPr>
          <w:p>
            <w:pPr>
              <w:jc w:val="right"/>
              <w:ind w:right="140"/>
              <w:spacing w:after="0"/>
              <w:rPr>
                <w:sz w:val="20"/>
                <w:szCs w:val="20"/>
                <w:color w:val="auto"/>
              </w:rPr>
            </w:pPr>
            <w:r>
              <w:rPr>
                <w:rFonts w:ascii="Arial" w:cs="Arial" w:eastAsia="Arial" w:hAnsi="Arial"/>
                <w:sz w:val="18"/>
                <w:szCs w:val="18"/>
                <w:color w:val="auto"/>
              </w:rPr>
              <w:t>25,206</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25,206</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w w:val="89"/>
              </w:rPr>
              <w:t>124,299</w:t>
            </w:r>
          </w:p>
        </w:tc>
        <w:tc>
          <w:tcPr>
            <w:tcW w:w="24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780" w:type="dxa"/>
            <w:vAlign w:val="bottom"/>
            <w:gridSpan w:val="2"/>
          </w:tcPr>
          <w:p>
            <w:pPr>
              <w:ind w:left="4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5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TMCL VII 2019-1 Bonds (2)</w:t>
            </w:r>
          </w:p>
        </w:tc>
        <w:tc>
          <w:tcPr>
            <w:tcW w:w="162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303,333</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28,000</w:t>
            </w:r>
          </w:p>
        </w:tc>
        <w:tc>
          <w:tcPr>
            <w:tcW w:w="94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28,000</w:t>
            </w:r>
          </w:p>
        </w:tc>
        <w:tc>
          <w:tcPr>
            <w:tcW w:w="108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28,000</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28,000</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28,000</w:t>
            </w:r>
          </w:p>
        </w:tc>
        <w:tc>
          <w:tcPr>
            <w:tcW w:w="2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163,333</w:t>
            </w:r>
          </w:p>
        </w:tc>
        <w:tc>
          <w:tcPr>
            <w:tcW w:w="0" w:type="dxa"/>
            <w:vAlign w:val="bottom"/>
          </w:tcPr>
          <w:p>
            <w:pPr>
              <w:spacing w:after="0"/>
              <w:rPr>
                <w:sz w:val="1"/>
                <w:szCs w:val="1"/>
                <w:color w:val="auto"/>
              </w:rPr>
            </w:pPr>
          </w:p>
        </w:tc>
      </w:tr>
      <w:tr>
        <w:trPr>
          <w:trHeight w:val="216"/>
        </w:trPr>
        <w:tc>
          <w:tcPr>
            <w:tcW w:w="3520" w:type="dxa"/>
            <w:vAlign w:val="bottom"/>
            <w:gridSpan w:val="2"/>
          </w:tcPr>
          <w:p>
            <w:pPr>
              <w:spacing w:after="0"/>
              <w:rPr>
                <w:sz w:val="20"/>
                <w:szCs w:val="20"/>
                <w:color w:val="auto"/>
              </w:rPr>
            </w:pPr>
            <w:r>
              <w:rPr>
                <w:rFonts w:ascii="Arial" w:cs="Arial" w:eastAsia="Arial" w:hAnsi="Arial"/>
                <w:sz w:val="18"/>
                <w:szCs w:val="18"/>
                <w:color w:val="auto"/>
              </w:rPr>
              <w:t>TMCL VII 2020-1 Bonds</w:t>
            </w:r>
          </w:p>
        </w:tc>
        <w:tc>
          <w:tcPr>
            <w:tcW w:w="1620" w:type="dxa"/>
            <w:vAlign w:val="bottom"/>
            <w:gridSpan w:val="3"/>
          </w:tcPr>
          <w:p>
            <w:pPr>
              <w:jc w:val="right"/>
              <w:ind w:right="120"/>
              <w:spacing w:after="0"/>
              <w:rPr>
                <w:sz w:val="20"/>
                <w:szCs w:val="20"/>
                <w:color w:val="auto"/>
              </w:rPr>
            </w:pPr>
            <w:r>
              <w:rPr>
                <w:rFonts w:ascii="Arial" w:cs="Arial" w:eastAsia="Arial" w:hAnsi="Arial"/>
                <w:sz w:val="18"/>
                <w:szCs w:val="18"/>
                <w:color w:val="auto"/>
              </w:rPr>
              <w:t>434,288</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40"/>
              <w:spacing w:after="0"/>
              <w:rPr>
                <w:sz w:val="20"/>
                <w:szCs w:val="20"/>
                <w:color w:val="auto"/>
              </w:rPr>
            </w:pPr>
            <w:r>
              <w:rPr>
                <w:rFonts w:ascii="Arial" w:cs="Arial" w:eastAsia="Arial" w:hAnsi="Arial"/>
                <w:sz w:val="18"/>
                <w:szCs w:val="18"/>
                <w:color w:val="auto"/>
              </w:rPr>
              <w:t>52,906</w:t>
            </w:r>
          </w:p>
        </w:tc>
        <w:tc>
          <w:tcPr>
            <w:tcW w:w="940" w:type="dxa"/>
            <w:vAlign w:val="bottom"/>
            <w:gridSpan w:val="3"/>
          </w:tcPr>
          <w:p>
            <w:pPr>
              <w:jc w:val="right"/>
              <w:ind w:right="140"/>
              <w:spacing w:after="0"/>
              <w:rPr>
                <w:sz w:val="20"/>
                <w:szCs w:val="20"/>
                <w:color w:val="auto"/>
              </w:rPr>
            </w:pPr>
            <w:r>
              <w:rPr>
                <w:rFonts w:ascii="Arial" w:cs="Arial" w:eastAsia="Arial" w:hAnsi="Arial"/>
                <w:sz w:val="18"/>
                <w:szCs w:val="18"/>
                <w:color w:val="auto"/>
              </w:rPr>
              <w:t>56,170</w:t>
            </w:r>
          </w:p>
        </w:tc>
        <w:tc>
          <w:tcPr>
            <w:tcW w:w="1080" w:type="dxa"/>
            <w:vAlign w:val="bottom"/>
            <w:gridSpan w:val="3"/>
          </w:tcPr>
          <w:p>
            <w:pPr>
              <w:jc w:val="right"/>
              <w:ind w:right="140"/>
              <w:spacing w:after="0"/>
              <w:rPr>
                <w:sz w:val="20"/>
                <w:szCs w:val="20"/>
                <w:color w:val="auto"/>
              </w:rPr>
            </w:pPr>
            <w:r>
              <w:rPr>
                <w:rFonts w:ascii="Arial" w:cs="Arial" w:eastAsia="Arial" w:hAnsi="Arial"/>
                <w:sz w:val="18"/>
                <w:szCs w:val="18"/>
                <w:color w:val="auto"/>
              </w:rPr>
              <w:t>56,925</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57,669</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56,661</w:t>
            </w:r>
          </w:p>
        </w:tc>
        <w:tc>
          <w:tcPr>
            <w:tcW w:w="24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780" w:type="dxa"/>
            <w:vAlign w:val="bottom"/>
            <w:gridSpan w:val="2"/>
          </w:tcPr>
          <w:p>
            <w:pPr>
              <w:jc w:val="right"/>
              <w:ind w:right="60"/>
              <w:spacing w:after="0"/>
              <w:rPr>
                <w:sz w:val="20"/>
                <w:szCs w:val="20"/>
                <w:color w:val="auto"/>
              </w:rPr>
            </w:pPr>
            <w:r>
              <w:rPr>
                <w:rFonts w:ascii="Arial" w:cs="Arial" w:eastAsia="Arial" w:hAnsi="Arial"/>
                <w:sz w:val="18"/>
                <w:szCs w:val="18"/>
                <w:color w:val="auto"/>
              </w:rPr>
              <w:t>153,956</w:t>
            </w:r>
          </w:p>
        </w:tc>
        <w:tc>
          <w:tcPr>
            <w:tcW w:w="0" w:type="dxa"/>
            <w:vAlign w:val="bottom"/>
          </w:tcPr>
          <w:p>
            <w:pPr>
              <w:spacing w:after="0"/>
              <w:rPr>
                <w:sz w:val="1"/>
                <w:szCs w:val="1"/>
                <w:color w:val="auto"/>
              </w:rPr>
            </w:pPr>
          </w:p>
        </w:tc>
      </w:tr>
      <w:tr>
        <w:trPr>
          <w:trHeight w:val="216"/>
        </w:trPr>
        <w:tc>
          <w:tcPr>
            <w:tcW w:w="35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TMCL VII 2020-2 Bonds</w:t>
            </w:r>
          </w:p>
        </w:tc>
        <w:tc>
          <w:tcPr>
            <w:tcW w:w="162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593,652</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63,858</w:t>
            </w:r>
          </w:p>
        </w:tc>
        <w:tc>
          <w:tcPr>
            <w:tcW w:w="94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60,569</w:t>
            </w:r>
          </w:p>
        </w:tc>
        <w:tc>
          <w:tcPr>
            <w:tcW w:w="108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66,179</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68,745</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69,031</w:t>
            </w:r>
          </w:p>
        </w:tc>
        <w:tc>
          <w:tcPr>
            <w:tcW w:w="2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265,270</w:t>
            </w:r>
          </w:p>
        </w:tc>
        <w:tc>
          <w:tcPr>
            <w:tcW w:w="0" w:type="dxa"/>
            <w:vAlign w:val="bottom"/>
          </w:tcPr>
          <w:p>
            <w:pPr>
              <w:spacing w:after="0"/>
              <w:rPr>
                <w:sz w:val="1"/>
                <w:szCs w:val="1"/>
                <w:color w:val="auto"/>
              </w:rPr>
            </w:pPr>
          </w:p>
        </w:tc>
      </w:tr>
      <w:tr>
        <w:trPr>
          <w:trHeight w:val="216"/>
        </w:trPr>
        <w:tc>
          <w:tcPr>
            <w:tcW w:w="3520" w:type="dxa"/>
            <w:vAlign w:val="bottom"/>
            <w:gridSpan w:val="2"/>
          </w:tcPr>
          <w:p>
            <w:pPr>
              <w:spacing w:after="0"/>
              <w:rPr>
                <w:sz w:val="20"/>
                <w:szCs w:val="20"/>
                <w:color w:val="auto"/>
              </w:rPr>
            </w:pPr>
            <w:r>
              <w:rPr>
                <w:rFonts w:ascii="Arial" w:cs="Arial" w:eastAsia="Arial" w:hAnsi="Arial"/>
                <w:sz w:val="18"/>
                <w:szCs w:val="18"/>
                <w:color w:val="auto"/>
              </w:rPr>
              <w:t>TMCL VII 2020-3 Bonds</w:t>
            </w:r>
          </w:p>
        </w:tc>
        <w:tc>
          <w:tcPr>
            <w:tcW w:w="1620" w:type="dxa"/>
            <w:vAlign w:val="bottom"/>
            <w:gridSpan w:val="3"/>
          </w:tcPr>
          <w:p>
            <w:pPr>
              <w:jc w:val="right"/>
              <w:ind w:right="120"/>
              <w:spacing w:after="0"/>
              <w:rPr>
                <w:sz w:val="20"/>
                <w:szCs w:val="20"/>
                <w:color w:val="auto"/>
              </w:rPr>
            </w:pPr>
            <w:r>
              <w:rPr>
                <w:rFonts w:ascii="Arial" w:cs="Arial" w:eastAsia="Arial" w:hAnsi="Arial"/>
                <w:sz w:val="18"/>
                <w:szCs w:val="18"/>
                <w:color w:val="auto"/>
              </w:rPr>
              <w:t>215,972</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40"/>
              <w:spacing w:after="0"/>
              <w:rPr>
                <w:sz w:val="20"/>
                <w:szCs w:val="20"/>
                <w:color w:val="auto"/>
              </w:rPr>
            </w:pPr>
            <w:r>
              <w:rPr>
                <w:rFonts w:ascii="Arial" w:cs="Arial" w:eastAsia="Arial" w:hAnsi="Arial"/>
                <w:sz w:val="18"/>
                <w:szCs w:val="18"/>
                <w:color w:val="auto"/>
              </w:rPr>
              <w:t>20,111</w:t>
            </w:r>
          </w:p>
        </w:tc>
        <w:tc>
          <w:tcPr>
            <w:tcW w:w="940" w:type="dxa"/>
            <w:vAlign w:val="bottom"/>
            <w:gridSpan w:val="3"/>
          </w:tcPr>
          <w:p>
            <w:pPr>
              <w:jc w:val="right"/>
              <w:ind w:right="140"/>
              <w:spacing w:after="0"/>
              <w:rPr>
                <w:sz w:val="20"/>
                <w:szCs w:val="20"/>
                <w:color w:val="auto"/>
              </w:rPr>
            </w:pPr>
            <w:r>
              <w:rPr>
                <w:rFonts w:ascii="Arial" w:cs="Arial" w:eastAsia="Arial" w:hAnsi="Arial"/>
                <w:sz w:val="18"/>
                <w:szCs w:val="18"/>
                <w:color w:val="auto"/>
              </w:rPr>
              <w:t>20,111</w:t>
            </w:r>
          </w:p>
        </w:tc>
        <w:tc>
          <w:tcPr>
            <w:tcW w:w="1080" w:type="dxa"/>
            <w:vAlign w:val="bottom"/>
            <w:gridSpan w:val="3"/>
          </w:tcPr>
          <w:p>
            <w:pPr>
              <w:jc w:val="right"/>
              <w:ind w:right="140"/>
              <w:spacing w:after="0"/>
              <w:rPr>
                <w:sz w:val="20"/>
                <w:szCs w:val="20"/>
                <w:color w:val="auto"/>
              </w:rPr>
            </w:pPr>
            <w:r>
              <w:rPr>
                <w:rFonts w:ascii="Arial" w:cs="Arial" w:eastAsia="Arial" w:hAnsi="Arial"/>
                <w:sz w:val="18"/>
                <w:szCs w:val="18"/>
                <w:color w:val="auto"/>
              </w:rPr>
              <w:t>20,111</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20,111</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20,111</w:t>
            </w:r>
          </w:p>
        </w:tc>
        <w:tc>
          <w:tcPr>
            <w:tcW w:w="24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780" w:type="dxa"/>
            <w:vAlign w:val="bottom"/>
            <w:gridSpan w:val="2"/>
          </w:tcPr>
          <w:p>
            <w:pPr>
              <w:jc w:val="right"/>
              <w:ind w:right="60"/>
              <w:spacing w:after="0"/>
              <w:rPr>
                <w:sz w:val="20"/>
                <w:szCs w:val="20"/>
                <w:color w:val="auto"/>
              </w:rPr>
            </w:pPr>
            <w:r>
              <w:rPr>
                <w:rFonts w:ascii="Arial" w:cs="Arial" w:eastAsia="Arial" w:hAnsi="Arial"/>
                <w:sz w:val="18"/>
                <w:szCs w:val="18"/>
                <w:color w:val="auto"/>
              </w:rPr>
              <w:t>115,417</w:t>
            </w:r>
          </w:p>
        </w:tc>
        <w:tc>
          <w:tcPr>
            <w:tcW w:w="0" w:type="dxa"/>
            <w:vAlign w:val="bottom"/>
          </w:tcPr>
          <w:p>
            <w:pPr>
              <w:spacing w:after="0"/>
              <w:rPr>
                <w:sz w:val="1"/>
                <w:szCs w:val="1"/>
                <w:color w:val="auto"/>
              </w:rPr>
            </w:pPr>
          </w:p>
        </w:tc>
      </w:tr>
      <w:tr>
        <w:trPr>
          <w:trHeight w:val="216"/>
        </w:trPr>
        <w:tc>
          <w:tcPr>
            <w:tcW w:w="35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TAP Funding Revolving Credit Facility</w:t>
            </w:r>
          </w:p>
        </w:tc>
        <w:tc>
          <w:tcPr>
            <w:tcW w:w="162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132,150</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w w:val="86"/>
              </w:rPr>
              <w:t>132,150</w:t>
            </w:r>
          </w:p>
        </w:tc>
        <w:tc>
          <w:tcPr>
            <w:tcW w:w="12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ind w:left="4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520" w:type="dxa"/>
            <w:vAlign w:val="bottom"/>
            <w:gridSpan w:val="2"/>
          </w:tcPr>
          <w:p>
            <w:pPr>
              <w:spacing w:after="0"/>
              <w:rPr>
                <w:sz w:val="20"/>
                <w:szCs w:val="20"/>
                <w:color w:val="auto"/>
              </w:rPr>
            </w:pPr>
            <w:r>
              <w:rPr>
                <w:rFonts w:ascii="Arial" w:cs="Arial" w:eastAsia="Arial" w:hAnsi="Arial"/>
                <w:sz w:val="18"/>
                <w:szCs w:val="18"/>
                <w:color w:val="auto"/>
              </w:rPr>
              <w:t>Interest on obligations (3)</w:t>
            </w:r>
          </w:p>
        </w:tc>
        <w:tc>
          <w:tcPr>
            <w:tcW w:w="1620" w:type="dxa"/>
            <w:vAlign w:val="bottom"/>
            <w:gridSpan w:val="3"/>
          </w:tcPr>
          <w:p>
            <w:pPr>
              <w:jc w:val="right"/>
              <w:ind w:right="120"/>
              <w:spacing w:after="0"/>
              <w:rPr>
                <w:sz w:val="20"/>
                <w:szCs w:val="20"/>
                <w:color w:val="auto"/>
              </w:rPr>
            </w:pPr>
            <w:r>
              <w:rPr>
                <w:rFonts w:ascii="Arial" w:cs="Arial" w:eastAsia="Arial" w:hAnsi="Arial"/>
                <w:sz w:val="18"/>
                <w:szCs w:val="18"/>
                <w:color w:val="auto"/>
              </w:rPr>
              <w:t>361,754</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40"/>
              <w:spacing w:after="0"/>
              <w:rPr>
                <w:sz w:val="20"/>
                <w:szCs w:val="20"/>
                <w:color w:val="auto"/>
              </w:rPr>
            </w:pPr>
            <w:r>
              <w:rPr>
                <w:rFonts w:ascii="Arial" w:cs="Arial" w:eastAsia="Arial" w:hAnsi="Arial"/>
                <w:sz w:val="18"/>
                <w:szCs w:val="18"/>
                <w:color w:val="auto"/>
              </w:rPr>
              <w:t>94,777</w:t>
            </w:r>
          </w:p>
        </w:tc>
        <w:tc>
          <w:tcPr>
            <w:tcW w:w="940" w:type="dxa"/>
            <w:vAlign w:val="bottom"/>
            <w:gridSpan w:val="3"/>
          </w:tcPr>
          <w:p>
            <w:pPr>
              <w:jc w:val="right"/>
              <w:ind w:right="140"/>
              <w:spacing w:after="0"/>
              <w:rPr>
                <w:sz w:val="20"/>
                <w:szCs w:val="20"/>
                <w:color w:val="auto"/>
              </w:rPr>
            </w:pPr>
            <w:r>
              <w:rPr>
                <w:rFonts w:ascii="Arial" w:cs="Arial" w:eastAsia="Arial" w:hAnsi="Arial"/>
                <w:sz w:val="18"/>
                <w:szCs w:val="18"/>
                <w:color w:val="auto"/>
              </w:rPr>
              <w:t>83,209</w:t>
            </w:r>
          </w:p>
        </w:tc>
        <w:tc>
          <w:tcPr>
            <w:tcW w:w="1080" w:type="dxa"/>
            <w:vAlign w:val="bottom"/>
            <w:gridSpan w:val="3"/>
          </w:tcPr>
          <w:p>
            <w:pPr>
              <w:jc w:val="right"/>
              <w:ind w:right="140"/>
              <w:spacing w:after="0"/>
              <w:rPr>
                <w:sz w:val="20"/>
                <w:szCs w:val="20"/>
                <w:color w:val="auto"/>
              </w:rPr>
            </w:pPr>
            <w:r>
              <w:rPr>
                <w:rFonts w:ascii="Arial" w:cs="Arial" w:eastAsia="Arial" w:hAnsi="Arial"/>
                <w:sz w:val="18"/>
                <w:szCs w:val="18"/>
                <w:color w:val="auto"/>
              </w:rPr>
              <w:t>67,954</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46,007</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34,238</w:t>
            </w:r>
          </w:p>
        </w:tc>
        <w:tc>
          <w:tcPr>
            <w:tcW w:w="24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780" w:type="dxa"/>
            <w:vAlign w:val="bottom"/>
            <w:gridSpan w:val="2"/>
          </w:tcPr>
          <w:p>
            <w:pPr>
              <w:jc w:val="right"/>
              <w:ind w:right="60"/>
              <w:spacing w:after="0"/>
              <w:rPr>
                <w:sz w:val="20"/>
                <w:szCs w:val="20"/>
                <w:color w:val="auto"/>
              </w:rPr>
            </w:pPr>
            <w:r>
              <w:rPr>
                <w:rFonts w:ascii="Arial" w:cs="Arial" w:eastAsia="Arial" w:hAnsi="Arial"/>
                <w:sz w:val="18"/>
                <w:szCs w:val="18"/>
                <w:color w:val="auto"/>
              </w:rPr>
              <w:t>35,568</w:t>
            </w:r>
          </w:p>
        </w:tc>
        <w:tc>
          <w:tcPr>
            <w:tcW w:w="0" w:type="dxa"/>
            <w:vAlign w:val="bottom"/>
          </w:tcPr>
          <w:p>
            <w:pPr>
              <w:spacing w:after="0"/>
              <w:rPr>
                <w:sz w:val="1"/>
                <w:szCs w:val="1"/>
                <w:color w:val="auto"/>
              </w:rPr>
            </w:pPr>
          </w:p>
        </w:tc>
      </w:tr>
      <w:tr>
        <w:trPr>
          <w:trHeight w:val="216"/>
        </w:trPr>
        <w:tc>
          <w:tcPr>
            <w:tcW w:w="35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Interest rate swaps and caps payables</w:t>
            </w:r>
          </w:p>
        </w:tc>
        <w:tc>
          <w:tcPr>
            <w:tcW w:w="68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520" w:type="dxa"/>
            <w:vAlign w:val="bottom"/>
            <w:gridSpan w:val="2"/>
          </w:tcPr>
          <w:p>
            <w:pPr>
              <w:spacing w:after="0"/>
              <w:rPr>
                <w:sz w:val="20"/>
                <w:szCs w:val="20"/>
                <w:color w:val="auto"/>
              </w:rPr>
            </w:pPr>
            <w:r>
              <w:rPr>
                <w:rFonts w:ascii="Arial" w:cs="Arial" w:eastAsia="Arial" w:hAnsi="Arial"/>
                <w:sz w:val="18"/>
                <w:szCs w:val="18"/>
                <w:color w:val="auto"/>
              </w:rPr>
              <w:t>(receivables), net (4)</w:t>
            </w:r>
          </w:p>
        </w:tc>
        <w:tc>
          <w:tcPr>
            <w:tcW w:w="1620" w:type="dxa"/>
            <w:vAlign w:val="bottom"/>
            <w:gridSpan w:val="3"/>
          </w:tcPr>
          <w:p>
            <w:pPr>
              <w:jc w:val="right"/>
              <w:ind w:right="120"/>
              <w:spacing w:after="0"/>
              <w:rPr>
                <w:sz w:val="20"/>
                <w:szCs w:val="20"/>
                <w:color w:val="auto"/>
              </w:rPr>
            </w:pPr>
            <w:r>
              <w:rPr>
                <w:rFonts w:ascii="Arial" w:cs="Arial" w:eastAsia="Arial" w:hAnsi="Arial"/>
                <w:sz w:val="18"/>
                <w:szCs w:val="18"/>
                <w:color w:val="auto"/>
              </w:rPr>
              <w:t>30,923</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40"/>
              <w:spacing w:after="0"/>
              <w:rPr>
                <w:sz w:val="20"/>
                <w:szCs w:val="20"/>
                <w:color w:val="auto"/>
              </w:rPr>
            </w:pPr>
            <w:r>
              <w:rPr>
                <w:rFonts w:ascii="Arial" w:cs="Arial" w:eastAsia="Arial" w:hAnsi="Arial"/>
                <w:sz w:val="18"/>
                <w:szCs w:val="18"/>
                <w:color w:val="auto"/>
              </w:rPr>
              <w:t>16,578</w:t>
            </w:r>
          </w:p>
        </w:tc>
        <w:tc>
          <w:tcPr>
            <w:tcW w:w="940" w:type="dxa"/>
            <w:vAlign w:val="bottom"/>
            <w:gridSpan w:val="3"/>
          </w:tcPr>
          <w:p>
            <w:pPr>
              <w:jc w:val="right"/>
              <w:ind w:right="140"/>
              <w:spacing w:after="0"/>
              <w:rPr>
                <w:sz w:val="20"/>
                <w:szCs w:val="20"/>
                <w:color w:val="auto"/>
              </w:rPr>
            </w:pPr>
            <w:r>
              <w:rPr>
                <w:rFonts w:ascii="Arial" w:cs="Arial" w:eastAsia="Arial" w:hAnsi="Arial"/>
                <w:sz w:val="18"/>
                <w:szCs w:val="18"/>
                <w:color w:val="auto"/>
              </w:rPr>
              <w:t>11,662</w:t>
            </w:r>
          </w:p>
        </w:tc>
        <w:tc>
          <w:tcPr>
            <w:tcW w:w="1080" w:type="dxa"/>
            <w:vAlign w:val="bottom"/>
            <w:gridSpan w:val="3"/>
          </w:tcPr>
          <w:p>
            <w:pPr>
              <w:jc w:val="right"/>
              <w:ind w:right="140"/>
              <w:spacing w:after="0"/>
              <w:rPr>
                <w:sz w:val="20"/>
                <w:szCs w:val="20"/>
                <w:color w:val="auto"/>
              </w:rPr>
            </w:pPr>
            <w:r>
              <w:rPr>
                <w:rFonts w:ascii="Arial" w:cs="Arial" w:eastAsia="Arial" w:hAnsi="Arial"/>
                <w:sz w:val="18"/>
                <w:szCs w:val="18"/>
                <w:color w:val="auto"/>
              </w:rPr>
              <w:t>1,992</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513</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115</w:t>
            </w:r>
          </w:p>
        </w:tc>
        <w:tc>
          <w:tcPr>
            <w:tcW w:w="24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780" w:type="dxa"/>
            <w:vAlign w:val="bottom"/>
            <w:gridSpan w:val="2"/>
          </w:tcPr>
          <w:p>
            <w:pPr>
              <w:jc w:val="right"/>
              <w:ind w:right="60"/>
              <w:spacing w:after="0"/>
              <w:rPr>
                <w:sz w:val="20"/>
                <w:szCs w:val="20"/>
                <w:color w:val="auto"/>
              </w:rPr>
            </w:pPr>
            <w:r>
              <w:rPr>
                <w:rFonts w:ascii="Arial" w:cs="Arial" w:eastAsia="Arial" w:hAnsi="Arial"/>
                <w:sz w:val="18"/>
                <w:szCs w:val="18"/>
                <w:color w:val="auto"/>
              </w:rPr>
              <w:t>63</w:t>
            </w:r>
          </w:p>
        </w:tc>
        <w:tc>
          <w:tcPr>
            <w:tcW w:w="0" w:type="dxa"/>
            <w:vAlign w:val="bottom"/>
          </w:tcPr>
          <w:p>
            <w:pPr>
              <w:spacing w:after="0"/>
              <w:rPr>
                <w:sz w:val="1"/>
                <w:szCs w:val="1"/>
                <w:color w:val="auto"/>
              </w:rPr>
            </w:pPr>
          </w:p>
        </w:tc>
      </w:tr>
      <w:tr>
        <w:trPr>
          <w:trHeight w:val="216"/>
        </w:trPr>
        <w:tc>
          <w:tcPr>
            <w:tcW w:w="35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Container contracts payable</w:t>
            </w:r>
          </w:p>
        </w:tc>
        <w:tc>
          <w:tcPr>
            <w:tcW w:w="162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231,647</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w w:val="86"/>
              </w:rPr>
              <w:t>231,647</w:t>
            </w:r>
          </w:p>
        </w:tc>
        <w:tc>
          <w:tcPr>
            <w:tcW w:w="12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ind w:left="4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520" w:type="dxa"/>
            <w:vAlign w:val="bottom"/>
            <w:gridSpan w:val="2"/>
          </w:tcPr>
          <w:p>
            <w:pPr>
              <w:spacing w:after="0"/>
              <w:rPr>
                <w:sz w:val="20"/>
                <w:szCs w:val="20"/>
                <w:color w:val="auto"/>
              </w:rPr>
            </w:pPr>
            <w:r>
              <w:rPr>
                <w:rFonts w:ascii="Arial" w:cs="Arial" w:eastAsia="Arial" w:hAnsi="Arial"/>
                <w:sz w:val="18"/>
                <w:szCs w:val="18"/>
                <w:color w:val="auto"/>
              </w:rPr>
              <w:t>Office lease obligations</w:t>
            </w:r>
          </w:p>
        </w:tc>
        <w:tc>
          <w:tcPr>
            <w:tcW w:w="680" w:type="dxa"/>
            <w:vAlign w:val="bottom"/>
          </w:tcPr>
          <w:p>
            <w:pPr>
              <w:spacing w:after="0"/>
              <w:rPr>
                <w:sz w:val="18"/>
                <w:szCs w:val="18"/>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14,395</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40"/>
              <w:spacing w:after="0"/>
              <w:rPr>
                <w:sz w:val="20"/>
                <w:szCs w:val="20"/>
                <w:color w:val="auto"/>
              </w:rPr>
            </w:pPr>
            <w:r>
              <w:rPr>
                <w:rFonts w:ascii="Arial" w:cs="Arial" w:eastAsia="Arial" w:hAnsi="Arial"/>
                <w:sz w:val="18"/>
                <w:szCs w:val="18"/>
                <w:color w:val="auto"/>
              </w:rPr>
              <w:t>2,273</w:t>
            </w:r>
          </w:p>
        </w:tc>
        <w:tc>
          <w:tcPr>
            <w:tcW w:w="940" w:type="dxa"/>
            <w:vAlign w:val="bottom"/>
            <w:gridSpan w:val="3"/>
          </w:tcPr>
          <w:p>
            <w:pPr>
              <w:jc w:val="right"/>
              <w:ind w:right="140"/>
              <w:spacing w:after="0"/>
              <w:rPr>
                <w:sz w:val="20"/>
                <w:szCs w:val="20"/>
                <w:color w:val="auto"/>
              </w:rPr>
            </w:pPr>
            <w:r>
              <w:rPr>
                <w:rFonts w:ascii="Arial" w:cs="Arial" w:eastAsia="Arial" w:hAnsi="Arial"/>
                <w:sz w:val="18"/>
                <w:szCs w:val="18"/>
                <w:color w:val="auto"/>
              </w:rPr>
              <w:t>2,253</w:t>
            </w:r>
          </w:p>
        </w:tc>
        <w:tc>
          <w:tcPr>
            <w:tcW w:w="1080" w:type="dxa"/>
            <w:vAlign w:val="bottom"/>
            <w:gridSpan w:val="3"/>
          </w:tcPr>
          <w:p>
            <w:pPr>
              <w:jc w:val="right"/>
              <w:ind w:right="140"/>
              <w:spacing w:after="0"/>
              <w:rPr>
                <w:sz w:val="20"/>
                <w:szCs w:val="20"/>
                <w:color w:val="auto"/>
              </w:rPr>
            </w:pPr>
            <w:r>
              <w:rPr>
                <w:rFonts w:ascii="Arial" w:cs="Arial" w:eastAsia="Arial" w:hAnsi="Arial"/>
                <w:sz w:val="18"/>
                <w:szCs w:val="18"/>
                <w:color w:val="auto"/>
              </w:rPr>
              <w:t>2,328</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2,305</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2,122</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gridSpan w:val="2"/>
          </w:tcPr>
          <w:p>
            <w:pPr>
              <w:jc w:val="right"/>
              <w:ind w:right="60"/>
              <w:spacing w:after="0"/>
              <w:rPr>
                <w:sz w:val="20"/>
                <w:szCs w:val="20"/>
                <w:color w:val="auto"/>
              </w:rPr>
            </w:pPr>
            <w:r>
              <w:rPr>
                <w:rFonts w:ascii="Arial" w:cs="Arial" w:eastAsia="Arial" w:hAnsi="Arial"/>
                <w:sz w:val="18"/>
                <w:szCs w:val="18"/>
                <w:color w:val="auto"/>
              </w:rPr>
              <w:t>3,114</w:t>
            </w:r>
          </w:p>
        </w:tc>
        <w:tc>
          <w:tcPr>
            <w:tcW w:w="0" w:type="dxa"/>
            <w:vAlign w:val="bottom"/>
          </w:tcPr>
          <w:p>
            <w:pPr>
              <w:spacing w:after="0"/>
              <w:rPr>
                <w:sz w:val="1"/>
                <w:szCs w:val="1"/>
                <w:color w:val="auto"/>
              </w:rPr>
            </w:pPr>
          </w:p>
        </w:tc>
      </w:tr>
      <w:tr>
        <w:trPr>
          <w:trHeight w:val="27"/>
        </w:trPr>
        <w:tc>
          <w:tcPr>
            <w:tcW w:w="1220" w:type="dxa"/>
            <w:vAlign w:val="bottom"/>
          </w:tcPr>
          <w:p>
            <w:pPr>
              <w:spacing w:after="0"/>
              <w:rPr>
                <w:sz w:val="2"/>
                <w:szCs w:val="2"/>
                <w:color w:val="auto"/>
              </w:rPr>
            </w:pPr>
          </w:p>
        </w:tc>
        <w:tc>
          <w:tcPr>
            <w:tcW w:w="2300" w:type="dxa"/>
            <w:vAlign w:val="bottom"/>
          </w:tcPr>
          <w:p>
            <w:pPr>
              <w:spacing w:after="0"/>
              <w:rPr>
                <w:sz w:val="2"/>
                <w:szCs w:val="2"/>
                <w:color w:val="auto"/>
              </w:rPr>
            </w:pPr>
          </w:p>
        </w:tc>
        <w:tc>
          <w:tcPr>
            <w:tcW w:w="680" w:type="dxa"/>
            <w:vAlign w:val="bottom"/>
          </w:tcPr>
          <w:p>
            <w:pPr>
              <w:spacing w:after="0"/>
              <w:rPr>
                <w:sz w:val="2"/>
                <w:szCs w:val="2"/>
                <w:color w:val="auto"/>
              </w:rPr>
            </w:pPr>
          </w:p>
        </w:tc>
        <w:tc>
          <w:tcPr>
            <w:tcW w:w="8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1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12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120" w:type="dxa"/>
            <w:vAlign w:val="bottom"/>
          </w:tcPr>
          <w:p>
            <w:pPr>
              <w:spacing w:after="0"/>
              <w:rPr>
                <w:sz w:val="2"/>
                <w:szCs w:val="2"/>
                <w:color w:val="auto"/>
              </w:rPr>
            </w:pPr>
          </w:p>
        </w:tc>
        <w:tc>
          <w:tcPr>
            <w:tcW w:w="82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1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35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 contractual obligations (5) (6)</w:t>
            </w:r>
          </w:p>
        </w:tc>
        <w:tc>
          <w:tcPr>
            <w:tcW w:w="162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4,780,745</w:t>
            </w:r>
          </w:p>
        </w:tc>
        <w:tc>
          <w:tcPr>
            <w:tcW w:w="2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u w:val="single" w:color="auto"/>
                <w:color w:val="auto"/>
              </w:rPr>
              <w:t>$</w:t>
            </w:r>
          </w:p>
        </w:tc>
        <w:tc>
          <w:tcPr>
            <w:tcW w:w="7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w w:val="86"/>
              </w:rPr>
              <w:t>761,683</w:t>
            </w:r>
          </w:p>
        </w:tc>
        <w:tc>
          <w:tcPr>
            <w:tcW w:w="94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490,417</w:t>
            </w:r>
          </w:p>
        </w:tc>
        <w:tc>
          <w:tcPr>
            <w:tcW w:w="108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1,608,760</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9"/>
              </w:rPr>
              <w:t>317,098</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9"/>
              </w:rPr>
              <w:t>403,549</w:t>
            </w:r>
          </w:p>
        </w:tc>
        <w:tc>
          <w:tcPr>
            <w:tcW w:w="2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u w:val="single" w:color="auto"/>
                <w:color w:val="auto"/>
              </w:rPr>
              <w:t>$</w:t>
            </w: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87"/>
              </w:rPr>
              <w:t>1,199,237</w:t>
            </w:r>
          </w:p>
        </w:tc>
        <w:tc>
          <w:tcPr>
            <w:tcW w:w="0" w:type="dxa"/>
            <w:vAlign w:val="bottom"/>
          </w:tcPr>
          <w:p>
            <w:pPr>
              <w:spacing w:after="0"/>
              <w:rPr>
                <w:sz w:val="1"/>
                <w:szCs w:val="1"/>
                <w:color w:val="auto"/>
              </w:rPr>
            </w:pPr>
          </w:p>
        </w:tc>
      </w:tr>
      <w:tr>
        <w:trPr>
          <w:trHeight w:val="20"/>
        </w:trPr>
        <w:tc>
          <w:tcPr>
            <w:tcW w:w="1220" w:type="dxa"/>
            <w:vAlign w:val="bottom"/>
          </w:tcPr>
          <w:p>
            <w:pPr>
              <w:spacing w:after="0" w:line="20" w:lineRule="exact"/>
              <w:rPr>
                <w:sz w:val="1"/>
                <w:szCs w:val="1"/>
                <w:color w:val="auto"/>
              </w:rPr>
            </w:pPr>
          </w:p>
        </w:tc>
        <w:tc>
          <w:tcPr>
            <w:tcW w:w="230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9"/>
        </w:trPr>
        <w:tc>
          <w:tcPr>
            <w:tcW w:w="1220" w:type="dxa"/>
            <w:vAlign w:val="bottom"/>
            <w:tcBorders>
              <w:bottom w:val="single" w:sz="8" w:color="auto"/>
            </w:tcBorders>
          </w:tcPr>
          <w:p>
            <w:pPr>
              <w:spacing w:after="0"/>
              <w:rPr>
                <w:sz w:val="11"/>
                <w:szCs w:val="11"/>
                <w:color w:val="auto"/>
              </w:rPr>
            </w:pPr>
          </w:p>
        </w:tc>
        <w:tc>
          <w:tcPr>
            <w:tcW w:w="230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26" w:lineRule="exact"/>
        <w:rPr>
          <w:sz w:val="20"/>
          <w:szCs w:val="20"/>
          <w:color w:val="auto"/>
        </w:rPr>
      </w:pPr>
    </w:p>
    <w:p>
      <w:pPr>
        <w:ind w:left="424" w:right="500" w:hanging="424"/>
        <w:spacing w:after="0" w:line="258" w:lineRule="auto"/>
        <w:tabs>
          <w:tab w:leader="none" w:pos="424" w:val="left"/>
        </w:tabs>
        <w:numPr>
          <w:ilvl w:val="0"/>
          <w:numId w:val="53"/>
        </w:numPr>
        <w:rPr>
          <w:rFonts w:ascii="Arial" w:cs="Arial" w:eastAsia="Arial" w:hAnsi="Arial"/>
          <w:sz w:val="18"/>
          <w:szCs w:val="18"/>
          <w:color w:val="auto"/>
        </w:rPr>
      </w:pPr>
      <w:r>
        <w:rPr>
          <w:rFonts w:ascii="Arial" w:cs="Arial" w:eastAsia="Arial" w:hAnsi="Arial"/>
          <w:sz w:val="18"/>
          <w:szCs w:val="18"/>
          <w:color w:val="auto"/>
        </w:rPr>
        <w:t>The estimated future repayments for TMCL II Secured Debt Facility are based on the assumption that the facility will not be extended on its associated conversion date.</w:t>
      </w:r>
    </w:p>
    <w:p>
      <w:pPr>
        <w:spacing w:after="0" w:line="1" w:lineRule="exact"/>
        <w:rPr>
          <w:rFonts w:ascii="Arial" w:cs="Arial" w:eastAsia="Arial" w:hAnsi="Arial"/>
          <w:sz w:val="18"/>
          <w:szCs w:val="18"/>
          <w:color w:val="auto"/>
        </w:rPr>
      </w:pPr>
    </w:p>
    <w:p>
      <w:pPr>
        <w:ind w:left="424" w:right="840" w:hanging="424"/>
        <w:spacing w:after="0" w:line="250" w:lineRule="auto"/>
        <w:tabs>
          <w:tab w:leader="none" w:pos="424" w:val="left"/>
        </w:tabs>
        <w:numPr>
          <w:ilvl w:val="0"/>
          <w:numId w:val="53"/>
        </w:numPr>
        <w:rPr>
          <w:rFonts w:ascii="Arial" w:cs="Arial" w:eastAsia="Arial" w:hAnsi="Arial"/>
          <w:sz w:val="18"/>
          <w:szCs w:val="18"/>
          <w:color w:val="auto"/>
        </w:rPr>
      </w:pPr>
      <w:r>
        <w:rPr>
          <w:rFonts w:ascii="Arial" w:cs="Arial" w:eastAsia="Arial" w:hAnsi="Arial"/>
          <w:sz w:val="18"/>
          <w:szCs w:val="18"/>
          <w:color w:val="auto"/>
        </w:rPr>
        <w:t>Amounts on the TMCL VII 2019-1 Bonds, TMCL VII 2020-1 Bonds, TMCL VII 2020-2 Bonds, TMCL VII 2020-3 Bonds, exclude an unamortized discount of $81, $79, $157 and $82.</w:t>
      </w:r>
    </w:p>
    <w:p>
      <w:pPr>
        <w:ind w:left="424" w:right="540" w:hanging="424"/>
        <w:spacing w:after="0" w:line="250" w:lineRule="auto"/>
        <w:tabs>
          <w:tab w:leader="none" w:pos="424" w:val="left"/>
        </w:tabs>
        <w:numPr>
          <w:ilvl w:val="0"/>
          <w:numId w:val="53"/>
        </w:numPr>
        <w:rPr>
          <w:rFonts w:ascii="Arial" w:cs="Arial" w:eastAsia="Arial" w:hAnsi="Arial"/>
          <w:sz w:val="18"/>
          <w:szCs w:val="18"/>
          <w:color w:val="auto"/>
        </w:rPr>
      </w:pPr>
      <w:r>
        <w:rPr>
          <w:rFonts w:ascii="Arial" w:cs="Arial" w:eastAsia="Arial" w:hAnsi="Arial"/>
          <w:sz w:val="18"/>
          <w:szCs w:val="18"/>
          <w:color w:val="auto"/>
        </w:rPr>
        <w:t>Using 0.14% which was one-month spot interest rate of LIBOR plus a margin rate that varies based on each debt facility. Weighted average interest rate at 2.35%.</w:t>
      </w:r>
    </w:p>
    <w:p>
      <w:pPr>
        <w:ind w:left="424" w:right="420" w:hanging="424"/>
        <w:spacing w:after="0" w:line="250" w:lineRule="auto"/>
        <w:tabs>
          <w:tab w:leader="none" w:pos="424" w:val="left"/>
        </w:tabs>
        <w:numPr>
          <w:ilvl w:val="0"/>
          <w:numId w:val="53"/>
        </w:numPr>
        <w:rPr>
          <w:rFonts w:ascii="Arial" w:cs="Arial" w:eastAsia="Arial" w:hAnsi="Arial"/>
          <w:sz w:val="18"/>
          <w:szCs w:val="18"/>
          <w:color w:val="auto"/>
        </w:rPr>
      </w:pPr>
      <w:r>
        <w:rPr>
          <w:rFonts w:ascii="Arial" w:cs="Arial" w:eastAsia="Arial" w:hAnsi="Arial"/>
          <w:sz w:val="18"/>
          <w:szCs w:val="18"/>
          <w:color w:val="auto"/>
        </w:rPr>
        <w:t>Calculated based on the difference between our fixed contractual rates and the counterparties’ average rate estimated at 0.14% which was one-month spot interest of LIBOR rate as of December 31, 2020, for all periods, for all interest rate contracts outstanding as of December 31, 2020.</w:t>
      </w:r>
    </w:p>
    <w:p>
      <w:pPr>
        <w:spacing w:after="0" w:line="1" w:lineRule="exact"/>
        <w:rPr>
          <w:rFonts w:ascii="Arial" w:cs="Arial" w:eastAsia="Arial" w:hAnsi="Arial"/>
          <w:sz w:val="18"/>
          <w:szCs w:val="18"/>
          <w:color w:val="auto"/>
        </w:rPr>
      </w:pPr>
    </w:p>
    <w:p>
      <w:pPr>
        <w:ind w:left="424" w:hanging="424"/>
        <w:spacing w:after="0"/>
        <w:tabs>
          <w:tab w:leader="none" w:pos="424" w:val="left"/>
        </w:tabs>
        <w:numPr>
          <w:ilvl w:val="0"/>
          <w:numId w:val="53"/>
        </w:numPr>
        <w:rPr>
          <w:rFonts w:ascii="Arial" w:cs="Arial" w:eastAsia="Arial" w:hAnsi="Arial"/>
          <w:sz w:val="18"/>
          <w:szCs w:val="18"/>
          <w:color w:val="auto"/>
        </w:rPr>
      </w:pPr>
      <w:r>
        <w:rPr>
          <w:rFonts w:ascii="Arial" w:cs="Arial" w:eastAsia="Arial" w:hAnsi="Arial"/>
          <w:sz w:val="18"/>
          <w:szCs w:val="18"/>
          <w:color w:val="auto"/>
        </w:rPr>
        <w:t>Future scheduled payments for all debts exclude prepaid debt issuance costs in an aggregate amount of $26,283.</w:t>
      </w:r>
    </w:p>
    <w:p>
      <w:pPr>
        <w:spacing w:after="0" w:line="9" w:lineRule="exact"/>
        <w:rPr>
          <w:rFonts w:ascii="Arial" w:cs="Arial" w:eastAsia="Arial" w:hAnsi="Arial"/>
          <w:sz w:val="18"/>
          <w:szCs w:val="18"/>
          <w:color w:val="auto"/>
        </w:rPr>
      </w:pPr>
    </w:p>
    <w:p>
      <w:pPr>
        <w:ind w:left="424" w:right="160" w:hanging="424"/>
        <w:spacing w:after="0" w:line="252" w:lineRule="auto"/>
        <w:tabs>
          <w:tab w:leader="none" w:pos="424" w:val="left"/>
        </w:tabs>
        <w:numPr>
          <w:ilvl w:val="0"/>
          <w:numId w:val="53"/>
        </w:numPr>
        <w:rPr>
          <w:rFonts w:ascii="Arial" w:cs="Arial" w:eastAsia="Arial" w:hAnsi="Arial"/>
          <w:sz w:val="18"/>
          <w:szCs w:val="18"/>
          <w:color w:val="auto"/>
        </w:rPr>
      </w:pPr>
      <w:r>
        <w:rPr>
          <w:rFonts w:ascii="Arial" w:cs="Arial" w:eastAsia="Arial" w:hAnsi="Arial"/>
          <w:sz w:val="18"/>
          <w:szCs w:val="18"/>
          <w:color w:val="auto"/>
        </w:rPr>
        <w:t xml:space="preserve">Excluded container leaseback financing liability amounting to $4,762 as of December 31, 2020 which is accounted for as a financing transaction under FASB Accounting Standards Update No. 2016-02, </w:t>
      </w:r>
      <w:r>
        <w:rPr>
          <w:rFonts w:ascii="Arial" w:cs="Arial" w:eastAsia="Arial" w:hAnsi="Arial"/>
          <w:sz w:val="18"/>
          <w:szCs w:val="18"/>
          <w:i w:val="1"/>
          <w:iCs w:val="1"/>
          <w:color w:val="auto"/>
        </w:rPr>
        <w:t>Leases (“Topic 842”)</w:t>
      </w:r>
      <w:r>
        <w:rPr>
          <w:rFonts w:ascii="Arial" w:cs="Arial" w:eastAsia="Arial" w:hAnsi="Arial"/>
          <w:sz w:val="18"/>
          <w:szCs w:val="18"/>
          <w:color w:val="auto"/>
        </w:rPr>
        <w:t xml:space="preserve"> (“ASU 2016-02”). This is excluded due to the uncertainty in the timing and variable amounts of future cash flows since the estimated future scheduled payments is dependent upon assumptions regarding the amounts distributed to the Container Investors which is based on net operating income of the managed fleet, reduced by the management fees earned. The Container Investors have no rights or recourse against the Company in the event of a lessee default or any other risk in respect of the managed containers.</w:t>
      </w:r>
    </w:p>
    <w:p>
      <w:pPr>
        <w:spacing w:after="0" w:line="298"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G. Safe Harbor</w:t>
      </w:r>
    </w:p>
    <w:p>
      <w:pPr>
        <w:spacing w:after="0" w:line="121" w:lineRule="exact"/>
        <w:rPr>
          <w:sz w:val="20"/>
          <w:szCs w:val="20"/>
          <w:color w:val="auto"/>
        </w:rPr>
      </w:pPr>
    </w:p>
    <w:p>
      <w:pPr>
        <w:ind w:left="4" w:right="260" w:firstLine="440"/>
        <w:spacing w:after="0" w:line="277" w:lineRule="auto"/>
        <w:rPr>
          <w:sz w:val="20"/>
          <w:szCs w:val="20"/>
          <w:color w:val="auto"/>
        </w:rPr>
      </w:pPr>
      <w:r>
        <w:rPr>
          <w:rFonts w:ascii="Arial" w:cs="Arial" w:eastAsia="Arial" w:hAnsi="Arial"/>
          <w:sz w:val="18"/>
          <w:szCs w:val="18"/>
          <w:color w:val="auto"/>
        </w:rPr>
        <w:t>This Annual Report on Form 20-F contains forward-looking statements. See “Information Regarding Forward-Looking Statements; Cautionary Language.”</w:t>
      </w:r>
    </w:p>
    <w:p>
      <w:pPr>
        <w:spacing w:after="0" w:line="10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68</w:t>
      </w:r>
    </w:p>
    <w:p>
      <w:pPr>
        <w:sectPr>
          <w:pgSz w:w="11900" w:h="16838" w:orient="portrait"/>
          <w:cols w:equalWidth="0" w:num="1">
            <w:col w:w="11024"/>
          </w:cols>
          <w:pgMar w:left="436" w:top="270" w:right="439" w:bottom="1440" w:gutter="0" w:footer="0" w:header="0"/>
        </w:sectPr>
      </w:pPr>
    </w:p>
    <w:bookmarkStart w:id="82" w:name="page83"/>
    <w:bookmarkEnd w:id="82"/>
    <w:p>
      <w:pPr>
        <w:ind w:left="4"/>
        <w:spacing w:after="0"/>
        <w:tabs>
          <w:tab w:leader="none" w:pos="1064" w:val="left"/>
        </w:tabs>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7174865" cy="38735"/>
                    </a:xfrm>
                    <a:prstGeom prst="rect">
                      <a:avLst/>
                    </a:prstGeom>
                    <a:noFill/>
                  </pic:spPr>
                </pic:pic>
              </a:graphicData>
            </a:graphic>
          </wp:anchor>
        </w:drawing>
        <w:t>ITEM 6.</w:t>
      </w:r>
      <w:r>
        <w:rPr>
          <w:sz w:val="20"/>
          <w:szCs w:val="20"/>
          <w:color w:val="auto"/>
        </w:rPr>
        <w:tab/>
      </w:r>
      <w:r>
        <w:rPr>
          <w:rFonts w:ascii="Arial" w:cs="Arial" w:eastAsia="Arial" w:hAnsi="Arial"/>
          <w:sz w:val="18"/>
          <w:szCs w:val="18"/>
          <w:b w:val="1"/>
          <w:bCs w:val="1"/>
          <w:color w:val="auto"/>
        </w:rPr>
        <w:t>DIRECTORS, SENIOR MANAGEMENT AND EMPLOYEES</w:t>
      </w:r>
    </w:p>
    <w:p>
      <w:pPr>
        <w:spacing w:after="0" w:line="131" w:lineRule="exact"/>
        <w:rPr>
          <w:sz w:val="20"/>
          <w:szCs w:val="20"/>
          <w:color w:val="auto"/>
        </w:rPr>
      </w:pPr>
    </w:p>
    <w:p>
      <w:pPr>
        <w:ind w:left="424" w:hanging="424"/>
        <w:spacing w:after="0"/>
        <w:tabs>
          <w:tab w:leader="none" w:pos="424" w:val="left"/>
        </w:tabs>
        <w:numPr>
          <w:ilvl w:val="0"/>
          <w:numId w:val="54"/>
        </w:numPr>
        <w:rPr>
          <w:rFonts w:ascii="Arial" w:cs="Arial" w:eastAsia="Arial" w:hAnsi="Arial"/>
          <w:sz w:val="18"/>
          <w:szCs w:val="18"/>
          <w:b w:val="1"/>
          <w:bCs w:val="1"/>
          <w:color w:val="auto"/>
        </w:rPr>
      </w:pPr>
      <w:r>
        <w:rPr>
          <w:rFonts w:ascii="Arial" w:cs="Arial" w:eastAsia="Arial" w:hAnsi="Arial"/>
          <w:sz w:val="18"/>
          <w:szCs w:val="18"/>
          <w:b w:val="1"/>
          <w:bCs w:val="1"/>
          <w:color w:val="auto"/>
        </w:rPr>
        <w:t>Directors and Senior Management</w:t>
      </w:r>
    </w:p>
    <w:p>
      <w:pPr>
        <w:spacing w:after="0" w:line="121" w:lineRule="exact"/>
        <w:rPr>
          <w:sz w:val="20"/>
          <w:szCs w:val="20"/>
          <w:color w:val="auto"/>
        </w:rPr>
      </w:pPr>
    </w:p>
    <w:p>
      <w:pPr>
        <w:ind w:left="4" w:right="140" w:firstLine="440"/>
        <w:spacing w:after="0" w:line="257" w:lineRule="auto"/>
        <w:rPr>
          <w:sz w:val="20"/>
          <w:szCs w:val="20"/>
          <w:color w:val="auto"/>
        </w:rPr>
      </w:pPr>
      <w:r>
        <w:rPr>
          <w:rFonts w:ascii="Arial" w:cs="Arial" w:eastAsia="Arial" w:hAnsi="Arial"/>
          <w:sz w:val="18"/>
          <w:szCs w:val="18"/>
          <w:color w:val="auto"/>
        </w:rPr>
        <w:t>The following table sets forth information regarding our executive officers and directors as of March 18, 2021. Our board of directors is elected annually on a staggered basis and each director holds office for three years or until his successor has been duly elected, except in the event of his death, resignation, removal or earlier termination of his office. Our bye-laws provide for, among other things, the election of our board of directors on a staggered basis. The business address of each of our executive officers and non-management directors is Century House, 16 Par-La-Ville Road, Hamilton HM 08, Bermuda.</w:t>
      </w:r>
    </w:p>
    <w:p>
      <w:pPr>
        <w:spacing w:after="0" w:line="188" w:lineRule="exact"/>
        <w:rPr>
          <w:sz w:val="20"/>
          <w:szCs w:val="20"/>
          <w:color w:val="auto"/>
        </w:rPr>
      </w:pPr>
    </w:p>
    <w:p>
      <w:pPr>
        <w:jc w:val="both"/>
        <w:ind w:left="4" w:right="220" w:firstLine="440"/>
        <w:spacing w:after="0" w:line="279" w:lineRule="auto"/>
        <w:rPr>
          <w:sz w:val="20"/>
          <w:szCs w:val="20"/>
          <w:color w:val="auto"/>
        </w:rPr>
      </w:pPr>
      <w:r>
        <w:rPr>
          <w:rFonts w:ascii="Arial" w:cs="Arial" w:eastAsia="Arial" w:hAnsi="Arial"/>
          <w:sz w:val="17"/>
          <w:szCs w:val="17"/>
          <w:color w:val="auto"/>
        </w:rPr>
        <w:t>David M. Nurek, Robert D. Pedersen and Grace Tang are designated Class III directors, to hold office until our 2023 annual general meeting of shareholders, Olivier Ghesquiere and Hennie Van der Merwe are designated Class II directors, to hold office until our 2021 annual general meeting of shareholders and John A. Maccarone, Dudley R. Cottingham, and Hyman Shwiel are designated Class I directors, to hold office until our 2022 annual general meeting of shareholders. Directors may be re-elected when their term of office expires.</w:t>
      </w:r>
    </w:p>
    <w:p>
      <w:pPr>
        <w:spacing w:after="0" w:line="171" w:lineRule="exact"/>
        <w:rPr>
          <w:sz w:val="20"/>
          <w:szCs w:val="20"/>
          <w:color w:val="auto"/>
        </w:rPr>
      </w:pPr>
    </w:p>
    <w:p>
      <w:pPr>
        <w:ind w:left="4" w:right="20" w:firstLine="440"/>
        <w:spacing w:after="0" w:line="254" w:lineRule="auto"/>
        <w:rPr>
          <w:sz w:val="20"/>
          <w:szCs w:val="20"/>
          <w:color w:val="auto"/>
        </w:rPr>
      </w:pPr>
      <w:r>
        <w:rPr>
          <w:rFonts w:ascii="Arial" w:cs="Arial" w:eastAsia="Arial" w:hAnsi="Arial"/>
          <w:sz w:val="18"/>
          <w:szCs w:val="18"/>
          <w:color w:val="auto"/>
        </w:rPr>
        <w:t xml:space="preserve">In December 2019, we commenced a secondary, or dual, listing of our common shares on the JSE in Johannesburg, South Africa under the symbol “TXT”. Promptly following our dual listing, Trencor distributed approximately 24.3 million of its shares in the Company to Trencor’s own shareholders and those shares are trading on the JSE. In June 2020, Trencor distributed its remaining 3.0 million shares or approximately 5.3% of our outstanding share capital to Trencor’s own shareholders and these shares are trading on the JSE. Following the June 2020 distribution of shares, Trencor no longer holds any shares in the Company. See Item 4, </w:t>
      </w:r>
      <w:r>
        <w:rPr>
          <w:rFonts w:ascii="Arial" w:cs="Arial" w:eastAsia="Arial" w:hAnsi="Arial"/>
          <w:sz w:val="18"/>
          <w:szCs w:val="18"/>
          <w:i w:val="1"/>
          <w:iCs w:val="1"/>
          <w:color w:val="auto"/>
        </w:rPr>
        <w:t>“Information on the Company — Organizational Structure”</w:t>
      </w:r>
      <w:r>
        <w:rPr>
          <w:rFonts w:ascii="Arial" w:cs="Arial" w:eastAsia="Arial" w:hAnsi="Arial"/>
          <w:sz w:val="18"/>
          <w:szCs w:val="18"/>
          <w:color w:val="auto"/>
        </w:rPr>
        <w:t xml:space="preserve"> and Item 7, </w:t>
      </w:r>
      <w:r>
        <w:rPr>
          <w:rFonts w:ascii="Arial" w:cs="Arial" w:eastAsia="Arial" w:hAnsi="Arial"/>
          <w:sz w:val="18"/>
          <w:szCs w:val="18"/>
          <w:i w:val="1"/>
          <w:iCs w:val="1"/>
          <w:color w:val="auto"/>
        </w:rPr>
        <w:t>“Major Shareholders and</w:t>
      </w:r>
      <w:r>
        <w:rPr>
          <w:rFonts w:ascii="Arial" w:cs="Arial" w:eastAsia="Arial" w:hAnsi="Arial"/>
          <w:sz w:val="18"/>
          <w:szCs w:val="18"/>
          <w:color w:val="auto"/>
        </w:rPr>
        <w:t xml:space="preserve"> </w:t>
      </w:r>
      <w:r>
        <w:rPr>
          <w:rFonts w:ascii="Arial" w:cs="Arial" w:eastAsia="Arial" w:hAnsi="Arial"/>
          <w:sz w:val="18"/>
          <w:szCs w:val="18"/>
          <w:i w:val="1"/>
          <w:iCs w:val="1"/>
          <w:color w:val="auto"/>
        </w:rPr>
        <w:t xml:space="preserve">Related Party Transactions” </w:t>
      </w:r>
      <w:r>
        <w:rPr>
          <w:rFonts w:ascii="Arial" w:cs="Arial" w:eastAsia="Arial" w:hAnsi="Arial"/>
          <w:sz w:val="18"/>
          <w:szCs w:val="18"/>
          <w:color w:val="auto"/>
        </w:rPr>
        <w:t>for an explanation of the relationship between us and Trencor. As indicated below, two of our directors are also directors of</w:t>
      </w:r>
      <w:r>
        <w:rPr>
          <w:rFonts w:ascii="Arial" w:cs="Arial" w:eastAsia="Arial" w:hAnsi="Arial"/>
          <w:sz w:val="18"/>
          <w:szCs w:val="18"/>
          <w:i w:val="1"/>
          <w:iCs w:val="1"/>
          <w:color w:val="auto"/>
        </w:rPr>
        <w:t xml:space="preserve"> </w:t>
      </w:r>
      <w:r>
        <w:rPr>
          <w:rFonts w:ascii="Arial" w:cs="Arial" w:eastAsia="Arial" w:hAnsi="Arial"/>
          <w:sz w:val="18"/>
          <w:szCs w:val="18"/>
          <w:color w:val="auto"/>
        </w:rPr>
        <w:t>Trencor.</w:t>
      </w:r>
    </w:p>
    <w:p>
      <w:pPr>
        <w:spacing w:after="0" w:line="213" w:lineRule="exact"/>
        <w:rPr>
          <w:sz w:val="20"/>
          <w:szCs w:val="20"/>
          <w:color w:val="auto"/>
        </w:rPr>
      </w:pPr>
    </w:p>
    <w:tbl>
      <w:tblPr>
        <w:tblLayout w:type="fixed"/>
        <w:tblInd w:w="4" w:type="dxa"/>
        <w:tblCellMar>
          <w:top w:w="0" w:type="dxa"/>
          <w:left w:w="0" w:type="dxa"/>
          <w:bottom w:w="0" w:type="dxa"/>
          <w:right w:w="0" w:type="dxa"/>
        </w:tblCellMar>
      </w:tblPr>
      <w:tr>
        <w:trPr>
          <w:trHeight w:val="171"/>
        </w:trPr>
        <w:tc>
          <w:tcPr>
            <w:tcW w:w="5540" w:type="dxa"/>
            <w:vAlign w:val="bottom"/>
            <w:gridSpan w:val="2"/>
          </w:tcPr>
          <w:p>
            <w:pPr>
              <w:spacing w:after="0"/>
              <w:rPr>
                <w:sz w:val="20"/>
                <w:szCs w:val="20"/>
                <w:color w:val="auto"/>
              </w:rPr>
            </w:pPr>
            <w:r>
              <w:rPr>
                <w:rFonts w:ascii="Arial" w:cs="Arial" w:eastAsia="Arial" w:hAnsi="Arial"/>
                <w:sz w:val="14"/>
                <w:szCs w:val="14"/>
                <w:b w:val="1"/>
                <w:bCs w:val="1"/>
                <w:color w:val="auto"/>
              </w:rPr>
              <w:t>Executive Officers and Directors</w:t>
            </w:r>
          </w:p>
        </w:tc>
        <w:tc>
          <w:tcPr>
            <w:tcW w:w="440" w:type="dxa"/>
            <w:vAlign w:val="bottom"/>
            <w:gridSpan w:val="2"/>
          </w:tcPr>
          <w:p>
            <w:pPr>
              <w:spacing w:after="0"/>
              <w:rPr>
                <w:sz w:val="20"/>
                <w:szCs w:val="20"/>
                <w:color w:val="auto"/>
              </w:rPr>
            </w:pPr>
            <w:r>
              <w:rPr>
                <w:rFonts w:ascii="Arial" w:cs="Arial" w:eastAsia="Arial" w:hAnsi="Arial"/>
                <w:sz w:val="14"/>
                <w:szCs w:val="14"/>
                <w:b w:val="1"/>
                <w:bCs w:val="1"/>
                <w:color w:val="auto"/>
              </w:rPr>
              <w:t>Age</w:t>
            </w:r>
          </w:p>
        </w:tc>
        <w:tc>
          <w:tcPr>
            <w:tcW w:w="5040" w:type="dxa"/>
            <w:vAlign w:val="bottom"/>
            <w:gridSpan w:val="3"/>
          </w:tcPr>
          <w:p>
            <w:pPr>
              <w:ind w:left="180"/>
              <w:spacing w:after="0"/>
              <w:rPr>
                <w:sz w:val="20"/>
                <w:szCs w:val="20"/>
                <w:color w:val="auto"/>
              </w:rPr>
            </w:pPr>
            <w:r>
              <w:rPr>
                <w:rFonts w:ascii="Arial" w:cs="Arial" w:eastAsia="Arial" w:hAnsi="Arial"/>
                <w:sz w:val="14"/>
                <w:szCs w:val="14"/>
                <w:b w:val="1"/>
                <w:bCs w:val="1"/>
                <w:color w:val="auto"/>
              </w:rPr>
              <w:t>Position</w:t>
            </w:r>
          </w:p>
        </w:tc>
      </w:tr>
      <w:tr>
        <w:trPr>
          <w:trHeight w:val="20"/>
        </w:trPr>
        <w:tc>
          <w:tcPr>
            <w:tcW w:w="2000" w:type="dxa"/>
            <w:vAlign w:val="bottom"/>
            <w:tcBorders>
              <w:bottom w:val="single" w:sz="8" w:color="CCEEFF"/>
            </w:tcBorders>
            <w:shd w:val="clear" w:color="auto" w:fill="000000"/>
          </w:tcPr>
          <w:p>
            <w:pPr>
              <w:spacing w:after="0" w:line="20" w:lineRule="exact"/>
              <w:rPr>
                <w:sz w:val="1"/>
                <w:szCs w:val="1"/>
                <w:color w:val="auto"/>
              </w:rPr>
            </w:pPr>
          </w:p>
        </w:tc>
        <w:tc>
          <w:tcPr>
            <w:tcW w:w="3540" w:type="dxa"/>
            <w:vAlign w:val="bottom"/>
            <w:tcBorders>
              <w:bottom w:val="single" w:sz="8" w:color="CCEEFF"/>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CCEEFF"/>
            </w:tcBorders>
          </w:tcPr>
          <w:p>
            <w:pPr>
              <w:spacing w:after="0" w:line="20" w:lineRule="exact"/>
              <w:rPr>
                <w:sz w:val="1"/>
                <w:szCs w:val="1"/>
                <w:color w:val="auto"/>
              </w:rPr>
            </w:pPr>
          </w:p>
        </w:tc>
        <w:tc>
          <w:tcPr>
            <w:tcW w:w="180" w:type="dxa"/>
            <w:vAlign w:val="bottom"/>
            <w:tcBorders>
              <w:bottom w:val="single" w:sz="8" w:color="CCEEFF"/>
            </w:tcBorders>
          </w:tcPr>
          <w:p>
            <w:pPr>
              <w:spacing w:after="0" w:line="20" w:lineRule="exact"/>
              <w:rPr>
                <w:sz w:val="1"/>
                <w:szCs w:val="1"/>
                <w:color w:val="auto"/>
              </w:rPr>
            </w:pPr>
          </w:p>
        </w:tc>
        <w:tc>
          <w:tcPr>
            <w:tcW w:w="500" w:type="dxa"/>
            <w:vAlign w:val="bottom"/>
            <w:tcBorders>
              <w:bottom w:val="single" w:sz="8" w:color="CCEEFF"/>
            </w:tcBorders>
            <w:shd w:val="clear" w:color="auto" w:fill="000000"/>
          </w:tcPr>
          <w:p>
            <w:pPr>
              <w:spacing w:after="0" w:line="20" w:lineRule="exact"/>
              <w:rPr>
                <w:sz w:val="1"/>
                <w:szCs w:val="1"/>
                <w:color w:val="auto"/>
              </w:rPr>
            </w:pPr>
          </w:p>
        </w:tc>
        <w:tc>
          <w:tcPr>
            <w:tcW w:w="4360" w:type="dxa"/>
            <w:vAlign w:val="bottom"/>
            <w:tcBorders>
              <w:bottom w:val="single" w:sz="8" w:color="CCEEFF"/>
            </w:tcBorders>
          </w:tcPr>
          <w:p>
            <w:pPr>
              <w:spacing w:after="0" w:line="20" w:lineRule="exact"/>
              <w:rPr>
                <w:sz w:val="1"/>
                <w:szCs w:val="1"/>
                <w:color w:val="auto"/>
              </w:rPr>
            </w:pPr>
          </w:p>
        </w:tc>
      </w:tr>
      <w:tr>
        <w:trPr>
          <w:trHeight w:val="203"/>
        </w:trPr>
        <w:tc>
          <w:tcPr>
            <w:tcW w:w="2000" w:type="dxa"/>
            <w:vAlign w:val="bottom"/>
            <w:shd w:val="clear" w:color="auto" w:fill="CCEEFF"/>
          </w:tcPr>
          <w:p>
            <w:pPr>
              <w:spacing w:after="0" w:line="203" w:lineRule="exact"/>
              <w:rPr>
                <w:sz w:val="20"/>
                <w:szCs w:val="20"/>
                <w:color w:val="auto"/>
              </w:rPr>
            </w:pPr>
            <w:r>
              <w:rPr>
                <w:rFonts w:ascii="Arial" w:cs="Arial" w:eastAsia="Arial" w:hAnsi="Arial"/>
                <w:sz w:val="18"/>
                <w:szCs w:val="18"/>
                <w:color w:val="auto"/>
              </w:rPr>
              <w:t>Hyman Shwiel (1)(2)(3)</w:t>
            </w:r>
          </w:p>
        </w:tc>
        <w:tc>
          <w:tcPr>
            <w:tcW w:w="3540" w:type="dxa"/>
            <w:vAlign w:val="bottom"/>
            <w:shd w:val="clear" w:color="auto" w:fill="CCEEFF"/>
          </w:tcPr>
          <w:p>
            <w:pPr>
              <w:spacing w:after="0"/>
              <w:rPr>
                <w:sz w:val="17"/>
                <w:szCs w:val="17"/>
                <w:color w:val="auto"/>
              </w:rPr>
            </w:pPr>
          </w:p>
        </w:tc>
        <w:tc>
          <w:tcPr>
            <w:tcW w:w="240" w:type="dxa"/>
            <w:vAlign w:val="bottom"/>
            <w:shd w:val="clear" w:color="auto" w:fill="CCEEFF"/>
          </w:tcPr>
          <w:p>
            <w:pPr>
              <w:ind w:left="60"/>
              <w:spacing w:after="0" w:line="203" w:lineRule="exact"/>
              <w:rPr>
                <w:sz w:val="20"/>
                <w:szCs w:val="20"/>
                <w:color w:val="auto"/>
              </w:rPr>
            </w:pPr>
            <w:r>
              <w:rPr>
                <w:rFonts w:ascii="Arial" w:cs="Arial" w:eastAsia="Arial" w:hAnsi="Arial"/>
                <w:sz w:val="18"/>
                <w:szCs w:val="18"/>
                <w:color w:val="auto"/>
                <w:w w:val="79"/>
              </w:rPr>
              <w:t>76</w:t>
            </w:r>
          </w:p>
        </w:tc>
        <w:tc>
          <w:tcPr>
            <w:tcW w:w="20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4860" w:type="dxa"/>
            <w:vAlign w:val="bottom"/>
            <w:gridSpan w:val="2"/>
            <w:shd w:val="clear" w:color="auto" w:fill="CCEEFF"/>
          </w:tcPr>
          <w:p>
            <w:pPr>
              <w:spacing w:after="0" w:line="203" w:lineRule="exact"/>
              <w:rPr>
                <w:sz w:val="20"/>
                <w:szCs w:val="20"/>
                <w:color w:val="auto"/>
              </w:rPr>
            </w:pPr>
            <w:r>
              <w:rPr>
                <w:rFonts w:ascii="Arial" w:cs="Arial" w:eastAsia="Arial" w:hAnsi="Arial"/>
                <w:sz w:val="18"/>
                <w:szCs w:val="18"/>
                <w:color w:val="auto"/>
              </w:rPr>
              <w:t>Chairman</w:t>
            </w:r>
          </w:p>
        </w:tc>
      </w:tr>
      <w:tr>
        <w:trPr>
          <w:trHeight w:val="216"/>
        </w:trPr>
        <w:tc>
          <w:tcPr>
            <w:tcW w:w="5540" w:type="dxa"/>
            <w:vAlign w:val="bottom"/>
            <w:gridSpan w:val="2"/>
          </w:tcPr>
          <w:p>
            <w:pPr>
              <w:spacing w:after="0"/>
              <w:rPr>
                <w:sz w:val="20"/>
                <w:szCs w:val="20"/>
                <w:color w:val="auto"/>
              </w:rPr>
            </w:pPr>
            <w:r>
              <w:rPr>
                <w:rFonts w:ascii="Arial" w:cs="Arial" w:eastAsia="Arial" w:hAnsi="Arial"/>
                <w:sz w:val="18"/>
                <w:szCs w:val="18"/>
                <w:color w:val="auto"/>
              </w:rPr>
              <w:t>Olivier Ghesquiere</w:t>
            </w:r>
          </w:p>
        </w:tc>
        <w:tc>
          <w:tcPr>
            <w:tcW w:w="440" w:type="dxa"/>
            <w:vAlign w:val="bottom"/>
            <w:gridSpan w:val="2"/>
          </w:tcPr>
          <w:p>
            <w:pPr>
              <w:ind w:left="60"/>
              <w:spacing w:after="0"/>
              <w:rPr>
                <w:sz w:val="20"/>
                <w:szCs w:val="20"/>
                <w:color w:val="auto"/>
              </w:rPr>
            </w:pPr>
            <w:r>
              <w:rPr>
                <w:rFonts w:ascii="Arial" w:cs="Arial" w:eastAsia="Arial" w:hAnsi="Arial"/>
                <w:sz w:val="18"/>
                <w:szCs w:val="18"/>
                <w:color w:val="auto"/>
              </w:rPr>
              <w:t>54</w:t>
            </w:r>
          </w:p>
        </w:tc>
        <w:tc>
          <w:tcPr>
            <w:tcW w:w="5040" w:type="dxa"/>
            <w:vAlign w:val="bottom"/>
            <w:gridSpan w:val="3"/>
          </w:tcPr>
          <w:p>
            <w:pPr>
              <w:ind w:left="180"/>
              <w:spacing w:after="0"/>
              <w:rPr>
                <w:sz w:val="20"/>
                <w:szCs w:val="20"/>
                <w:color w:val="auto"/>
              </w:rPr>
            </w:pPr>
            <w:r>
              <w:rPr>
                <w:rFonts w:ascii="Arial" w:cs="Arial" w:eastAsia="Arial" w:hAnsi="Arial"/>
                <w:sz w:val="18"/>
                <w:szCs w:val="18"/>
                <w:color w:val="auto"/>
              </w:rPr>
              <w:t>Director, President and Chief Executive Officer</w:t>
            </w:r>
          </w:p>
        </w:tc>
      </w:tr>
      <w:tr>
        <w:trPr>
          <w:trHeight w:val="216"/>
        </w:trPr>
        <w:tc>
          <w:tcPr>
            <w:tcW w:w="55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Dudley R. Cottingham (1)(2)(3)</w:t>
            </w:r>
          </w:p>
        </w:tc>
        <w:tc>
          <w:tcPr>
            <w:tcW w:w="440" w:type="dxa"/>
            <w:vAlign w:val="bottom"/>
            <w:gridSpan w:val="2"/>
            <w:shd w:val="clear" w:color="auto" w:fill="CCEEFF"/>
          </w:tcPr>
          <w:p>
            <w:pPr>
              <w:ind w:left="60"/>
              <w:spacing w:after="0"/>
              <w:rPr>
                <w:sz w:val="20"/>
                <w:szCs w:val="20"/>
                <w:color w:val="auto"/>
              </w:rPr>
            </w:pPr>
            <w:r>
              <w:rPr>
                <w:rFonts w:ascii="Arial" w:cs="Arial" w:eastAsia="Arial" w:hAnsi="Arial"/>
                <w:sz w:val="18"/>
                <w:szCs w:val="18"/>
                <w:color w:val="auto"/>
              </w:rPr>
              <w:t>69</w:t>
            </w:r>
          </w:p>
        </w:tc>
        <w:tc>
          <w:tcPr>
            <w:tcW w:w="5040" w:type="dxa"/>
            <w:vAlign w:val="bottom"/>
            <w:gridSpan w:val="3"/>
            <w:shd w:val="clear" w:color="auto" w:fill="CCEEFF"/>
          </w:tcPr>
          <w:p>
            <w:pPr>
              <w:ind w:left="180"/>
              <w:spacing w:after="0"/>
              <w:rPr>
                <w:sz w:val="20"/>
                <w:szCs w:val="20"/>
                <w:color w:val="auto"/>
              </w:rPr>
            </w:pPr>
            <w:r>
              <w:rPr>
                <w:rFonts w:ascii="Arial" w:cs="Arial" w:eastAsia="Arial" w:hAnsi="Arial"/>
                <w:sz w:val="18"/>
                <w:szCs w:val="18"/>
                <w:color w:val="auto"/>
              </w:rPr>
              <w:t>Director</w:t>
            </w:r>
          </w:p>
        </w:tc>
      </w:tr>
      <w:tr>
        <w:trPr>
          <w:trHeight w:val="216"/>
        </w:trPr>
        <w:tc>
          <w:tcPr>
            <w:tcW w:w="5540" w:type="dxa"/>
            <w:vAlign w:val="bottom"/>
            <w:gridSpan w:val="2"/>
          </w:tcPr>
          <w:p>
            <w:pPr>
              <w:spacing w:after="0"/>
              <w:rPr>
                <w:sz w:val="20"/>
                <w:szCs w:val="20"/>
                <w:color w:val="auto"/>
              </w:rPr>
            </w:pPr>
            <w:r>
              <w:rPr>
                <w:rFonts w:ascii="Arial" w:cs="Arial" w:eastAsia="Arial" w:hAnsi="Arial"/>
                <w:sz w:val="18"/>
                <w:szCs w:val="18"/>
                <w:color w:val="auto"/>
              </w:rPr>
              <w:t>John A. Maccarone (2)(3)</w:t>
            </w:r>
          </w:p>
        </w:tc>
        <w:tc>
          <w:tcPr>
            <w:tcW w:w="440" w:type="dxa"/>
            <w:vAlign w:val="bottom"/>
            <w:gridSpan w:val="2"/>
          </w:tcPr>
          <w:p>
            <w:pPr>
              <w:ind w:left="60"/>
              <w:spacing w:after="0"/>
              <w:rPr>
                <w:sz w:val="20"/>
                <w:szCs w:val="20"/>
                <w:color w:val="auto"/>
              </w:rPr>
            </w:pPr>
            <w:r>
              <w:rPr>
                <w:rFonts w:ascii="Arial" w:cs="Arial" w:eastAsia="Arial" w:hAnsi="Arial"/>
                <w:sz w:val="18"/>
                <w:szCs w:val="18"/>
                <w:color w:val="auto"/>
              </w:rPr>
              <w:t>76</w:t>
            </w:r>
          </w:p>
        </w:tc>
        <w:tc>
          <w:tcPr>
            <w:tcW w:w="5040" w:type="dxa"/>
            <w:vAlign w:val="bottom"/>
            <w:gridSpan w:val="3"/>
          </w:tcPr>
          <w:p>
            <w:pPr>
              <w:ind w:left="180"/>
              <w:spacing w:after="0"/>
              <w:rPr>
                <w:sz w:val="20"/>
                <w:szCs w:val="20"/>
                <w:color w:val="auto"/>
              </w:rPr>
            </w:pPr>
            <w:r>
              <w:rPr>
                <w:rFonts w:ascii="Arial" w:cs="Arial" w:eastAsia="Arial" w:hAnsi="Arial"/>
                <w:sz w:val="18"/>
                <w:szCs w:val="18"/>
                <w:color w:val="auto"/>
              </w:rPr>
              <w:t>Director</w:t>
            </w:r>
          </w:p>
        </w:tc>
      </w:tr>
      <w:tr>
        <w:trPr>
          <w:trHeight w:val="216"/>
        </w:trPr>
        <w:tc>
          <w:tcPr>
            <w:tcW w:w="55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David M. Nurek (1)(2)(3)(4)</w:t>
            </w:r>
          </w:p>
        </w:tc>
        <w:tc>
          <w:tcPr>
            <w:tcW w:w="440" w:type="dxa"/>
            <w:vAlign w:val="bottom"/>
            <w:gridSpan w:val="2"/>
            <w:shd w:val="clear" w:color="auto" w:fill="CCEEFF"/>
          </w:tcPr>
          <w:p>
            <w:pPr>
              <w:ind w:left="60"/>
              <w:spacing w:after="0"/>
              <w:rPr>
                <w:sz w:val="20"/>
                <w:szCs w:val="20"/>
                <w:color w:val="auto"/>
              </w:rPr>
            </w:pPr>
            <w:r>
              <w:rPr>
                <w:rFonts w:ascii="Arial" w:cs="Arial" w:eastAsia="Arial" w:hAnsi="Arial"/>
                <w:sz w:val="18"/>
                <w:szCs w:val="18"/>
                <w:color w:val="auto"/>
              </w:rPr>
              <w:t>71</w:t>
            </w:r>
          </w:p>
        </w:tc>
        <w:tc>
          <w:tcPr>
            <w:tcW w:w="5040" w:type="dxa"/>
            <w:vAlign w:val="bottom"/>
            <w:gridSpan w:val="3"/>
            <w:shd w:val="clear" w:color="auto" w:fill="CCEEFF"/>
          </w:tcPr>
          <w:p>
            <w:pPr>
              <w:ind w:left="180"/>
              <w:spacing w:after="0"/>
              <w:rPr>
                <w:sz w:val="20"/>
                <w:szCs w:val="20"/>
                <w:color w:val="auto"/>
              </w:rPr>
            </w:pPr>
            <w:r>
              <w:rPr>
                <w:rFonts w:ascii="Arial" w:cs="Arial" w:eastAsia="Arial" w:hAnsi="Arial"/>
                <w:sz w:val="18"/>
                <w:szCs w:val="18"/>
                <w:color w:val="auto"/>
              </w:rPr>
              <w:t>Director</w:t>
            </w:r>
          </w:p>
        </w:tc>
      </w:tr>
      <w:tr>
        <w:trPr>
          <w:trHeight w:val="216"/>
        </w:trPr>
        <w:tc>
          <w:tcPr>
            <w:tcW w:w="5540" w:type="dxa"/>
            <w:vAlign w:val="bottom"/>
            <w:gridSpan w:val="2"/>
          </w:tcPr>
          <w:p>
            <w:pPr>
              <w:spacing w:after="0"/>
              <w:rPr>
                <w:sz w:val="20"/>
                <w:szCs w:val="20"/>
                <w:color w:val="auto"/>
              </w:rPr>
            </w:pPr>
            <w:r>
              <w:rPr>
                <w:rFonts w:ascii="Arial" w:cs="Arial" w:eastAsia="Arial" w:hAnsi="Arial"/>
                <w:sz w:val="18"/>
                <w:szCs w:val="18"/>
                <w:color w:val="auto"/>
              </w:rPr>
              <w:t>Hennie Van der Merwe (5)</w:t>
            </w:r>
          </w:p>
        </w:tc>
        <w:tc>
          <w:tcPr>
            <w:tcW w:w="440" w:type="dxa"/>
            <w:vAlign w:val="bottom"/>
            <w:gridSpan w:val="2"/>
          </w:tcPr>
          <w:p>
            <w:pPr>
              <w:ind w:left="60"/>
              <w:spacing w:after="0"/>
              <w:rPr>
                <w:sz w:val="20"/>
                <w:szCs w:val="20"/>
                <w:color w:val="auto"/>
              </w:rPr>
            </w:pPr>
            <w:r>
              <w:rPr>
                <w:rFonts w:ascii="Arial" w:cs="Arial" w:eastAsia="Arial" w:hAnsi="Arial"/>
                <w:sz w:val="18"/>
                <w:szCs w:val="18"/>
                <w:color w:val="auto"/>
              </w:rPr>
              <w:t>73</w:t>
            </w:r>
          </w:p>
        </w:tc>
        <w:tc>
          <w:tcPr>
            <w:tcW w:w="5040" w:type="dxa"/>
            <w:vAlign w:val="bottom"/>
            <w:gridSpan w:val="3"/>
          </w:tcPr>
          <w:p>
            <w:pPr>
              <w:ind w:left="180"/>
              <w:spacing w:after="0"/>
              <w:rPr>
                <w:sz w:val="20"/>
                <w:szCs w:val="20"/>
                <w:color w:val="auto"/>
              </w:rPr>
            </w:pPr>
            <w:r>
              <w:rPr>
                <w:rFonts w:ascii="Arial" w:cs="Arial" w:eastAsia="Arial" w:hAnsi="Arial"/>
                <w:sz w:val="18"/>
                <w:szCs w:val="18"/>
                <w:color w:val="auto"/>
              </w:rPr>
              <w:t>Director</w:t>
            </w:r>
          </w:p>
        </w:tc>
      </w:tr>
      <w:tr>
        <w:trPr>
          <w:trHeight w:val="216"/>
        </w:trPr>
        <w:tc>
          <w:tcPr>
            <w:tcW w:w="55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Robert D. Pedersen</w:t>
            </w:r>
          </w:p>
        </w:tc>
        <w:tc>
          <w:tcPr>
            <w:tcW w:w="440" w:type="dxa"/>
            <w:vAlign w:val="bottom"/>
            <w:gridSpan w:val="2"/>
            <w:shd w:val="clear" w:color="auto" w:fill="CCEEFF"/>
          </w:tcPr>
          <w:p>
            <w:pPr>
              <w:ind w:left="60"/>
              <w:spacing w:after="0"/>
              <w:rPr>
                <w:sz w:val="20"/>
                <w:szCs w:val="20"/>
                <w:color w:val="auto"/>
              </w:rPr>
            </w:pPr>
            <w:r>
              <w:rPr>
                <w:rFonts w:ascii="Arial" w:cs="Arial" w:eastAsia="Arial" w:hAnsi="Arial"/>
                <w:sz w:val="18"/>
                <w:szCs w:val="18"/>
                <w:color w:val="auto"/>
              </w:rPr>
              <w:t>61</w:t>
            </w:r>
          </w:p>
        </w:tc>
        <w:tc>
          <w:tcPr>
            <w:tcW w:w="5040" w:type="dxa"/>
            <w:vAlign w:val="bottom"/>
            <w:gridSpan w:val="3"/>
            <w:shd w:val="clear" w:color="auto" w:fill="CCEEFF"/>
          </w:tcPr>
          <w:p>
            <w:pPr>
              <w:ind w:left="180"/>
              <w:spacing w:after="0"/>
              <w:rPr>
                <w:sz w:val="20"/>
                <w:szCs w:val="20"/>
                <w:color w:val="auto"/>
              </w:rPr>
            </w:pPr>
            <w:r>
              <w:rPr>
                <w:rFonts w:ascii="Arial" w:cs="Arial" w:eastAsia="Arial" w:hAnsi="Arial"/>
                <w:sz w:val="18"/>
                <w:szCs w:val="18"/>
                <w:color w:val="auto"/>
              </w:rPr>
              <w:t>Director</w:t>
            </w:r>
          </w:p>
        </w:tc>
      </w:tr>
      <w:tr>
        <w:trPr>
          <w:trHeight w:val="216"/>
        </w:trPr>
        <w:tc>
          <w:tcPr>
            <w:tcW w:w="5540" w:type="dxa"/>
            <w:vAlign w:val="bottom"/>
            <w:gridSpan w:val="2"/>
          </w:tcPr>
          <w:p>
            <w:pPr>
              <w:spacing w:after="0"/>
              <w:rPr>
                <w:sz w:val="20"/>
                <w:szCs w:val="20"/>
                <w:color w:val="auto"/>
              </w:rPr>
            </w:pPr>
            <w:r>
              <w:rPr>
                <w:rFonts w:ascii="Arial" w:cs="Arial" w:eastAsia="Arial" w:hAnsi="Arial"/>
                <w:sz w:val="18"/>
                <w:szCs w:val="18"/>
                <w:color w:val="auto"/>
              </w:rPr>
              <w:t>Grace Tang (1)</w:t>
            </w:r>
          </w:p>
        </w:tc>
        <w:tc>
          <w:tcPr>
            <w:tcW w:w="440" w:type="dxa"/>
            <w:vAlign w:val="bottom"/>
            <w:gridSpan w:val="2"/>
          </w:tcPr>
          <w:p>
            <w:pPr>
              <w:ind w:left="60"/>
              <w:spacing w:after="0"/>
              <w:rPr>
                <w:sz w:val="20"/>
                <w:szCs w:val="20"/>
                <w:color w:val="auto"/>
              </w:rPr>
            </w:pPr>
            <w:r>
              <w:rPr>
                <w:rFonts w:ascii="Arial" w:cs="Arial" w:eastAsia="Arial" w:hAnsi="Arial"/>
                <w:sz w:val="18"/>
                <w:szCs w:val="18"/>
                <w:color w:val="auto"/>
              </w:rPr>
              <w:t>61</w:t>
            </w:r>
          </w:p>
        </w:tc>
        <w:tc>
          <w:tcPr>
            <w:tcW w:w="5040" w:type="dxa"/>
            <w:vAlign w:val="bottom"/>
            <w:gridSpan w:val="3"/>
          </w:tcPr>
          <w:p>
            <w:pPr>
              <w:ind w:left="180"/>
              <w:spacing w:after="0"/>
              <w:rPr>
                <w:sz w:val="20"/>
                <w:szCs w:val="20"/>
                <w:color w:val="auto"/>
              </w:rPr>
            </w:pPr>
            <w:r>
              <w:rPr>
                <w:rFonts w:ascii="Arial" w:cs="Arial" w:eastAsia="Arial" w:hAnsi="Arial"/>
                <w:sz w:val="18"/>
                <w:szCs w:val="18"/>
                <w:color w:val="auto"/>
              </w:rPr>
              <w:t>Director</w:t>
            </w:r>
          </w:p>
        </w:tc>
      </w:tr>
      <w:tr>
        <w:trPr>
          <w:trHeight w:val="216"/>
        </w:trPr>
        <w:tc>
          <w:tcPr>
            <w:tcW w:w="55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Michael K. Chan</w:t>
            </w:r>
          </w:p>
        </w:tc>
        <w:tc>
          <w:tcPr>
            <w:tcW w:w="440" w:type="dxa"/>
            <w:vAlign w:val="bottom"/>
            <w:gridSpan w:val="2"/>
            <w:shd w:val="clear" w:color="auto" w:fill="CCEEFF"/>
          </w:tcPr>
          <w:p>
            <w:pPr>
              <w:ind w:left="60"/>
              <w:spacing w:after="0"/>
              <w:rPr>
                <w:sz w:val="20"/>
                <w:szCs w:val="20"/>
                <w:color w:val="auto"/>
              </w:rPr>
            </w:pPr>
            <w:r>
              <w:rPr>
                <w:rFonts w:ascii="Arial" w:cs="Arial" w:eastAsia="Arial" w:hAnsi="Arial"/>
                <w:sz w:val="18"/>
                <w:szCs w:val="18"/>
                <w:color w:val="auto"/>
              </w:rPr>
              <w:t>58</w:t>
            </w:r>
          </w:p>
        </w:tc>
        <w:tc>
          <w:tcPr>
            <w:tcW w:w="5040" w:type="dxa"/>
            <w:vAlign w:val="bottom"/>
            <w:gridSpan w:val="3"/>
            <w:shd w:val="clear" w:color="auto" w:fill="CCEEFF"/>
          </w:tcPr>
          <w:p>
            <w:pPr>
              <w:ind w:left="180"/>
              <w:spacing w:after="0"/>
              <w:rPr>
                <w:sz w:val="20"/>
                <w:szCs w:val="20"/>
                <w:color w:val="auto"/>
              </w:rPr>
            </w:pPr>
            <w:r>
              <w:rPr>
                <w:rFonts w:ascii="Arial" w:cs="Arial" w:eastAsia="Arial" w:hAnsi="Arial"/>
                <w:sz w:val="18"/>
                <w:szCs w:val="18"/>
                <w:color w:val="auto"/>
              </w:rPr>
              <w:t>Executive Vice President and Chief Financial Officer</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85725</wp:posOffset>
            </wp:positionV>
            <wp:extent cx="771525" cy="825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771525" cy="8255"/>
                    </a:xfrm>
                    <a:prstGeom prst="rect">
                      <a:avLst/>
                    </a:prstGeom>
                    <a:noFill/>
                  </pic:spPr>
                </pic:pic>
              </a:graphicData>
            </a:graphic>
          </wp:anchor>
        </w:drawing>
      </w:r>
    </w:p>
    <w:p>
      <w:pPr>
        <w:spacing w:after="0" w:line="155" w:lineRule="exact"/>
        <w:rPr>
          <w:sz w:val="20"/>
          <w:szCs w:val="20"/>
          <w:color w:val="auto"/>
        </w:rPr>
      </w:pPr>
    </w:p>
    <w:p>
      <w:pPr>
        <w:ind w:left="424" w:hanging="424"/>
        <w:spacing w:after="0"/>
        <w:tabs>
          <w:tab w:leader="none" w:pos="424" w:val="left"/>
        </w:tabs>
        <w:numPr>
          <w:ilvl w:val="0"/>
          <w:numId w:val="55"/>
        </w:numPr>
        <w:rPr>
          <w:rFonts w:ascii="Arial" w:cs="Arial" w:eastAsia="Arial" w:hAnsi="Arial"/>
          <w:sz w:val="18"/>
          <w:szCs w:val="18"/>
          <w:color w:val="auto"/>
        </w:rPr>
      </w:pPr>
      <w:r>
        <w:rPr>
          <w:rFonts w:ascii="Arial" w:cs="Arial" w:eastAsia="Arial" w:hAnsi="Arial"/>
          <w:sz w:val="18"/>
          <w:szCs w:val="18"/>
          <w:color w:val="auto"/>
        </w:rPr>
        <w:t>Member of the audit committee.</w:t>
      </w:r>
    </w:p>
    <w:p>
      <w:pPr>
        <w:spacing w:after="0" w:line="23" w:lineRule="exact"/>
        <w:rPr>
          <w:rFonts w:ascii="Arial" w:cs="Arial" w:eastAsia="Arial" w:hAnsi="Arial"/>
          <w:sz w:val="18"/>
          <w:szCs w:val="18"/>
          <w:color w:val="auto"/>
        </w:rPr>
      </w:pPr>
    </w:p>
    <w:p>
      <w:pPr>
        <w:ind w:left="424" w:hanging="424"/>
        <w:spacing w:after="0"/>
        <w:tabs>
          <w:tab w:leader="none" w:pos="424" w:val="left"/>
        </w:tabs>
        <w:numPr>
          <w:ilvl w:val="0"/>
          <w:numId w:val="55"/>
        </w:numPr>
        <w:rPr>
          <w:rFonts w:ascii="Arial" w:cs="Arial" w:eastAsia="Arial" w:hAnsi="Arial"/>
          <w:sz w:val="18"/>
          <w:szCs w:val="18"/>
          <w:color w:val="auto"/>
        </w:rPr>
      </w:pPr>
      <w:r>
        <w:rPr>
          <w:rFonts w:ascii="Arial" w:cs="Arial" w:eastAsia="Arial" w:hAnsi="Arial"/>
          <w:sz w:val="18"/>
          <w:szCs w:val="18"/>
          <w:color w:val="auto"/>
        </w:rPr>
        <w:t>Member of the compensation committee.</w:t>
      </w:r>
    </w:p>
    <w:p>
      <w:pPr>
        <w:spacing w:after="0" w:line="9" w:lineRule="exact"/>
        <w:rPr>
          <w:rFonts w:ascii="Arial" w:cs="Arial" w:eastAsia="Arial" w:hAnsi="Arial"/>
          <w:sz w:val="18"/>
          <w:szCs w:val="18"/>
          <w:color w:val="auto"/>
        </w:rPr>
      </w:pPr>
    </w:p>
    <w:p>
      <w:pPr>
        <w:ind w:left="424" w:hanging="424"/>
        <w:spacing w:after="0"/>
        <w:tabs>
          <w:tab w:leader="none" w:pos="424" w:val="left"/>
        </w:tabs>
        <w:numPr>
          <w:ilvl w:val="0"/>
          <w:numId w:val="55"/>
        </w:numPr>
        <w:rPr>
          <w:rFonts w:ascii="Arial" w:cs="Arial" w:eastAsia="Arial" w:hAnsi="Arial"/>
          <w:sz w:val="18"/>
          <w:szCs w:val="18"/>
          <w:color w:val="auto"/>
        </w:rPr>
      </w:pPr>
      <w:r>
        <w:rPr>
          <w:rFonts w:ascii="Arial" w:cs="Arial" w:eastAsia="Arial" w:hAnsi="Arial"/>
          <w:sz w:val="18"/>
          <w:szCs w:val="18"/>
          <w:color w:val="auto"/>
        </w:rPr>
        <w:t>Member of the corporate governance and nominating committee.</w:t>
      </w:r>
    </w:p>
    <w:p>
      <w:pPr>
        <w:spacing w:after="0" w:line="9" w:lineRule="exact"/>
        <w:rPr>
          <w:rFonts w:ascii="Arial" w:cs="Arial" w:eastAsia="Arial" w:hAnsi="Arial"/>
          <w:sz w:val="18"/>
          <w:szCs w:val="18"/>
          <w:color w:val="auto"/>
        </w:rPr>
      </w:pPr>
    </w:p>
    <w:p>
      <w:pPr>
        <w:ind w:left="424" w:hanging="424"/>
        <w:spacing w:after="0"/>
        <w:tabs>
          <w:tab w:leader="none" w:pos="424" w:val="left"/>
        </w:tabs>
        <w:numPr>
          <w:ilvl w:val="0"/>
          <w:numId w:val="55"/>
        </w:numPr>
        <w:rPr>
          <w:rFonts w:ascii="Arial" w:cs="Arial" w:eastAsia="Arial" w:hAnsi="Arial"/>
          <w:sz w:val="16"/>
          <w:szCs w:val="16"/>
          <w:color w:val="auto"/>
        </w:rPr>
      </w:pPr>
      <w:r>
        <w:rPr>
          <w:rFonts w:ascii="Arial" w:cs="Arial" w:eastAsia="Arial" w:hAnsi="Arial"/>
          <w:sz w:val="16"/>
          <w:szCs w:val="16"/>
          <w:color w:val="auto"/>
        </w:rPr>
        <w:t>Chairman of Trencor. Following the June 2020 unbundling of the remaining shares, Trencor no longer hold any share interest in the Company.</w:t>
      </w:r>
    </w:p>
    <w:p>
      <w:pPr>
        <w:spacing w:after="0" w:line="32" w:lineRule="exact"/>
        <w:rPr>
          <w:rFonts w:ascii="Arial" w:cs="Arial" w:eastAsia="Arial" w:hAnsi="Arial"/>
          <w:sz w:val="16"/>
          <w:szCs w:val="16"/>
          <w:color w:val="auto"/>
        </w:rPr>
      </w:pPr>
    </w:p>
    <w:p>
      <w:pPr>
        <w:ind w:left="424" w:right="180" w:hanging="424"/>
        <w:spacing w:after="0" w:line="260" w:lineRule="auto"/>
        <w:tabs>
          <w:tab w:leader="none" w:pos="424" w:val="left"/>
        </w:tabs>
        <w:numPr>
          <w:ilvl w:val="0"/>
          <w:numId w:val="55"/>
        </w:numPr>
        <w:rPr>
          <w:rFonts w:ascii="Arial" w:cs="Arial" w:eastAsia="Arial" w:hAnsi="Arial"/>
          <w:sz w:val="18"/>
          <w:szCs w:val="18"/>
          <w:color w:val="auto"/>
        </w:rPr>
      </w:pPr>
      <w:r>
        <w:rPr>
          <w:rFonts w:ascii="Arial" w:cs="Arial" w:eastAsia="Arial" w:hAnsi="Arial"/>
          <w:sz w:val="18"/>
          <w:szCs w:val="18"/>
          <w:color w:val="auto"/>
        </w:rPr>
        <w:t>Chief Executive Officer and Director of Trencor. Following the June 2020 unbundling of the remaining shares, Trencor no longer hold any share interest in the Company.</w:t>
      </w:r>
    </w:p>
    <w:p>
      <w:pPr>
        <w:spacing w:after="0" w:line="185" w:lineRule="exact"/>
        <w:rPr>
          <w:rFonts w:ascii="Arial" w:cs="Arial" w:eastAsia="Arial" w:hAnsi="Arial"/>
          <w:sz w:val="18"/>
          <w:szCs w:val="18"/>
          <w:color w:val="auto"/>
        </w:rPr>
      </w:pPr>
    </w:p>
    <w:p>
      <w:pPr>
        <w:ind w:left="444"/>
        <w:spacing w:after="0"/>
        <w:rPr>
          <w:rFonts w:ascii="Arial" w:cs="Arial" w:eastAsia="Arial" w:hAnsi="Arial"/>
          <w:sz w:val="18"/>
          <w:szCs w:val="18"/>
          <w:color w:val="auto"/>
        </w:rPr>
      </w:pPr>
      <w:r>
        <w:rPr>
          <w:rFonts w:ascii="Arial" w:cs="Arial" w:eastAsia="Arial" w:hAnsi="Arial"/>
          <w:sz w:val="18"/>
          <w:szCs w:val="18"/>
          <w:color w:val="auto"/>
        </w:rPr>
        <w:t>Certain biographical information about each of these individuals is set forth below.</w:t>
      </w:r>
    </w:p>
    <w:p>
      <w:pPr>
        <w:spacing w:after="0" w:line="333" w:lineRule="exact"/>
        <w:rPr>
          <w:sz w:val="20"/>
          <w:szCs w:val="20"/>
          <w:color w:val="auto"/>
        </w:rPr>
      </w:pPr>
    </w:p>
    <w:p>
      <w:pPr>
        <w:ind w:left="4"/>
        <w:spacing w:after="0"/>
        <w:rPr>
          <w:sz w:val="20"/>
          <w:szCs w:val="20"/>
          <w:color w:val="auto"/>
        </w:rPr>
      </w:pPr>
      <w:r>
        <w:rPr>
          <w:rFonts w:ascii="Arial" w:cs="Arial" w:eastAsia="Arial" w:hAnsi="Arial"/>
          <w:sz w:val="18"/>
          <w:szCs w:val="18"/>
          <w:i w:val="1"/>
          <w:iCs w:val="1"/>
          <w:color w:val="auto"/>
        </w:rPr>
        <w:t>Directors</w:t>
      </w:r>
    </w:p>
    <w:p>
      <w:pPr>
        <w:spacing w:after="0" w:line="117" w:lineRule="exact"/>
        <w:rPr>
          <w:sz w:val="20"/>
          <w:szCs w:val="20"/>
          <w:color w:val="auto"/>
        </w:rPr>
      </w:pPr>
    </w:p>
    <w:p>
      <w:pPr>
        <w:ind w:left="4" w:right="80" w:firstLine="440"/>
        <w:spacing w:after="0" w:line="259" w:lineRule="auto"/>
        <w:rPr>
          <w:sz w:val="20"/>
          <w:szCs w:val="20"/>
          <w:color w:val="auto"/>
        </w:rPr>
      </w:pPr>
      <w:r>
        <w:rPr>
          <w:rFonts w:ascii="Arial" w:cs="Arial" w:eastAsia="Arial" w:hAnsi="Arial"/>
          <w:sz w:val="18"/>
          <w:szCs w:val="18"/>
          <w:b w:val="1"/>
          <w:bCs w:val="1"/>
          <w:i w:val="1"/>
          <w:iCs w:val="1"/>
          <w:color w:val="auto"/>
        </w:rPr>
        <w:t xml:space="preserve">Hyman Shwiel </w:t>
      </w:r>
      <w:r>
        <w:rPr>
          <w:rFonts w:ascii="Arial" w:cs="Arial" w:eastAsia="Arial" w:hAnsi="Arial"/>
          <w:sz w:val="18"/>
          <w:szCs w:val="18"/>
          <w:color w:val="auto"/>
        </w:rPr>
        <w:t>has been a member of our board of directors since September 2007. Mr. Shwiel was a partner with Ernst &amp; Young LLP for 25</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years. He served during that period in various roles, including Area Managing Partner and as National Director of Enterprise and Professional Risk. Upon his retirement in 2005, he became a consultant to Ernst &amp; Young until 2007. Mr. Shwiel holds a C.T.A. and a M.B.A. from the University of Cape Town and is a Chartered Accountant (South Africa) and a CPA.</w:t>
      </w:r>
    </w:p>
    <w:p>
      <w:pPr>
        <w:spacing w:after="0" w:line="119"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69</w:t>
      </w:r>
    </w:p>
    <w:p>
      <w:pPr>
        <w:sectPr>
          <w:pgSz w:w="11900" w:h="16838" w:orient="portrait"/>
          <w:cols w:equalWidth="0" w:num="1">
            <w:col w:w="11024"/>
          </w:cols>
          <w:pgMar w:left="436" w:top="270" w:right="439" w:bottom="1440" w:gutter="0" w:footer="0" w:header="0"/>
        </w:sectPr>
      </w:pPr>
    </w:p>
    <w:bookmarkStart w:id="83" w:name="page84"/>
    <w:bookmarkEnd w:id="83"/>
    <w:p>
      <w:pPr>
        <w:ind w:right="100" w:firstLine="440"/>
        <w:spacing w:after="0" w:line="290" w:lineRule="auto"/>
        <w:rPr>
          <w:sz w:val="20"/>
          <w:szCs w:val="20"/>
          <w:color w:val="auto"/>
        </w:rPr>
      </w:pPr>
      <w:r>
        <w:rPr>
          <w:rFonts w:ascii="Arial" w:cs="Arial" w:eastAsia="Arial" w:hAnsi="Arial"/>
          <w:sz w:val="16"/>
          <w:szCs w:val="16"/>
          <w:b w:val="1"/>
          <w:bCs w:val="1"/>
          <w:i w:val="1"/>
          <w:i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Olivier Ghesquiere </w:t>
      </w:r>
      <w:r>
        <w:rPr>
          <w:rFonts w:ascii="Arial" w:cs="Arial" w:eastAsia="Arial" w:hAnsi="Arial"/>
          <w:sz w:val="16"/>
          <w:szCs w:val="16"/>
          <w:color w:val="auto"/>
        </w:rPr>
        <w:t>was appointed President and Chief Executive Officer and to our board of directors in August 2018. Mr. Ghesquiere served as</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our Executive Vice President – Leasing from January 2017 to August 2018, responsible for worldwide sales and marketing related activities and operations. Mr. Ghesquiere served as our Senior Vice President – Marketing and Sales since December 2015. Mr. Ghesquiere worked at Groupe Ermewa S.A. as Chief Operating Officer and then Chief Executive Officer from January 2009 through February 2015 where he was responsible for growing the railcar and locomotive fleet to become the second largest in Europe. During that time Mr. Ghesquiere was also chairman of Eurotainer SA for which he was the Managing Director from April 2004 through December 2008 where he developed their tank container business focusing on higher value segments of the market. Mr. Ghesquiere has served as Vice Chairman and chairman of the International Tank Container Organization (ITCO) leasing committee from 2006 through 2010. Mr. Ghesquiere holds a degree in Applied Economics from the Louvain School of Management, Belgium.</w:t>
      </w:r>
    </w:p>
    <w:p>
      <w:pPr>
        <w:spacing w:after="0" w:line="165" w:lineRule="exact"/>
        <w:rPr>
          <w:sz w:val="20"/>
          <w:szCs w:val="20"/>
          <w:color w:val="auto"/>
        </w:rPr>
      </w:pPr>
    </w:p>
    <w:p>
      <w:pPr>
        <w:ind w:firstLine="440"/>
        <w:spacing w:after="0" w:line="269" w:lineRule="auto"/>
        <w:rPr>
          <w:sz w:val="20"/>
          <w:szCs w:val="20"/>
          <w:color w:val="auto"/>
        </w:rPr>
      </w:pPr>
      <w:r>
        <w:rPr>
          <w:rFonts w:ascii="Arial" w:cs="Arial" w:eastAsia="Arial" w:hAnsi="Arial"/>
          <w:sz w:val="17"/>
          <w:szCs w:val="17"/>
          <w:b w:val="1"/>
          <w:bCs w:val="1"/>
          <w:i w:val="1"/>
          <w:iCs w:val="1"/>
          <w:color w:val="auto"/>
        </w:rPr>
        <w:t xml:space="preserve">Dudley R. Cottingham </w:t>
      </w:r>
      <w:r>
        <w:rPr>
          <w:rFonts w:ascii="Arial" w:cs="Arial" w:eastAsia="Arial" w:hAnsi="Arial"/>
          <w:sz w:val="17"/>
          <w:szCs w:val="17"/>
          <w:color w:val="auto"/>
        </w:rPr>
        <w:t>has been a member of our board of directors since December 1993 and served as assistant Secretary and/or secretary</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between December 1993 and October 2007. He has also served in the past as president of certain of our subsidiaries and continues to serve as a director of our Bermuda subsidiaries. Mr. Cottingham has over 35 years of experience in public accounting for a variety of international and local clients. He is a director and the audit committee chairman of Bermuda Press (Holdings) Ltd., a newspaper publishing and commercial printing company listed on the Bermuda Stock Exchange and is chairman of the listing committee of the Bermuda Stock Exchange. He is chairman and an Investment and Operational Committee member of the Aurum Funds which are listed on the Bermuda Stock Exchange. He was a managing director of and was formerly a partner of Arthur Morris &amp; Company Limited, a provider of audit and accounting services for international clients, since 1982. Mr. Cottingham is currently a consultant and had served as vice president and director of Continental Management Ltd., a Bermuda company providing corporate representation, administration and management services, since 1982 and a director of Continental Trust Corporation Ltd., a Bermuda company that provides corporate and individual trust administration services, since 1994. He is a director of Morris, Cottingham &amp; Co. Ltd. and their other group companies in Turks &amp; Caicos Islands. Mr. Cottingham is a Chartered Accountant.</w:t>
      </w:r>
    </w:p>
    <w:p>
      <w:pPr>
        <w:spacing w:after="0" w:line="182" w:lineRule="exact"/>
        <w:rPr>
          <w:sz w:val="20"/>
          <w:szCs w:val="20"/>
          <w:color w:val="auto"/>
        </w:rPr>
      </w:pPr>
    </w:p>
    <w:p>
      <w:pPr>
        <w:ind w:firstLine="440"/>
        <w:spacing w:after="0" w:line="254" w:lineRule="auto"/>
        <w:rPr>
          <w:sz w:val="20"/>
          <w:szCs w:val="20"/>
          <w:color w:val="auto"/>
        </w:rPr>
      </w:pPr>
      <w:r>
        <w:rPr>
          <w:rFonts w:ascii="Arial" w:cs="Arial" w:eastAsia="Arial" w:hAnsi="Arial"/>
          <w:sz w:val="18"/>
          <w:szCs w:val="18"/>
          <w:b w:val="1"/>
          <w:bCs w:val="1"/>
          <w:i w:val="1"/>
          <w:iCs w:val="1"/>
          <w:color w:val="auto"/>
        </w:rPr>
        <w:t xml:space="preserve">John A. Maccarone </w:t>
      </w:r>
      <w:r>
        <w:rPr>
          <w:rFonts w:ascii="Arial" w:cs="Arial" w:eastAsia="Arial" w:hAnsi="Arial"/>
          <w:sz w:val="18"/>
          <w:szCs w:val="18"/>
          <w:color w:val="auto"/>
        </w:rPr>
        <w:t>served as our President and Chief Executive Officer from January 1999 until October 2011 when he retired from Textainer</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and as a member of our board of directors since December 1993. Mr. Maccarone co-founded Intermodal Equipment Associates, a marine container leasing company based in San Francisco, and held a variety of executive positions with the company from 1979 until 1987, when he joined the Textainer Group as President and Chief Executive Officer of TEML, now a subsidiary of our company. From 1977 through 1978, Mr. Maccarone was Director of Marketing based in Hong Kong for Trans Ocean Leasing Corporation, a San Francisco-based company. From 1969 to 1976, Mr. Maccarone was a marketing representative for IBM Corporation in Chicago, Illinois. From 1966 to 1968, he served as a Lieutenant in the U.S. Army Corps of Engineers in Thailand and Virginia. Mr. Maccarone holds a B.S. in Engineering Management from Boston University and an M.B.A. from Loyola University of Chicago.</w:t>
      </w:r>
    </w:p>
    <w:p>
      <w:pPr>
        <w:spacing w:after="0" w:line="192" w:lineRule="exact"/>
        <w:rPr>
          <w:sz w:val="20"/>
          <w:szCs w:val="20"/>
          <w:color w:val="auto"/>
        </w:rPr>
      </w:pPr>
    </w:p>
    <w:p>
      <w:pPr>
        <w:ind w:right="100" w:firstLine="440"/>
        <w:spacing w:after="0" w:line="288" w:lineRule="auto"/>
        <w:rPr>
          <w:sz w:val="20"/>
          <w:szCs w:val="20"/>
          <w:color w:val="auto"/>
        </w:rPr>
      </w:pPr>
      <w:r>
        <w:rPr>
          <w:rFonts w:ascii="Arial" w:cs="Arial" w:eastAsia="Arial" w:hAnsi="Arial"/>
          <w:sz w:val="16"/>
          <w:szCs w:val="16"/>
          <w:b w:val="1"/>
          <w:bCs w:val="1"/>
          <w:i w:val="1"/>
          <w:iCs w:val="1"/>
          <w:color w:val="auto"/>
        </w:rPr>
        <w:t xml:space="preserve">David M. Nurek </w:t>
      </w:r>
      <w:r>
        <w:rPr>
          <w:rFonts w:ascii="Arial" w:cs="Arial" w:eastAsia="Arial" w:hAnsi="Arial"/>
          <w:sz w:val="16"/>
          <w:szCs w:val="16"/>
          <w:color w:val="auto"/>
        </w:rPr>
        <w:t>has been a member of our board of directors since September 2007. Mr. Nurek was appointed as an alternate director of Trencor</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in November 1992 and as a non-executive member of its board of directors in July 1995. He is chairman of Trencor and a member of Trencor’s audit, remuneration, social and ethics, risk and governance committees. In August 2019, Mr. Nurek retired from his position as an executive of Investec Bank Limited, a subsidiary of Investec Limited, which is listed on the JSE. Investec Limited has entered into a dual listed company structure with Investec plc, which is quoted on the London Stock Exchange (collectively, the “Investec Group”). He was the regional chairman of Investec Limited’s various businesses in the Western Cape, South Africa, and also the Investec Group’s worldwide head of legal risk. Prior to joining Investec Limited in June 2000, Mr. Nurek served as chairman of the South African legal firm Sonnenberg Hoffmann &amp; Galombik, which has since changed its name to Edward Nathan Sonnenbergs Inc. Mr. Nurek serves as a non-executive on the boards of directors of various listed and unlisted companies in South Africa and holds a Diploma in Law and a Graduate Diploma in Company Law from the University of Cape Town and completed a Program of Instruction for Lawyers at Harvard Law School and a Leadership in Professional Services Firms program at Harvard Business School.</w:t>
      </w:r>
    </w:p>
    <w:p>
      <w:pPr>
        <w:spacing w:after="0" w:line="168" w:lineRule="exact"/>
        <w:rPr>
          <w:sz w:val="20"/>
          <w:szCs w:val="20"/>
          <w:color w:val="auto"/>
        </w:rPr>
      </w:pPr>
    </w:p>
    <w:p>
      <w:pPr>
        <w:ind w:firstLine="440"/>
        <w:spacing w:after="0" w:line="275" w:lineRule="auto"/>
        <w:rPr>
          <w:sz w:val="20"/>
          <w:szCs w:val="20"/>
          <w:color w:val="auto"/>
        </w:rPr>
      </w:pPr>
      <w:r>
        <w:rPr>
          <w:rFonts w:ascii="Arial" w:cs="Arial" w:eastAsia="Arial" w:hAnsi="Arial"/>
          <w:sz w:val="17"/>
          <w:szCs w:val="17"/>
          <w:b w:val="1"/>
          <w:bCs w:val="1"/>
          <w:i w:val="1"/>
          <w:iCs w:val="1"/>
          <w:color w:val="auto"/>
        </w:rPr>
        <w:t xml:space="preserve">Hennie Van der Merwe </w:t>
      </w:r>
      <w:r>
        <w:rPr>
          <w:rFonts w:ascii="Arial" w:cs="Arial" w:eastAsia="Arial" w:hAnsi="Arial"/>
          <w:sz w:val="17"/>
          <w:szCs w:val="17"/>
          <w:color w:val="auto"/>
        </w:rPr>
        <w:t>has been a member of our board of directors since August 2017 and between March 2003 to 2011. Mr. Van der Merwe</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joined Trencor in 1997 and began serving as a director of Trencor in 1998. He was appointed the Chief Executive Officer of Trencor in August 2017 and a member of Trencor’s risk and governance committees. Mr. Van der Merwe also serves as non-executive chairman of the board of Master Drilling Group Limited and as a non-executive director of Bell Equipment Limited, both of which are listed on the JSE. From 1984 to 1991, he held various senior executive positions in the banking sector in South Africa, lastly as chief executive officer of</w:t>
      </w:r>
    </w:p>
    <w:p>
      <w:pPr>
        <w:spacing w:after="0" w:line="10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70</w:t>
      </w:r>
    </w:p>
    <w:p>
      <w:pPr>
        <w:sectPr>
          <w:pgSz w:w="11900" w:h="16838" w:orient="portrait"/>
          <w:cols w:equalWidth="0" w:num="1">
            <w:col w:w="11000"/>
          </w:cols>
          <w:pgMar w:left="440" w:top="274" w:right="459" w:bottom="1440" w:gutter="0" w:footer="0" w:header="0"/>
        </w:sectPr>
      </w:pPr>
    </w:p>
    <w:bookmarkStart w:id="84" w:name="page85"/>
    <w:bookmarkEnd w:id="84"/>
    <w:p>
      <w:pPr>
        <w:ind w:left="4" w:right="26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7174865" cy="38735"/>
                    </a:xfrm>
                    <a:prstGeom prst="rect">
                      <a:avLst/>
                    </a:prstGeom>
                    <a:noFill/>
                  </pic:spPr>
                </pic:pic>
              </a:graphicData>
            </a:graphic>
          </wp:anchor>
        </w:drawing>
        <w:t>Senbank, the corporate/merchant banking arm of Bankorp Group Ltd. From 1991 to 1998, Mr. Van der Merwe served as deputy chairman for Waco International Ltd., an international industrial group listed on the JSE with subsidiaries listed on the Sydney and London Stock Exchanges. Prior to entering the business world, Mr. Van der Merwe practiced as an attorney at law in Johannesburg, South Africa. Mr. Van der Merwe holds Bachelor of Arts and L.L.B degrees in Law from the University of Stellenbosch in South Africa, and a Master of Law in Tax Law from the University of the Witwatersrand in South Africa.</w:t>
      </w:r>
    </w:p>
    <w:p>
      <w:pPr>
        <w:spacing w:after="0" w:line="188" w:lineRule="exact"/>
        <w:rPr>
          <w:sz w:val="20"/>
          <w:szCs w:val="20"/>
          <w:color w:val="auto"/>
        </w:rPr>
      </w:pPr>
    </w:p>
    <w:p>
      <w:pPr>
        <w:ind w:left="4" w:right="40" w:firstLine="440"/>
        <w:spacing w:after="0" w:line="272" w:lineRule="auto"/>
        <w:rPr>
          <w:sz w:val="20"/>
          <w:szCs w:val="20"/>
          <w:color w:val="auto"/>
        </w:rPr>
      </w:pPr>
      <w:r>
        <w:rPr>
          <w:rFonts w:ascii="Arial" w:cs="Arial" w:eastAsia="Arial" w:hAnsi="Arial"/>
          <w:sz w:val="17"/>
          <w:szCs w:val="17"/>
          <w:b w:val="1"/>
          <w:bCs w:val="1"/>
          <w:i w:val="1"/>
          <w:iCs w:val="1"/>
          <w:color w:val="auto"/>
        </w:rPr>
        <w:t xml:space="preserve">Robert D. Pedersen </w:t>
      </w:r>
      <w:r>
        <w:rPr>
          <w:rFonts w:ascii="Arial" w:cs="Arial" w:eastAsia="Arial" w:hAnsi="Arial"/>
          <w:sz w:val="17"/>
          <w:szCs w:val="17"/>
          <w:color w:val="auto"/>
        </w:rPr>
        <w:t>has been a member of our board of directors since April 2017. Mr. Pedersen was appointed President and Chief Executive</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Officer of TEML, our management company, in October 2011 and retired on March 31, 2017. Mr. Pedersen served as our Executive Vice President responsible for worldwide sales and marketing related activities and operations since January 2006. Mr. Pedersen was Senior Vice President of our leasing group from 1999 to 2005. From 1991 to 1999, Mr. Pedersen held several positions within our company, and from 1978 through 1991, he worked in various capacities for Klinge Cool, a manufacturer of refrigerated container cooling units, XTRA, a container lessor, and Maersk Line, a container shipping line. Mr. Pedersen is a graduate of the A.P. Moller Shipping and Transportation Program and the Merkonom Business School in Copenhagen, where he majored in Company Organization.</w:t>
      </w:r>
    </w:p>
    <w:p>
      <w:pPr>
        <w:spacing w:after="0" w:line="177" w:lineRule="exact"/>
        <w:rPr>
          <w:sz w:val="20"/>
          <w:szCs w:val="20"/>
          <w:color w:val="auto"/>
        </w:rPr>
      </w:pPr>
    </w:p>
    <w:p>
      <w:pPr>
        <w:ind w:left="4" w:firstLine="440"/>
        <w:spacing w:after="0" w:line="273" w:lineRule="auto"/>
        <w:rPr>
          <w:sz w:val="20"/>
          <w:szCs w:val="20"/>
          <w:color w:val="auto"/>
        </w:rPr>
      </w:pPr>
      <w:r>
        <w:rPr>
          <w:rFonts w:ascii="Arial" w:cs="Arial" w:eastAsia="Arial" w:hAnsi="Arial"/>
          <w:sz w:val="17"/>
          <w:szCs w:val="17"/>
          <w:b w:val="1"/>
          <w:bCs w:val="1"/>
          <w:i w:val="1"/>
          <w:iCs w:val="1"/>
          <w:color w:val="auto"/>
        </w:rPr>
        <w:t xml:space="preserve">Grace Tang </w:t>
      </w:r>
      <w:r>
        <w:rPr>
          <w:rFonts w:ascii="Arial" w:cs="Arial" w:eastAsia="Arial" w:hAnsi="Arial"/>
          <w:sz w:val="17"/>
          <w:szCs w:val="17"/>
          <w:color w:val="auto"/>
        </w:rPr>
        <w:t>has been a member of our board of directors since August 2020. Ms. Tang was a partner with PwC for 22 years until her retirement in</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2020. She served on the Board of Partners of the PwC China, Hong Kong, Taiwan and Singapore firms. She served as the leader of the Industrial Products sector and also the multinational client practice in China where she assisted domestic Chinese and international clients. Ms. Tang serves as an instructor of the Masters of Business Administration and Master of Professional Accounting degree programs at the Peking University. Ms. Tang is a US certified public accountant, a member of the American Institute of Certified Public Accountants, and a fellow of the Hong Kong Institute of Certified Public Accountants. Ms. Tang has a B.S. from the University of Utah and an M.B.A. from Utah State University.</w:t>
      </w:r>
    </w:p>
    <w:p>
      <w:pPr>
        <w:spacing w:after="0" w:line="286" w:lineRule="exact"/>
        <w:rPr>
          <w:sz w:val="20"/>
          <w:szCs w:val="20"/>
          <w:color w:val="auto"/>
        </w:rPr>
      </w:pPr>
    </w:p>
    <w:p>
      <w:pPr>
        <w:ind w:left="4"/>
        <w:spacing w:after="0"/>
        <w:rPr>
          <w:sz w:val="20"/>
          <w:szCs w:val="20"/>
          <w:color w:val="auto"/>
        </w:rPr>
      </w:pPr>
      <w:r>
        <w:rPr>
          <w:rFonts w:ascii="Arial" w:cs="Arial" w:eastAsia="Arial" w:hAnsi="Arial"/>
          <w:sz w:val="18"/>
          <w:szCs w:val="18"/>
          <w:i w:val="1"/>
          <w:iCs w:val="1"/>
          <w:color w:val="auto"/>
        </w:rPr>
        <w:t>Executive Officers</w:t>
      </w:r>
    </w:p>
    <w:p>
      <w:pPr>
        <w:spacing w:after="0" w:line="117" w:lineRule="exact"/>
        <w:rPr>
          <w:sz w:val="20"/>
          <w:szCs w:val="20"/>
          <w:color w:val="auto"/>
        </w:rPr>
      </w:pPr>
    </w:p>
    <w:p>
      <w:pPr>
        <w:ind w:left="444"/>
        <w:spacing w:after="0"/>
        <w:rPr>
          <w:sz w:val="20"/>
          <w:szCs w:val="20"/>
          <w:color w:val="auto"/>
        </w:rPr>
      </w:pPr>
      <w:r>
        <w:rPr>
          <w:rFonts w:ascii="Arial" w:cs="Arial" w:eastAsia="Arial" w:hAnsi="Arial"/>
          <w:sz w:val="18"/>
          <w:szCs w:val="18"/>
          <w:color w:val="auto"/>
        </w:rPr>
        <w:t>For certain biographical information about Olivier Ghesquiere, see “Directors” above.</w:t>
      </w:r>
    </w:p>
    <w:p>
      <w:pPr>
        <w:spacing w:after="0" w:line="225" w:lineRule="exact"/>
        <w:rPr>
          <w:sz w:val="20"/>
          <w:szCs w:val="20"/>
          <w:color w:val="auto"/>
        </w:rPr>
      </w:pPr>
    </w:p>
    <w:p>
      <w:pPr>
        <w:ind w:left="4" w:right="80" w:firstLine="440"/>
        <w:spacing w:after="0" w:line="288" w:lineRule="auto"/>
        <w:rPr>
          <w:sz w:val="20"/>
          <w:szCs w:val="20"/>
          <w:color w:val="auto"/>
        </w:rPr>
      </w:pPr>
      <w:r>
        <w:rPr>
          <w:rFonts w:ascii="Arial" w:cs="Arial" w:eastAsia="Arial" w:hAnsi="Arial"/>
          <w:sz w:val="16"/>
          <w:szCs w:val="16"/>
          <w:b w:val="1"/>
          <w:bCs w:val="1"/>
          <w:i w:val="1"/>
          <w:iCs w:val="1"/>
          <w:color w:val="auto"/>
        </w:rPr>
        <w:t xml:space="preserve">Michael K. Chan </w:t>
      </w:r>
      <w:r>
        <w:rPr>
          <w:rFonts w:ascii="Arial" w:cs="Arial" w:eastAsia="Arial" w:hAnsi="Arial"/>
          <w:sz w:val="16"/>
          <w:szCs w:val="16"/>
          <w:color w:val="auto"/>
        </w:rPr>
        <w:t>was appointed Executive Vice President and Chief Financial Officer (CFO) in September 2018. Mr. Chan served as our Vice</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President and Senior Vice President of Finance from April 2017 through August 2018, responsible for overseeing treasury, investor relations, accounting, financial reporting, and financial planning and analysis. Mr. Chan also served as a Controller from 1994 to 2006. Prior to re-joining the company in 2017, Mr. Chan was CFO at Ygrene Energy Fund from 2015 to 2017, a market-leading specialty finance company, where he raised nearly $1 billion in capital and achieved the industry’s first AAA rating on the company’s senior notes. From 2011 to 2015, Mr. Chan worked as Senior Director of Treasury and Capital Markets for The Cronos Group, a leading global container leasing company which was acquired by Shenzhen Stock Exchange listed Bohai Leasing Company. Before that, Mr. Chan held the CFO position at The Chartres Lodging Group from 2006 to 2011, where he was instrumental in executing key acquisitions and sales for the hotel investment and asset management company. Mr. Chan joined Coopers &amp; Lybrand in 1989, now PricewaterhouseCoopers (PwC) and held the position of Audit Manager. Mr. Chan is a member of the American Institute of Certified Public Accountants (AICPA) and holds a B.S. in Business Administration – Accounting from California State University East Bay.</w:t>
      </w:r>
    </w:p>
    <w:p>
      <w:pPr>
        <w:spacing w:after="0" w:line="272"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Board of Directors</w:t>
      </w:r>
    </w:p>
    <w:p>
      <w:pPr>
        <w:spacing w:after="0" w:line="121" w:lineRule="exact"/>
        <w:rPr>
          <w:sz w:val="20"/>
          <w:szCs w:val="20"/>
          <w:color w:val="auto"/>
        </w:rPr>
      </w:pPr>
    </w:p>
    <w:p>
      <w:pPr>
        <w:ind w:left="4" w:right="600" w:firstLine="440"/>
        <w:spacing w:after="0" w:line="277" w:lineRule="auto"/>
        <w:rPr>
          <w:sz w:val="20"/>
          <w:szCs w:val="20"/>
          <w:color w:val="auto"/>
        </w:rPr>
      </w:pPr>
      <w:r>
        <w:rPr>
          <w:rFonts w:ascii="Arial" w:cs="Arial" w:eastAsia="Arial" w:hAnsi="Arial"/>
          <w:sz w:val="18"/>
          <w:szCs w:val="18"/>
          <w:color w:val="auto"/>
        </w:rPr>
        <w:t>Our board of directors currently consists of eight members. Our bye-laws provide that our board of directors shall consist of five to twelve directors, as the board of directors may determine from time to time.</w:t>
      </w:r>
    </w:p>
    <w:p>
      <w:pPr>
        <w:spacing w:after="0" w:line="315" w:lineRule="exact"/>
        <w:rPr>
          <w:sz w:val="20"/>
          <w:szCs w:val="20"/>
          <w:color w:val="auto"/>
        </w:rPr>
      </w:pPr>
    </w:p>
    <w:p>
      <w:pPr>
        <w:ind w:left="424" w:hanging="424"/>
        <w:spacing w:after="0"/>
        <w:tabs>
          <w:tab w:leader="none" w:pos="424" w:val="left"/>
        </w:tabs>
        <w:numPr>
          <w:ilvl w:val="0"/>
          <w:numId w:val="56"/>
        </w:numPr>
        <w:rPr>
          <w:rFonts w:ascii="Arial" w:cs="Arial" w:eastAsia="Arial" w:hAnsi="Arial"/>
          <w:sz w:val="18"/>
          <w:szCs w:val="18"/>
          <w:b w:val="1"/>
          <w:bCs w:val="1"/>
          <w:color w:val="auto"/>
        </w:rPr>
      </w:pPr>
      <w:r>
        <w:rPr>
          <w:rFonts w:ascii="Arial" w:cs="Arial" w:eastAsia="Arial" w:hAnsi="Arial"/>
          <w:sz w:val="18"/>
          <w:szCs w:val="18"/>
          <w:b w:val="1"/>
          <w:bCs w:val="1"/>
          <w:color w:val="auto"/>
        </w:rPr>
        <w:t>Compensation</w:t>
      </w:r>
    </w:p>
    <w:p>
      <w:pPr>
        <w:spacing w:after="0" w:line="121" w:lineRule="exact"/>
        <w:rPr>
          <w:sz w:val="20"/>
          <w:szCs w:val="20"/>
          <w:color w:val="auto"/>
        </w:rPr>
      </w:pPr>
    </w:p>
    <w:p>
      <w:pPr>
        <w:ind w:left="4" w:firstLine="440"/>
        <w:spacing w:after="0" w:line="296" w:lineRule="auto"/>
        <w:rPr>
          <w:sz w:val="20"/>
          <w:szCs w:val="20"/>
          <w:color w:val="auto"/>
        </w:rPr>
      </w:pPr>
      <w:r>
        <w:rPr>
          <w:rFonts w:ascii="Arial" w:cs="Arial" w:eastAsia="Arial" w:hAnsi="Arial"/>
          <w:sz w:val="16"/>
          <w:szCs w:val="16"/>
          <w:color w:val="auto"/>
        </w:rPr>
        <w:t>The aggregate direct compensation we paid to our executive officers as a group (two persons) for the year ended December 31, 2020 was approximately $2,269, which included approximately $316 in bonuses and approximately $842 in vested restricted stock and funds set aside or accrued to provide for health and life insurance, retirement, or similar benefits. This amount does not include expenses we incurred for other payments, including dues for professional and business associations, business travel and other expenses, which amounted to approximately $11. We did not pay our officers who also serve as directors any separate compensation for their directorship during 2020, other than reimbursements for travel expenses.</w:t>
      </w:r>
    </w:p>
    <w:p>
      <w:pPr>
        <w:spacing w:after="0" w:line="94"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71</w:t>
      </w:r>
    </w:p>
    <w:p>
      <w:pPr>
        <w:sectPr>
          <w:pgSz w:w="11900" w:h="16838" w:orient="portrait"/>
          <w:cols w:equalWidth="0" w:num="1">
            <w:col w:w="11004"/>
          </w:cols>
          <w:pgMar w:left="436" w:top="274" w:right="459" w:bottom="1440" w:gutter="0" w:footer="0" w:header="0"/>
        </w:sectPr>
      </w:pPr>
    </w:p>
    <w:bookmarkStart w:id="85" w:name="page86"/>
    <w:bookmarkEnd w:id="85"/>
    <w:p>
      <w:pPr>
        <w:ind w:right="300"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7174865" cy="38735"/>
                    </a:xfrm>
                    <a:prstGeom prst="rect">
                      <a:avLst/>
                    </a:prstGeom>
                    <a:noFill/>
                  </pic:spPr>
                </pic:pic>
              </a:graphicData>
            </a:graphic>
          </wp:anchor>
        </w:drawing>
        <w:t>During 2020, our executive officers as a group were granted 94,844 performance-based restricted share units and 28,956 time-based restricted share units through our 2019 Share Incentive Plan.</w:t>
      </w:r>
    </w:p>
    <w:p>
      <w:pPr>
        <w:spacing w:after="0" w:line="170" w:lineRule="exact"/>
        <w:rPr>
          <w:sz w:val="20"/>
          <w:szCs w:val="20"/>
          <w:color w:val="auto"/>
        </w:rPr>
      </w:pPr>
    </w:p>
    <w:p>
      <w:pPr>
        <w:ind w:right="120" w:firstLine="440"/>
        <w:spacing w:after="0" w:line="301" w:lineRule="auto"/>
        <w:rPr>
          <w:sz w:val="20"/>
          <w:szCs w:val="20"/>
          <w:color w:val="auto"/>
        </w:rPr>
      </w:pPr>
      <w:r>
        <w:rPr>
          <w:rFonts w:ascii="Arial" w:cs="Arial" w:eastAsia="Arial" w:hAnsi="Arial"/>
          <w:sz w:val="16"/>
          <w:szCs w:val="16"/>
          <w:color w:val="auto"/>
        </w:rPr>
        <w:t>All of our full-time employees, including employees of our direct and indirect subsidiaries and dedicated agents and our executive officers, were eligible to participate in our 2020 Short Term Incentive Plan (“STIP”). Under that plan, all eligible employees received an incentive award based on their respective job classification and our return on equity and net income. In 2020, all STIP participants, including our executive officers received 86.5% of their target incentive award that applied to calendar year 2019 performance with the incentive award paid in early 2020.</w:t>
      </w:r>
    </w:p>
    <w:p>
      <w:pPr>
        <w:spacing w:after="0" w:line="157" w:lineRule="exact"/>
        <w:rPr>
          <w:sz w:val="20"/>
          <w:szCs w:val="20"/>
          <w:color w:val="auto"/>
        </w:rPr>
      </w:pPr>
    </w:p>
    <w:p>
      <w:pPr>
        <w:ind w:firstLine="440"/>
        <w:spacing w:after="0" w:line="279" w:lineRule="auto"/>
        <w:rPr>
          <w:sz w:val="20"/>
          <w:szCs w:val="20"/>
          <w:color w:val="auto"/>
        </w:rPr>
      </w:pPr>
      <w:r>
        <w:rPr>
          <w:rFonts w:ascii="Arial" w:cs="Arial" w:eastAsia="Arial" w:hAnsi="Arial"/>
          <w:sz w:val="17"/>
          <w:szCs w:val="17"/>
          <w:color w:val="auto"/>
        </w:rPr>
        <w:t>The aggregate direct compensation we paid to our directors who are not officers for their services as directors as a group for the year ended December 31, 2020 was approximately $517. Some directors were also reimbursed for expenses incurred to attend board or committee meetings which amounted to approximately $34 during 2020. During 2020, our non-executive directors as a group were granted 64,568 time-based restricted share units through our 2019 Share Incentive Plan. Restricted share units granted to directors fully vest one year after their grant date.</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Summary of the 2019 Share Incentive Plan</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General</w:t>
      </w:r>
    </w:p>
    <w:p>
      <w:pPr>
        <w:spacing w:after="0" w:line="117" w:lineRule="exact"/>
        <w:rPr>
          <w:sz w:val="20"/>
          <w:szCs w:val="20"/>
          <w:color w:val="auto"/>
        </w:rPr>
      </w:pPr>
    </w:p>
    <w:p>
      <w:pPr>
        <w:ind w:firstLine="440"/>
        <w:spacing w:after="0" w:line="255" w:lineRule="auto"/>
        <w:rPr>
          <w:sz w:val="20"/>
          <w:szCs w:val="20"/>
          <w:color w:val="auto"/>
        </w:rPr>
      </w:pPr>
      <w:r>
        <w:rPr>
          <w:rFonts w:ascii="Arial" w:cs="Arial" w:eastAsia="Arial" w:hAnsi="Arial"/>
          <w:sz w:val="18"/>
          <w:szCs w:val="18"/>
          <w:color w:val="auto"/>
        </w:rPr>
        <w:t>The 2019 Plan provides for the grant of share options, restricted shares, restricted share units, share appreciation rights and dividend equivalent rights, collectively referred to as “awards.” Share options granted under the 2019 Plan may be either incentive share options under the provisions of Section 422 of the Internal Revenue Code of 1986, as amended (the “Code”), or non-qualified share options. We may grant incentive share options only to our employees or employees of any parent or subsidiary of Textainer Group Holdings Limited. Awards other than incentive share options may be granted to our employees, directors and consultants or the employees, directors and consultants of any parent or subsidiary of Textainer Group Holdings Limited.</w:t>
      </w:r>
    </w:p>
    <w:p>
      <w:pPr>
        <w:spacing w:after="0" w:line="30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Authorized Shares</w:t>
      </w:r>
    </w:p>
    <w:p>
      <w:pPr>
        <w:spacing w:after="0" w:line="117" w:lineRule="exact"/>
        <w:rPr>
          <w:sz w:val="20"/>
          <w:szCs w:val="20"/>
          <w:color w:val="auto"/>
        </w:rPr>
      </w:pPr>
    </w:p>
    <w:p>
      <w:pPr>
        <w:ind w:firstLine="440"/>
        <w:spacing w:after="0" w:line="283" w:lineRule="auto"/>
        <w:rPr>
          <w:sz w:val="20"/>
          <w:szCs w:val="20"/>
          <w:color w:val="auto"/>
        </w:rPr>
      </w:pPr>
      <w:r>
        <w:rPr>
          <w:rFonts w:ascii="Arial" w:cs="Arial" w:eastAsia="Arial" w:hAnsi="Arial"/>
          <w:sz w:val="16"/>
          <w:szCs w:val="16"/>
          <w:color w:val="auto"/>
        </w:rPr>
        <w:t>Our board of directors adopted the 2007 Share Incentive Plan (“2007 Plan”) on August 9, 2007, and our shareholders approved the 2007 Plan on September 4, 2007. The maximum number of common shares of Textainer Group Holdings Limited that could be granted pursuant to the 2007 Plan was 3,808,371 shares, representing 8% of the number of common shares issued and outstanding 45 days following our initial public offering on October 9, 2007, subject to adjustments for share splits, share dividends or other similar changes in our common shares or our capital structure. On February 23, 2010, the Company’s Board of Directors approved an increase in the number of shares available for future issuance by 1,468,500 from 3,808,371 shares to 5,276,871 shares, which was approved by the Company’s shareholders at the annual meeting of shareholders on May 19, 2010. The shares to be issued pursuant to awards under the 2007 Plan may be authorized, but unissued, or reacquired common shares. On May 21, 2015, TGH’s board of directors approved an amendment and restatement of the 2007 Plan as the 2015 Plan at the annual meeting of shareholders. The amendment and restatement of the 2007 Plan increased the maximum number of shares available for future issuance by 2,000,000 shares and extended the term of such plan for ten years from the date of the annual meeting of shareholders. On May 23, 2019, TGH’s board of directors approved an amendment and restatement of the 2015 Plan as the 2019 Plan at the annual meeting of shareholders. The amendment and restatement of the 2015 Plan increased the maximum number of shares available for future issuance by 2,500,000 shares and to update the Plan language to eliminate references to IRS</w:t>
      </w:r>
    </w:p>
    <w:p>
      <w:pPr>
        <w:spacing w:after="0" w:line="3" w:lineRule="exact"/>
        <w:rPr>
          <w:sz w:val="20"/>
          <w:szCs w:val="20"/>
          <w:color w:val="auto"/>
        </w:rPr>
      </w:pPr>
    </w:p>
    <w:p>
      <w:pPr>
        <w:ind w:right="140"/>
        <w:spacing w:after="0" w:line="260" w:lineRule="auto"/>
        <w:rPr>
          <w:sz w:val="20"/>
          <w:szCs w:val="20"/>
          <w:color w:val="auto"/>
        </w:rPr>
      </w:pPr>
      <w:r>
        <w:rPr>
          <w:rFonts w:ascii="Arial" w:cs="Arial" w:eastAsia="Arial" w:hAnsi="Arial"/>
          <w:sz w:val="18"/>
          <w:szCs w:val="18"/>
          <w:color w:val="auto"/>
        </w:rPr>
        <w:t>Section 162(m) performance based compensation provisions that were eliminated under the new US tax rules that went into effect in January 2018. At December 31, 2020, 2,238,360 shares were available for future issuance under the 2019 Plan.</w:t>
      </w:r>
    </w:p>
    <w:p>
      <w:pPr>
        <w:spacing w:after="0" w:line="11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72</w:t>
      </w:r>
    </w:p>
    <w:p>
      <w:pPr>
        <w:sectPr>
          <w:pgSz w:w="11900" w:h="16838" w:orient="portrait"/>
          <w:cols w:equalWidth="0" w:num="1">
            <w:col w:w="10960"/>
          </w:cols>
          <w:pgMar w:left="440" w:top="274" w:right="499" w:bottom="1440" w:gutter="0" w:footer="0" w:header="0"/>
        </w:sectPr>
      </w:pPr>
    </w:p>
    <w:bookmarkStart w:id="86" w:name="page87"/>
    <w:bookmarkEnd w:id="86"/>
    <w:p>
      <w:pPr>
        <w:ind w:left="4"/>
        <w:spacing w:after="0"/>
        <w:rPr>
          <w:sz w:val="20"/>
          <w:szCs w:val="20"/>
          <w:color w:val="auto"/>
        </w:rPr>
      </w:pPr>
      <w:r>
        <w:rPr>
          <w:rFonts w:ascii="Arial" w:cs="Arial" w:eastAsia="Arial" w:hAnsi="Arial"/>
          <w:sz w:val="18"/>
          <w:szCs w:val="18"/>
          <w:i w:val="1"/>
          <w:i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Administration</w:t>
      </w:r>
    </w:p>
    <w:p>
      <w:pPr>
        <w:spacing w:after="0" w:line="117" w:lineRule="exact"/>
        <w:rPr>
          <w:sz w:val="20"/>
          <w:szCs w:val="20"/>
          <w:color w:val="auto"/>
        </w:rPr>
      </w:pPr>
    </w:p>
    <w:p>
      <w:pPr>
        <w:ind w:left="4" w:right="280" w:firstLine="440"/>
        <w:spacing w:after="0" w:line="259" w:lineRule="auto"/>
        <w:rPr>
          <w:sz w:val="20"/>
          <w:szCs w:val="20"/>
          <w:color w:val="auto"/>
        </w:rPr>
      </w:pPr>
      <w:r>
        <w:rPr>
          <w:rFonts w:ascii="Arial" w:cs="Arial" w:eastAsia="Arial" w:hAnsi="Arial"/>
          <w:sz w:val="18"/>
          <w:szCs w:val="18"/>
          <w:color w:val="auto"/>
        </w:rPr>
        <w:t>Our board of directors or a committee designated by our board of directors, referred to as the “plan administrator,” administers the 2019 Plan, including selecting the award recipients, determining the number of shares to be subject to each award, determining the exercise or purchase price of each award and determining the vesting and exercise periods of each award. Awards under the plan may vest upon the passage of time or upon the attainment of certain performance criteria.</w:t>
      </w:r>
    </w:p>
    <w:p>
      <w:pPr>
        <w:spacing w:after="0" w:line="295" w:lineRule="exact"/>
        <w:rPr>
          <w:sz w:val="20"/>
          <w:szCs w:val="20"/>
          <w:color w:val="auto"/>
        </w:rPr>
      </w:pPr>
    </w:p>
    <w:p>
      <w:pPr>
        <w:ind w:left="4"/>
        <w:spacing w:after="0"/>
        <w:rPr>
          <w:sz w:val="20"/>
          <w:szCs w:val="20"/>
          <w:color w:val="auto"/>
        </w:rPr>
      </w:pPr>
      <w:r>
        <w:rPr>
          <w:rFonts w:ascii="Arial" w:cs="Arial" w:eastAsia="Arial" w:hAnsi="Arial"/>
          <w:sz w:val="18"/>
          <w:szCs w:val="18"/>
          <w:i w:val="1"/>
          <w:iCs w:val="1"/>
          <w:color w:val="auto"/>
        </w:rPr>
        <w:t>Restricted Share Units</w:t>
      </w:r>
    </w:p>
    <w:p>
      <w:pPr>
        <w:spacing w:after="0" w:line="117" w:lineRule="exact"/>
        <w:rPr>
          <w:sz w:val="20"/>
          <w:szCs w:val="20"/>
          <w:color w:val="auto"/>
        </w:rPr>
      </w:pPr>
    </w:p>
    <w:p>
      <w:pPr>
        <w:ind w:left="4" w:right="100" w:firstLine="991"/>
        <w:spacing w:after="0" w:line="263" w:lineRule="auto"/>
        <w:rPr>
          <w:sz w:val="20"/>
          <w:szCs w:val="20"/>
          <w:color w:val="auto"/>
        </w:rPr>
      </w:pPr>
      <w:r>
        <w:rPr>
          <w:rFonts w:ascii="Arial" w:cs="Arial" w:eastAsia="Arial" w:hAnsi="Arial"/>
          <w:sz w:val="18"/>
          <w:szCs w:val="18"/>
          <w:color w:val="auto"/>
        </w:rPr>
        <w:t>Restricted share units represent rights to receive shares of our common stock at a future date which may be subject to vesting conditions based on the passage of time (time-based restricted share units or “RSU”) or the attainment of performance criteria (performance-based restricted share units or “PSU”).</w:t>
      </w:r>
    </w:p>
    <w:p>
      <w:pPr>
        <w:spacing w:after="0" w:line="184" w:lineRule="exact"/>
        <w:rPr>
          <w:sz w:val="20"/>
          <w:szCs w:val="20"/>
          <w:color w:val="auto"/>
        </w:rPr>
      </w:pPr>
    </w:p>
    <w:p>
      <w:pPr>
        <w:ind w:left="984"/>
        <w:spacing w:after="0"/>
        <w:rPr>
          <w:sz w:val="20"/>
          <w:szCs w:val="20"/>
          <w:color w:val="auto"/>
        </w:rPr>
      </w:pPr>
      <w:r>
        <w:rPr>
          <w:rFonts w:ascii="Arial" w:cs="Arial" w:eastAsia="Arial" w:hAnsi="Arial"/>
          <w:sz w:val="16"/>
          <w:szCs w:val="16"/>
          <w:color w:val="auto"/>
        </w:rPr>
        <w:t>Time-based RSUs granted prior to 2020 vest in increments of 25% per year beginning approximately one year after an award’s grant date.</w:t>
      </w:r>
    </w:p>
    <w:p>
      <w:pPr>
        <w:spacing w:after="0" w:line="46" w:lineRule="exact"/>
        <w:rPr>
          <w:sz w:val="20"/>
          <w:szCs w:val="20"/>
          <w:color w:val="auto"/>
        </w:rPr>
      </w:pPr>
    </w:p>
    <w:p>
      <w:pPr>
        <w:ind w:left="4"/>
        <w:spacing w:after="0"/>
        <w:rPr>
          <w:sz w:val="20"/>
          <w:szCs w:val="20"/>
          <w:color w:val="auto"/>
        </w:rPr>
      </w:pPr>
      <w:r>
        <w:rPr>
          <w:rFonts w:ascii="Arial" w:cs="Arial" w:eastAsia="Arial" w:hAnsi="Arial"/>
          <w:sz w:val="17"/>
          <w:szCs w:val="17"/>
          <w:color w:val="auto"/>
        </w:rPr>
        <w:t>Time-based RSUs granted during 2020 vest in increments of 33.33% per year beginning approximately one year after an award’s grant date.</w:t>
      </w:r>
    </w:p>
    <w:p>
      <w:pPr>
        <w:spacing w:after="0" w:line="222" w:lineRule="exact"/>
        <w:rPr>
          <w:sz w:val="20"/>
          <w:szCs w:val="20"/>
          <w:color w:val="auto"/>
        </w:rPr>
      </w:pPr>
    </w:p>
    <w:p>
      <w:pPr>
        <w:ind w:left="4" w:right="220" w:firstLine="991"/>
        <w:spacing w:after="0" w:line="279" w:lineRule="auto"/>
        <w:rPr>
          <w:sz w:val="20"/>
          <w:szCs w:val="20"/>
          <w:color w:val="auto"/>
        </w:rPr>
      </w:pPr>
      <w:r>
        <w:rPr>
          <w:rFonts w:ascii="Arial" w:cs="Arial" w:eastAsia="Arial" w:hAnsi="Arial"/>
          <w:sz w:val="17"/>
          <w:szCs w:val="17"/>
          <w:color w:val="auto"/>
        </w:rPr>
        <w:t>In 2020, PSUs were granted to provide variable compensation in the form of equity that rewards executives when we achieve long-term results that align with stockholders’ interests. Based on a review of market data and recommendation from Willis Tower Watson, an independent compensation consultant, our board of directors approved the mix of awards for executives to provide the appropriate balance of time-based and performance-based compensation to support our long-term strategy as shown in the table below:</w:t>
      </w:r>
    </w:p>
    <w:p>
      <w:pPr>
        <w:sectPr>
          <w:pgSz w:w="11900" w:h="16838" w:orient="portrait"/>
          <w:cols w:equalWidth="0" w:num="1">
            <w:col w:w="10984"/>
          </w:cols>
          <w:pgMar w:left="436" w:top="274" w:right="479" w:bottom="1440" w:gutter="0" w:footer="0" w:header="0"/>
        </w:sectPr>
      </w:pPr>
    </w:p>
    <w:p>
      <w:pPr>
        <w:spacing w:after="0" w:line="325" w:lineRule="exact"/>
        <w:rPr>
          <w:sz w:val="20"/>
          <w:szCs w:val="20"/>
          <w:color w:val="auto"/>
        </w:rPr>
      </w:pPr>
    </w:p>
    <w:p>
      <w:pPr>
        <w:ind w:left="4"/>
        <w:spacing w:after="0"/>
        <w:rPr>
          <w:sz w:val="20"/>
          <w:szCs w:val="20"/>
          <w:color w:val="auto"/>
        </w:rPr>
      </w:pPr>
      <w:r>
        <w:rPr>
          <w:rFonts w:ascii="Arial" w:cs="Arial" w:eastAsia="Arial" w:hAnsi="Arial"/>
          <w:sz w:val="14"/>
          <w:szCs w:val="14"/>
          <w:b w:val="1"/>
          <w:bCs w:val="1"/>
          <w:u w:val="single" w:color="auto"/>
          <w:color w:val="auto"/>
        </w:rPr>
        <w:t>Award Type</w:t>
      </w:r>
    </w:p>
    <w:p>
      <w:pPr>
        <w:spacing w:after="0" w:line="25" w:lineRule="exact"/>
        <w:rPr>
          <w:sz w:val="20"/>
          <w:szCs w:val="20"/>
          <w:color w:val="auto"/>
        </w:rPr>
      </w:pPr>
    </w:p>
    <w:p>
      <w:pPr>
        <w:ind w:left="4"/>
        <w:spacing w:after="0"/>
        <w:rPr>
          <w:sz w:val="20"/>
          <w:szCs w:val="20"/>
          <w:color w:val="auto"/>
        </w:rPr>
      </w:pPr>
      <w:r>
        <w:rPr>
          <w:rFonts w:ascii="Arial" w:cs="Arial" w:eastAsia="Arial" w:hAnsi="Arial"/>
          <w:sz w:val="15"/>
          <w:szCs w:val="15"/>
          <w:color w:val="auto"/>
        </w:rPr>
        <w:t>Performance-based restricted share units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4"/>
        <w:spacing w:after="0"/>
        <w:rPr>
          <w:sz w:val="20"/>
          <w:szCs w:val="20"/>
          <w:color w:val="auto"/>
        </w:rPr>
      </w:pPr>
      <w:r>
        <w:rPr>
          <w:rFonts w:ascii="Arial" w:cs="Arial" w:eastAsia="Arial" w:hAnsi="Arial"/>
          <w:sz w:val="18"/>
          <w:szCs w:val="18"/>
          <w:color w:val="auto"/>
        </w:rPr>
        <w:t>Time-based restricted share units</w:t>
      </w:r>
    </w:p>
    <w:p>
      <w:pPr>
        <w:spacing w:after="0" w:line="20" w:lineRule="exact"/>
        <w:rPr>
          <w:sz w:val="20"/>
          <w:szCs w:val="20"/>
          <w:color w:val="auto"/>
        </w:rPr>
      </w:pPr>
      <w:r>
        <w:rPr>
          <w:sz w:val="20"/>
          <w:szCs w:val="20"/>
          <w:color w:val="auto"/>
        </w:rPr>
        <w:br w:type="column"/>
      </w:r>
    </w:p>
    <w:p>
      <w:pPr>
        <w:spacing w:after="0" w:line="170" w:lineRule="exact"/>
        <w:rPr>
          <w:sz w:val="20"/>
          <w:szCs w:val="20"/>
          <w:color w:val="auto"/>
        </w:rPr>
      </w:pPr>
    </w:p>
    <w:p>
      <w:pPr>
        <w:jc w:val="center"/>
        <w:ind w:right="160"/>
        <w:spacing w:after="0"/>
        <w:rPr>
          <w:sz w:val="20"/>
          <w:szCs w:val="20"/>
          <w:color w:val="auto"/>
        </w:rPr>
      </w:pPr>
      <w:r>
        <w:rPr>
          <w:rFonts w:ascii="Arial" w:cs="Arial" w:eastAsia="Arial" w:hAnsi="Arial"/>
          <w:sz w:val="12"/>
          <w:szCs w:val="12"/>
          <w:b w:val="1"/>
          <w:bCs w:val="1"/>
          <w:color w:val="auto"/>
        </w:rPr>
        <w:t>2020 Allocation</w:t>
      </w:r>
    </w:p>
    <w:p>
      <w:pPr>
        <w:spacing w:after="0" w:line="22" w:lineRule="exact"/>
        <w:rPr>
          <w:sz w:val="20"/>
          <w:szCs w:val="20"/>
          <w:color w:val="auto"/>
        </w:rPr>
      </w:pPr>
    </w:p>
    <w:p>
      <w:pPr>
        <w:jc w:val="center"/>
        <w:ind w:right="160"/>
        <w:spacing w:after="0"/>
        <w:rPr>
          <w:sz w:val="20"/>
          <w:szCs w:val="20"/>
          <w:color w:val="auto"/>
        </w:rPr>
      </w:pPr>
      <w:r>
        <w:rPr>
          <w:rFonts w:ascii="Arial" w:cs="Arial" w:eastAsia="Arial" w:hAnsi="Arial"/>
          <w:sz w:val="14"/>
          <w:szCs w:val="14"/>
          <w:b w:val="1"/>
          <w:bCs w:val="1"/>
          <w:color w:val="auto"/>
        </w:rPr>
        <w:t>Percentage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-3100705</wp:posOffset>
            </wp:positionH>
            <wp:positionV relativeFrom="paragraph">
              <wp:posOffset>-635</wp:posOffset>
            </wp:positionV>
            <wp:extent cx="6995160" cy="69405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6995160" cy="694055"/>
                    </a:xfrm>
                    <a:prstGeom prst="rect">
                      <a:avLst/>
                    </a:prstGeom>
                    <a:noFill/>
                  </pic:spPr>
                </pic:pic>
              </a:graphicData>
            </a:graphic>
          </wp:anchor>
        </w:drawing>
      </w:r>
    </w:p>
    <w:p>
      <w:pPr>
        <w:jc w:val="right"/>
        <w:spacing w:after="0"/>
        <w:rPr>
          <w:sz w:val="20"/>
          <w:szCs w:val="20"/>
          <w:color w:val="auto"/>
        </w:rPr>
      </w:pPr>
      <w:r>
        <w:rPr>
          <w:rFonts w:ascii="Arial" w:cs="Arial" w:eastAsia="Arial" w:hAnsi="Arial"/>
          <w:sz w:val="18"/>
          <w:szCs w:val="18"/>
          <w:color w:val="auto"/>
        </w:rPr>
        <w:t>75%</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jc w:val="right"/>
        <w:spacing w:after="0"/>
        <w:rPr>
          <w:sz w:val="20"/>
          <w:szCs w:val="20"/>
          <w:color w:val="auto"/>
        </w:rPr>
      </w:pPr>
      <w:r>
        <w:rPr>
          <w:rFonts w:ascii="Arial" w:cs="Arial" w:eastAsia="Arial" w:hAnsi="Arial"/>
          <w:sz w:val="18"/>
          <w:szCs w:val="18"/>
          <w:color w:val="auto"/>
        </w:rPr>
        <w:t>25%</w:t>
      </w:r>
    </w:p>
    <w:p>
      <w:pPr>
        <w:spacing w:after="0" w:line="20" w:lineRule="exact"/>
        <w:rPr>
          <w:sz w:val="20"/>
          <w:szCs w:val="20"/>
          <w:color w:val="auto"/>
        </w:rPr>
      </w:pPr>
      <w:r>
        <w:rPr>
          <w:sz w:val="20"/>
          <w:szCs w:val="20"/>
          <w:color w:val="auto"/>
        </w:rPr>
        <w:br w:type="column"/>
      </w:r>
    </w:p>
    <w:p>
      <w:pPr>
        <w:spacing w:after="0" w:line="305" w:lineRule="exact"/>
        <w:rPr>
          <w:sz w:val="20"/>
          <w:szCs w:val="20"/>
          <w:color w:val="auto"/>
        </w:rPr>
      </w:pPr>
    </w:p>
    <w:p>
      <w:pPr>
        <w:ind w:left="1080"/>
        <w:spacing w:after="0"/>
        <w:rPr>
          <w:sz w:val="20"/>
          <w:szCs w:val="20"/>
          <w:color w:val="auto"/>
        </w:rPr>
      </w:pPr>
      <w:r>
        <w:rPr>
          <w:rFonts w:ascii="Arial" w:cs="Arial" w:eastAsia="Arial" w:hAnsi="Arial"/>
          <w:sz w:val="14"/>
          <w:szCs w:val="14"/>
          <w:b w:val="1"/>
          <w:bCs w:val="1"/>
          <w:color w:val="auto"/>
        </w:rPr>
        <w:t>2020 Alignment to Stockholder Interests</w:t>
      </w:r>
    </w:p>
    <w:p>
      <w:pPr>
        <w:spacing w:after="0" w:line="25" w:lineRule="exact"/>
        <w:rPr>
          <w:sz w:val="20"/>
          <w:szCs w:val="20"/>
          <w:color w:val="auto"/>
        </w:rPr>
      </w:pPr>
    </w:p>
    <w:p>
      <w:pPr>
        <w:ind w:right="160"/>
        <w:spacing w:after="0" w:line="253" w:lineRule="auto"/>
        <w:rPr>
          <w:sz w:val="20"/>
          <w:szCs w:val="20"/>
          <w:color w:val="auto"/>
        </w:rPr>
      </w:pPr>
      <w:r>
        <w:rPr>
          <w:rFonts w:ascii="Arial" w:cs="Arial" w:eastAsia="Arial" w:hAnsi="Arial"/>
          <w:sz w:val="18"/>
          <w:szCs w:val="18"/>
          <w:color w:val="auto"/>
        </w:rPr>
        <w:t>Payout depends on market condition based on our Total Shareholder Return performance relative to our peer group at the end of a three-year performance period. The value of the earned award depends on our stock price at the end of the performance period.</w:t>
      </w:r>
    </w:p>
    <w:p>
      <w:pPr>
        <w:spacing w:after="0" w:line="1" w:lineRule="exact"/>
        <w:rPr>
          <w:sz w:val="20"/>
          <w:szCs w:val="20"/>
          <w:color w:val="auto"/>
        </w:rPr>
      </w:pPr>
    </w:p>
    <w:p>
      <w:pPr>
        <w:ind w:right="500"/>
        <w:spacing w:after="0" w:line="260" w:lineRule="auto"/>
        <w:rPr>
          <w:sz w:val="20"/>
          <w:szCs w:val="20"/>
          <w:color w:val="auto"/>
        </w:rPr>
      </w:pPr>
      <w:r>
        <w:rPr>
          <w:rFonts w:ascii="Arial" w:cs="Arial" w:eastAsia="Arial" w:hAnsi="Arial"/>
          <w:sz w:val="18"/>
          <w:szCs w:val="18"/>
          <w:color w:val="auto"/>
        </w:rPr>
        <w:t>Value of award depends on our stock price at the time of vesting</w:t>
      </w:r>
    </w:p>
    <w:p>
      <w:pPr>
        <w:spacing w:after="0" w:line="185" w:lineRule="exact"/>
        <w:rPr>
          <w:sz w:val="20"/>
          <w:szCs w:val="20"/>
          <w:color w:val="auto"/>
        </w:rPr>
      </w:pPr>
    </w:p>
    <w:p>
      <w:pPr>
        <w:sectPr>
          <w:pgSz w:w="11900" w:h="16838" w:orient="portrait"/>
          <w:cols w:equalWidth="0" w:num="3">
            <w:col w:w="4164" w:space="720"/>
            <w:col w:w="1100" w:space="420"/>
            <w:col w:w="4580"/>
          </w:cols>
          <w:pgMar w:left="436" w:top="274" w:right="479" w:bottom="1440" w:gutter="0" w:footer="0" w:header="0"/>
          <w:type w:val="continuous"/>
        </w:sectPr>
      </w:pPr>
    </w:p>
    <w:p>
      <w:pPr>
        <w:ind w:left="4" w:firstLine="991"/>
        <w:spacing w:after="0" w:line="259" w:lineRule="auto"/>
        <w:rPr>
          <w:sz w:val="20"/>
          <w:szCs w:val="20"/>
          <w:color w:val="auto"/>
        </w:rPr>
      </w:pPr>
      <w:r>
        <w:rPr>
          <w:rFonts w:ascii="Arial" w:cs="Arial" w:eastAsia="Arial" w:hAnsi="Arial"/>
          <w:sz w:val="18"/>
          <w:szCs w:val="18"/>
          <w:color w:val="auto"/>
        </w:rPr>
        <w:t>Subject to the grantee’s continuous service through the performance period, the number of units that may be earned will be based on the Company’s Total Shareholder Return (TSR) relative to the Russell 2000 Index TSR over the performance period (the “Company’s Rank”). At the end of the three-year performance period, the Company’s Rank will be utilized to determine the percentage of the target units, as set forth in the following table:</w:t>
      </w:r>
    </w:p>
    <w:p>
      <w:pPr>
        <w:spacing w:after="0" w:line="205" w:lineRule="exact"/>
        <w:rPr>
          <w:sz w:val="20"/>
          <w:szCs w:val="20"/>
          <w:color w:val="auto"/>
        </w:rPr>
      </w:pPr>
    </w:p>
    <w:tbl>
      <w:tblPr>
        <w:tblLayout w:type="fixed"/>
        <w:tblInd w:w="1764" w:type="dxa"/>
        <w:tblCellMar>
          <w:top w:w="0" w:type="dxa"/>
          <w:left w:w="0" w:type="dxa"/>
          <w:bottom w:w="0" w:type="dxa"/>
          <w:right w:w="0" w:type="dxa"/>
        </w:tblCellMar>
      </w:tblPr>
      <w:tr>
        <w:trPr>
          <w:trHeight w:val="171"/>
        </w:trPr>
        <w:tc>
          <w:tcPr>
            <w:tcW w:w="218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w w:val="92"/>
              </w:rPr>
              <w:t>Performance Goal Achievement (1)</w:t>
            </w:r>
          </w:p>
        </w:tc>
        <w:tc>
          <w:tcPr>
            <w:tcW w:w="2760" w:type="dxa"/>
            <w:vAlign w:val="bottom"/>
          </w:tcPr>
          <w:p>
            <w:pPr>
              <w:spacing w:after="0"/>
              <w:rPr>
                <w:sz w:val="14"/>
                <w:szCs w:val="14"/>
                <w:color w:val="auto"/>
              </w:rPr>
            </w:pPr>
          </w:p>
        </w:tc>
        <w:tc>
          <w:tcPr>
            <w:tcW w:w="254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w w:val="92"/>
              </w:rPr>
              <w:t>Percentage of Target Units Earned (2)</w:t>
            </w:r>
          </w:p>
        </w:tc>
        <w:tc>
          <w:tcPr>
            <w:tcW w:w="0" w:type="dxa"/>
            <w:vAlign w:val="bottom"/>
          </w:tcPr>
          <w:p>
            <w:pPr>
              <w:spacing w:after="0"/>
              <w:rPr>
                <w:sz w:val="1"/>
                <w:szCs w:val="1"/>
                <w:color w:val="auto"/>
              </w:rPr>
            </w:pPr>
          </w:p>
        </w:tc>
      </w:tr>
      <w:tr>
        <w:trPr>
          <w:trHeight w:val="20"/>
        </w:trPr>
        <w:tc>
          <w:tcPr>
            <w:tcW w:w="4940" w:type="dxa"/>
            <w:vAlign w:val="bottom"/>
            <w:gridSpan w:val="2"/>
            <w:vMerge w:val="restart"/>
            <w:shd w:val="clear" w:color="auto" w:fill="CCEEFF"/>
          </w:tcPr>
          <w:p>
            <w:pPr>
              <w:spacing w:after="0"/>
              <w:rPr>
                <w:sz w:val="20"/>
                <w:szCs w:val="20"/>
                <w:color w:val="auto"/>
              </w:rPr>
            </w:pPr>
            <w:r>
              <w:rPr>
                <w:rFonts w:ascii="Arial" w:cs="Arial" w:eastAsia="Arial" w:hAnsi="Arial"/>
                <w:sz w:val="18"/>
                <w:szCs w:val="18"/>
                <w:color w:val="auto"/>
              </w:rPr>
              <w:t>At or above the 75th percentile</w:t>
            </w:r>
          </w:p>
        </w:tc>
        <w:tc>
          <w:tcPr>
            <w:tcW w:w="234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3"/>
        </w:trPr>
        <w:tc>
          <w:tcPr>
            <w:tcW w:w="4940" w:type="dxa"/>
            <w:vAlign w:val="bottom"/>
            <w:gridSpan w:val="2"/>
            <w:vMerge w:val="continue"/>
            <w:shd w:val="clear" w:color="auto" w:fill="CCEEFF"/>
          </w:tcPr>
          <w:p>
            <w:pPr>
              <w:spacing w:after="0"/>
              <w:rPr>
                <w:sz w:val="17"/>
                <w:szCs w:val="17"/>
                <w:color w:val="auto"/>
              </w:rPr>
            </w:pPr>
          </w:p>
        </w:tc>
        <w:tc>
          <w:tcPr>
            <w:tcW w:w="2540" w:type="dxa"/>
            <w:vAlign w:val="bottom"/>
            <w:gridSpan w:val="2"/>
            <w:shd w:val="clear" w:color="auto" w:fill="CCEEFF"/>
          </w:tcPr>
          <w:p>
            <w:pPr>
              <w:jc w:val="right"/>
              <w:ind w:right="40"/>
              <w:spacing w:after="0" w:line="203" w:lineRule="exact"/>
              <w:rPr>
                <w:sz w:val="20"/>
                <w:szCs w:val="20"/>
                <w:color w:val="auto"/>
              </w:rPr>
            </w:pPr>
            <w:r>
              <w:rPr>
                <w:rFonts w:ascii="Arial" w:cs="Arial" w:eastAsia="Arial" w:hAnsi="Arial"/>
                <w:sz w:val="18"/>
                <w:szCs w:val="18"/>
                <w:color w:val="auto"/>
              </w:rPr>
              <w:t>200%</w:t>
            </w:r>
          </w:p>
        </w:tc>
        <w:tc>
          <w:tcPr>
            <w:tcW w:w="0" w:type="dxa"/>
            <w:vAlign w:val="bottom"/>
          </w:tcPr>
          <w:p>
            <w:pPr>
              <w:spacing w:after="0"/>
              <w:rPr>
                <w:sz w:val="1"/>
                <w:szCs w:val="1"/>
                <w:color w:val="auto"/>
              </w:rPr>
            </w:pPr>
          </w:p>
        </w:tc>
      </w:tr>
      <w:tr>
        <w:trPr>
          <w:trHeight w:val="216"/>
        </w:trPr>
        <w:tc>
          <w:tcPr>
            <w:tcW w:w="4940" w:type="dxa"/>
            <w:vAlign w:val="bottom"/>
            <w:gridSpan w:val="2"/>
          </w:tcPr>
          <w:p>
            <w:pPr>
              <w:spacing w:after="0"/>
              <w:rPr>
                <w:sz w:val="20"/>
                <w:szCs w:val="20"/>
                <w:color w:val="auto"/>
              </w:rPr>
            </w:pPr>
            <w:r>
              <w:rPr>
                <w:rFonts w:ascii="Arial" w:cs="Arial" w:eastAsia="Arial" w:hAnsi="Arial"/>
                <w:sz w:val="18"/>
                <w:szCs w:val="18"/>
                <w:color w:val="auto"/>
              </w:rPr>
              <w:t>At the 50th percentile</w:t>
            </w:r>
          </w:p>
        </w:tc>
        <w:tc>
          <w:tcPr>
            <w:tcW w:w="2540" w:type="dxa"/>
            <w:vAlign w:val="bottom"/>
            <w:gridSpan w:val="2"/>
          </w:tcPr>
          <w:p>
            <w:pPr>
              <w:jc w:val="right"/>
              <w:ind w:right="40"/>
              <w:spacing w:after="0"/>
              <w:rPr>
                <w:sz w:val="20"/>
                <w:szCs w:val="20"/>
                <w:color w:val="auto"/>
              </w:rPr>
            </w:pPr>
            <w:r>
              <w:rPr>
                <w:rFonts w:ascii="Arial" w:cs="Arial" w:eastAsia="Arial" w:hAnsi="Arial"/>
                <w:sz w:val="18"/>
                <w:szCs w:val="18"/>
                <w:color w:val="auto"/>
              </w:rPr>
              <w:t>100%</w:t>
            </w:r>
          </w:p>
        </w:tc>
        <w:tc>
          <w:tcPr>
            <w:tcW w:w="0" w:type="dxa"/>
            <w:vAlign w:val="bottom"/>
          </w:tcPr>
          <w:p>
            <w:pPr>
              <w:spacing w:after="0"/>
              <w:rPr>
                <w:sz w:val="1"/>
                <w:szCs w:val="1"/>
                <w:color w:val="auto"/>
              </w:rPr>
            </w:pPr>
          </w:p>
        </w:tc>
      </w:tr>
      <w:tr>
        <w:trPr>
          <w:trHeight w:val="216"/>
        </w:trPr>
        <w:tc>
          <w:tcPr>
            <w:tcW w:w="49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At the 25th percentile</w:t>
            </w:r>
          </w:p>
        </w:tc>
        <w:tc>
          <w:tcPr>
            <w:tcW w:w="25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25%</w:t>
            </w:r>
          </w:p>
        </w:tc>
        <w:tc>
          <w:tcPr>
            <w:tcW w:w="0" w:type="dxa"/>
            <w:vAlign w:val="bottom"/>
          </w:tcPr>
          <w:p>
            <w:pPr>
              <w:spacing w:after="0"/>
              <w:rPr>
                <w:sz w:val="1"/>
                <w:szCs w:val="1"/>
                <w:color w:val="auto"/>
              </w:rPr>
            </w:pPr>
          </w:p>
        </w:tc>
      </w:tr>
      <w:tr>
        <w:trPr>
          <w:trHeight w:val="230"/>
        </w:trPr>
        <w:tc>
          <w:tcPr>
            <w:tcW w:w="4940" w:type="dxa"/>
            <w:vAlign w:val="bottom"/>
            <w:gridSpan w:val="2"/>
          </w:tcPr>
          <w:p>
            <w:pPr>
              <w:spacing w:after="0"/>
              <w:rPr>
                <w:sz w:val="20"/>
                <w:szCs w:val="20"/>
                <w:color w:val="auto"/>
              </w:rPr>
            </w:pPr>
            <w:r>
              <w:rPr>
                <w:rFonts w:ascii="Arial" w:cs="Arial" w:eastAsia="Arial" w:hAnsi="Arial"/>
                <w:sz w:val="18"/>
                <w:szCs w:val="18"/>
                <w:color w:val="auto"/>
              </w:rPr>
              <w:t>Less than the 25th percentile</w:t>
            </w:r>
          </w:p>
        </w:tc>
        <w:tc>
          <w:tcPr>
            <w:tcW w:w="2540" w:type="dxa"/>
            <w:vAlign w:val="bottom"/>
            <w:gridSpan w:val="2"/>
          </w:tcPr>
          <w:p>
            <w:pPr>
              <w:jc w:val="right"/>
              <w:ind w:right="40"/>
              <w:spacing w:after="0"/>
              <w:rPr>
                <w:sz w:val="20"/>
                <w:szCs w:val="20"/>
                <w:color w:val="auto"/>
              </w:rPr>
            </w:pPr>
            <w:r>
              <w:rPr>
                <w:rFonts w:ascii="Arial" w:cs="Arial" w:eastAsia="Arial" w:hAnsi="Arial"/>
                <w:sz w:val="18"/>
                <w:szCs w:val="18"/>
                <w:color w:val="auto"/>
              </w:rPr>
              <w:t>0%</w:t>
            </w:r>
          </w:p>
        </w:tc>
        <w:tc>
          <w:tcPr>
            <w:tcW w:w="0" w:type="dxa"/>
            <w:vAlign w:val="bottom"/>
          </w:tcPr>
          <w:p>
            <w:pPr>
              <w:spacing w:after="0"/>
              <w:rPr>
                <w:sz w:val="1"/>
                <w:szCs w:val="1"/>
                <w:color w:val="auto"/>
              </w:rPr>
            </w:pPr>
          </w:p>
        </w:tc>
      </w:tr>
    </w:tbl>
    <w:p>
      <w:pPr>
        <w:spacing w:after="0" w:line="214" w:lineRule="exact"/>
        <w:rPr>
          <w:sz w:val="20"/>
          <w:szCs w:val="20"/>
          <w:color w:val="auto"/>
        </w:rPr>
      </w:pPr>
    </w:p>
    <w:p>
      <w:pPr>
        <w:ind w:left="424" w:right="120" w:hanging="424"/>
        <w:spacing w:after="0" w:line="254" w:lineRule="auto"/>
        <w:tabs>
          <w:tab w:leader="none" w:pos="424" w:val="left"/>
        </w:tabs>
        <w:numPr>
          <w:ilvl w:val="0"/>
          <w:numId w:val="57"/>
        </w:numPr>
        <w:rPr>
          <w:rFonts w:ascii="Arial" w:cs="Arial" w:eastAsia="Arial" w:hAnsi="Arial"/>
          <w:sz w:val="18"/>
          <w:szCs w:val="18"/>
          <w:color w:val="auto"/>
        </w:rPr>
      </w:pPr>
      <w:r>
        <w:rPr>
          <w:rFonts w:ascii="Arial" w:cs="Arial" w:eastAsia="Arial" w:hAnsi="Arial"/>
          <w:sz w:val="18"/>
          <w:szCs w:val="18"/>
          <w:color w:val="auto"/>
        </w:rPr>
        <w:t>The PSUs granted in 2020 for the 2020-2023 performance period have a 3-year cliff vesting based on the Company’s TSR measured as a percentile ranking in comparison with the peer group. The TSR is calculated using the average closing prices of the Company’s common stock during the 30 trading days prior to and including the first day of the performance period, reinvested dividends during the performance period and the average closing prices during the final 30 trading days of the performance period.</w:t>
      </w:r>
    </w:p>
    <w:p>
      <w:pPr>
        <w:spacing w:after="0" w:line="2" w:lineRule="exact"/>
        <w:rPr>
          <w:rFonts w:ascii="Arial" w:cs="Arial" w:eastAsia="Arial" w:hAnsi="Arial"/>
          <w:sz w:val="18"/>
          <w:szCs w:val="18"/>
          <w:color w:val="auto"/>
        </w:rPr>
      </w:pPr>
    </w:p>
    <w:p>
      <w:pPr>
        <w:ind w:left="424" w:right="540" w:hanging="424"/>
        <w:spacing w:after="0" w:line="260" w:lineRule="auto"/>
        <w:tabs>
          <w:tab w:leader="none" w:pos="424" w:val="left"/>
        </w:tabs>
        <w:numPr>
          <w:ilvl w:val="0"/>
          <w:numId w:val="57"/>
        </w:numPr>
        <w:rPr>
          <w:rFonts w:ascii="Arial" w:cs="Arial" w:eastAsia="Arial" w:hAnsi="Arial"/>
          <w:sz w:val="18"/>
          <w:szCs w:val="18"/>
          <w:color w:val="auto"/>
        </w:rPr>
      </w:pPr>
      <w:r>
        <w:rPr>
          <w:rFonts w:ascii="Arial" w:cs="Arial" w:eastAsia="Arial" w:hAnsi="Arial"/>
          <w:sz w:val="18"/>
          <w:szCs w:val="18"/>
          <w:color w:val="auto"/>
        </w:rPr>
        <w:t>The percentage of target units earned is limited to 100% if our TSR over the performance period is negative. As of December 31, 2020, the estimated target payout is at maximum performance level of 200%.</w:t>
      </w:r>
    </w:p>
    <w:p>
      <w:pPr>
        <w:spacing w:after="0" w:line="118"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73</w:t>
      </w:r>
    </w:p>
    <w:p>
      <w:pPr>
        <w:sectPr>
          <w:pgSz w:w="11900" w:h="16838" w:orient="portrait"/>
          <w:cols w:equalWidth="0" w:num="1">
            <w:col w:w="10984"/>
          </w:cols>
          <w:pgMar w:left="436" w:top="274" w:right="479" w:bottom="1440" w:gutter="0" w:footer="0" w:header="0"/>
          <w:type w:val="continuous"/>
        </w:sectPr>
      </w:pPr>
    </w:p>
    <w:bookmarkStart w:id="87" w:name="page88"/>
    <w:bookmarkEnd w:id="87"/>
    <w:p>
      <w:pPr>
        <w:spacing w:after="0"/>
        <w:rPr>
          <w:sz w:val="20"/>
          <w:szCs w:val="20"/>
          <w:color w:val="auto"/>
        </w:rPr>
      </w:pPr>
      <w:r>
        <w:rPr>
          <w:rFonts w:ascii="Arial" w:cs="Arial" w:eastAsia="Arial" w:hAnsi="Arial"/>
          <w:sz w:val="18"/>
          <w:szCs w:val="18"/>
          <w:i w:val="1"/>
          <w:i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7174865" cy="38735"/>
                    </a:xfrm>
                    <a:prstGeom prst="rect">
                      <a:avLst/>
                    </a:prstGeom>
                    <a:noFill/>
                  </pic:spPr>
                </pic:pic>
              </a:graphicData>
            </a:graphic>
          </wp:anchor>
        </w:drawing>
        <w:t>Stock Options</w:t>
      </w:r>
    </w:p>
    <w:p>
      <w:pPr>
        <w:spacing w:after="0" w:line="117" w:lineRule="exact"/>
        <w:rPr>
          <w:sz w:val="20"/>
          <w:szCs w:val="20"/>
          <w:color w:val="auto"/>
        </w:rPr>
      </w:pPr>
    </w:p>
    <w:p>
      <w:pPr>
        <w:ind w:firstLine="991"/>
        <w:spacing w:after="0" w:line="285" w:lineRule="auto"/>
        <w:rPr>
          <w:sz w:val="20"/>
          <w:szCs w:val="20"/>
          <w:color w:val="auto"/>
        </w:rPr>
      </w:pPr>
      <w:r>
        <w:rPr>
          <w:rFonts w:ascii="Arial" w:cs="Arial" w:eastAsia="Arial" w:hAnsi="Arial"/>
          <w:sz w:val="16"/>
          <w:szCs w:val="16"/>
          <w:color w:val="auto"/>
        </w:rPr>
        <w:t>The exercise price of all share options granted under the 2019 Plan will be at least equal to 100% of the fair market value of our common shares on the date of grant. If, however, incentive share options are granted to an employee who owns shares possessing more than 10% of the voting power of all classes of our common shares or the shares of any parent or subsidiary, the exercise price of any incentive share option granted must equal at least 110% of the fair market value on the grant date and the maximum term of these incentive share options must not exceed five years. Share options vest in increments of 25% per year beginning approximately one year after an option’s grant date. The maximum term of all other awards under the</w:t>
      </w:r>
    </w:p>
    <w:p>
      <w:pPr>
        <w:spacing w:after="0" w:line="2" w:lineRule="exact"/>
        <w:rPr>
          <w:sz w:val="20"/>
          <w:szCs w:val="20"/>
          <w:color w:val="auto"/>
        </w:rPr>
      </w:pPr>
    </w:p>
    <w:p>
      <w:pPr>
        <w:ind w:right="160"/>
        <w:spacing w:after="0" w:line="260" w:lineRule="auto"/>
        <w:rPr>
          <w:sz w:val="20"/>
          <w:szCs w:val="20"/>
          <w:color w:val="auto"/>
        </w:rPr>
      </w:pPr>
      <w:r>
        <w:rPr>
          <w:rFonts w:ascii="Arial" w:cs="Arial" w:eastAsia="Arial" w:hAnsi="Arial"/>
          <w:sz w:val="18"/>
          <w:szCs w:val="18"/>
          <w:color w:val="auto"/>
        </w:rPr>
        <w:t>2019 Plan will be ten years. The plan administrator will determine the term and exercise, or purchase price of any other awards granted under the 2019 Plan. There were no stock options granted during 2020.</w:t>
      </w:r>
    </w:p>
    <w:p>
      <w:pPr>
        <w:spacing w:after="0" w:line="29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Transferability of Awards</w:t>
      </w:r>
    </w:p>
    <w:p>
      <w:pPr>
        <w:spacing w:after="0" w:line="117" w:lineRule="exact"/>
        <w:rPr>
          <w:sz w:val="20"/>
          <w:szCs w:val="20"/>
          <w:color w:val="auto"/>
        </w:rPr>
      </w:pPr>
    </w:p>
    <w:p>
      <w:pPr>
        <w:ind w:right="280" w:firstLine="440"/>
        <w:spacing w:after="0" w:line="259" w:lineRule="auto"/>
        <w:rPr>
          <w:sz w:val="20"/>
          <w:szCs w:val="20"/>
          <w:color w:val="auto"/>
        </w:rPr>
      </w:pPr>
      <w:r>
        <w:rPr>
          <w:rFonts w:ascii="Arial" w:cs="Arial" w:eastAsia="Arial" w:hAnsi="Arial"/>
          <w:sz w:val="18"/>
          <w:szCs w:val="18"/>
          <w:color w:val="auto"/>
        </w:rPr>
        <w:t>Under the 2019 Plan, incentive share options may not be sold, pledged, assigned, hypothecated, transferred or disposed of in any manner other than by will or by the laws of descent or distribution and may be exercised during the lifetime of the participant only by the participant. Other awards shall be transferable by will or by the laws of descent or distribution and to the extent provided in the award agreement. The 2019 Plan permits the designation of beneficiaries by holders of awards, including incentive share options.</w:t>
      </w:r>
    </w:p>
    <w:p>
      <w:pPr>
        <w:spacing w:after="0" w:line="187" w:lineRule="exact"/>
        <w:rPr>
          <w:sz w:val="20"/>
          <w:szCs w:val="20"/>
          <w:color w:val="auto"/>
        </w:rPr>
      </w:pPr>
    </w:p>
    <w:p>
      <w:pPr>
        <w:ind w:right="60" w:firstLine="440"/>
        <w:spacing w:after="0" w:line="272" w:lineRule="auto"/>
        <w:rPr>
          <w:sz w:val="20"/>
          <w:szCs w:val="20"/>
          <w:color w:val="auto"/>
        </w:rPr>
      </w:pPr>
      <w:r>
        <w:rPr>
          <w:rFonts w:ascii="Arial" w:cs="Arial" w:eastAsia="Arial" w:hAnsi="Arial"/>
          <w:sz w:val="17"/>
          <w:szCs w:val="17"/>
          <w:color w:val="auto"/>
        </w:rPr>
        <w:t>In the event a participant in the 2019 Plan terminates employment or is terminated by us (or by our parent or subsidiary) without cause, any options which have become exercisable prior to the time of termination will remain exercisable for three months from the date of termination (unless a shorter or longer period of time is determined by the plan administrator). In the event a participant in the 2019 Plan is terminated by us (or by our parent or subsidiary) for cause, any options which have become exercisable prior to the time of termination will immediately terminate. If termination was caused by death or disability, any options which have become exercisable prior to the time of termination, will remain exercisable for twelve months from the date of termination (unless a shorter or longer period of time is determined by the plan administrator). Unless an individual award agreement otherwise provides, all vesting of all other awards will generally terminate upon the date of termination.</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Adjustments for Capital Structure Changes</w:t>
      </w:r>
    </w:p>
    <w:p>
      <w:pPr>
        <w:spacing w:after="0" w:line="117" w:lineRule="exact"/>
        <w:rPr>
          <w:sz w:val="20"/>
          <w:szCs w:val="20"/>
          <w:color w:val="auto"/>
        </w:rPr>
      </w:pPr>
    </w:p>
    <w:p>
      <w:pPr>
        <w:jc w:val="both"/>
        <w:ind w:right="20" w:firstLine="440"/>
        <w:spacing w:after="0" w:line="257" w:lineRule="auto"/>
        <w:rPr>
          <w:sz w:val="20"/>
          <w:szCs w:val="20"/>
          <w:color w:val="auto"/>
        </w:rPr>
      </w:pPr>
      <w:r>
        <w:rPr>
          <w:rFonts w:ascii="Arial" w:cs="Arial" w:eastAsia="Arial" w:hAnsi="Arial"/>
          <w:sz w:val="18"/>
          <w:szCs w:val="18"/>
          <w:color w:val="auto"/>
        </w:rPr>
        <w:t>Subject to any required action by our shareholders, the number of common shares covered by outstanding awards, the number of common shares that have been authorized for issuance under the 2019 Plan, the exercise or purchase price of each outstanding award, the maximum number of common shares that may be granted subject to awards to a participant in any calendar year, and the like, shall be proportionally adjusted by the plan administrator in the event of any increase or decrease in the number of issued common shares resulting from certain changes in our capital structure as described in the 2019 Plan.</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Change in Control</w:t>
      </w:r>
    </w:p>
    <w:p>
      <w:pPr>
        <w:spacing w:after="0" w:line="117" w:lineRule="exact"/>
        <w:rPr>
          <w:sz w:val="20"/>
          <w:szCs w:val="20"/>
          <w:color w:val="auto"/>
        </w:rPr>
      </w:pPr>
    </w:p>
    <w:p>
      <w:pPr>
        <w:ind w:right="80" w:firstLine="440"/>
        <w:spacing w:after="0" w:line="272" w:lineRule="auto"/>
        <w:rPr>
          <w:sz w:val="20"/>
          <w:szCs w:val="20"/>
          <w:color w:val="auto"/>
        </w:rPr>
      </w:pPr>
      <w:r>
        <w:rPr>
          <w:rFonts w:ascii="Arial" w:cs="Arial" w:eastAsia="Arial" w:hAnsi="Arial"/>
          <w:sz w:val="17"/>
          <w:szCs w:val="17"/>
          <w:color w:val="auto"/>
        </w:rPr>
        <w:t>In the event of a corporate transaction or a change in control of Textainer Group Holdings Limited, all outstanding awards under the 2019 Plan will terminate unless the acquirer assumes or replaces such awards. In addition, and except as otherwise provided in an individual award agreement, assumed or replaced awards will automatically become fully vested if a participant is terminated by the acquirer without cause within twelve months after a corporate transaction. In the event of a corporate transaction where the acquirer does not assume or replace awards granted under the 2019 Plan, all of these awards become fully vested immediately prior to the consummation of the corporate transaction. In the event of a change in control and except as otherwise provided in an individual award agreement, outstanding awards will automatically become fully vested if a participant is terminated by the acquirer without cause within twelve months after such change in control.</w:t>
      </w:r>
    </w:p>
    <w:p>
      <w:pPr>
        <w:spacing w:after="0" w:line="17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Under the 2019 Plan, a “corporate transaction” is generally defined as:</w:t>
      </w:r>
    </w:p>
    <w:p>
      <w:pPr>
        <w:spacing w:after="0" w:line="131" w:lineRule="exact"/>
        <w:rPr>
          <w:sz w:val="20"/>
          <w:szCs w:val="20"/>
          <w:color w:val="auto"/>
        </w:rPr>
      </w:pPr>
    </w:p>
    <w:p>
      <w:pPr>
        <w:ind w:left="960" w:hanging="532"/>
        <w:spacing w:after="0"/>
        <w:tabs>
          <w:tab w:leader="none" w:pos="960" w:val="left"/>
        </w:tabs>
        <w:numPr>
          <w:ilvl w:val="0"/>
          <w:numId w:val="58"/>
        </w:numPr>
        <w:rPr>
          <w:rFonts w:ascii="Arial" w:cs="Arial" w:eastAsia="Arial" w:hAnsi="Arial"/>
          <w:sz w:val="18"/>
          <w:szCs w:val="18"/>
          <w:color w:val="auto"/>
        </w:rPr>
      </w:pPr>
      <w:r>
        <w:rPr>
          <w:rFonts w:ascii="Arial" w:cs="Arial" w:eastAsia="Arial" w:hAnsi="Arial"/>
          <w:sz w:val="18"/>
          <w:szCs w:val="18"/>
          <w:color w:val="auto"/>
        </w:rPr>
        <w:t>acquisition of 50% or more of the common shares by any individual or entity including by tender offer;</w:t>
      </w:r>
    </w:p>
    <w:p>
      <w:pPr>
        <w:spacing w:after="0" w:line="130" w:lineRule="exact"/>
        <w:rPr>
          <w:rFonts w:ascii="Arial" w:cs="Arial" w:eastAsia="Arial" w:hAnsi="Arial"/>
          <w:sz w:val="18"/>
          <w:szCs w:val="18"/>
          <w:color w:val="auto"/>
        </w:rPr>
      </w:pPr>
    </w:p>
    <w:p>
      <w:pPr>
        <w:ind w:left="5420" w:right="1580" w:hanging="4992"/>
        <w:spacing w:after="0" w:line="449" w:lineRule="auto"/>
        <w:tabs>
          <w:tab w:leader="none" w:pos="974" w:val="left"/>
        </w:tabs>
        <w:numPr>
          <w:ilvl w:val="0"/>
          <w:numId w:val="58"/>
        </w:numPr>
        <w:rPr>
          <w:rFonts w:ascii="Arial" w:cs="Arial" w:eastAsia="Arial" w:hAnsi="Arial"/>
          <w:sz w:val="18"/>
          <w:szCs w:val="18"/>
          <w:color w:val="auto"/>
        </w:rPr>
      </w:pPr>
      <w:r>
        <w:rPr>
          <w:rFonts w:ascii="Arial" w:cs="Arial" w:eastAsia="Arial" w:hAnsi="Arial"/>
          <w:sz w:val="18"/>
          <w:szCs w:val="18"/>
          <w:color w:val="auto"/>
        </w:rPr>
        <w:t>a reverse merger or amalgamation in which 40% or more of the common shares is acquired by an individual or entity; 74</w:t>
      </w:r>
    </w:p>
    <w:p>
      <w:pPr>
        <w:sectPr>
          <w:pgSz w:w="11900" w:h="16838" w:orient="portrait"/>
          <w:cols w:equalWidth="0" w:num="1">
            <w:col w:w="11020"/>
          </w:cols>
          <w:pgMar w:left="440" w:top="274" w:right="439" w:bottom="1440" w:gutter="0" w:footer="0" w:header="0"/>
        </w:sectPr>
      </w:pPr>
    </w:p>
    <w:bookmarkStart w:id="88" w:name="page89"/>
    <w:bookmarkEnd w:id="88"/>
    <w:p>
      <w:pPr>
        <w:ind w:left="960" w:hanging="532"/>
        <w:spacing w:after="0"/>
        <w:tabs>
          <w:tab w:leader="none" w:pos="960" w:val="left"/>
        </w:tabs>
        <w:numPr>
          <w:ilvl w:val="0"/>
          <w:numId w:val="59"/>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 sale, transfer or other disposition of all or substantially all of the assets of Textainer Group Holdings Limited;</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59"/>
        </w:numPr>
        <w:rPr>
          <w:rFonts w:ascii="Arial" w:cs="Arial" w:eastAsia="Arial" w:hAnsi="Arial"/>
          <w:sz w:val="18"/>
          <w:szCs w:val="18"/>
          <w:color w:val="auto"/>
        </w:rPr>
      </w:pPr>
      <w:r>
        <w:rPr>
          <w:rFonts w:ascii="Arial" w:cs="Arial" w:eastAsia="Arial" w:hAnsi="Arial"/>
          <w:sz w:val="18"/>
          <w:szCs w:val="18"/>
          <w:color w:val="auto"/>
        </w:rPr>
        <w:t>a merger, amalgamation or consolidation in which Textainer Group Holdings Limited is not the surviving entity; or</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59"/>
        </w:numPr>
        <w:rPr>
          <w:rFonts w:ascii="Arial" w:cs="Arial" w:eastAsia="Arial" w:hAnsi="Arial"/>
          <w:sz w:val="18"/>
          <w:szCs w:val="18"/>
          <w:color w:val="auto"/>
        </w:rPr>
      </w:pPr>
      <w:r>
        <w:rPr>
          <w:rFonts w:ascii="Arial" w:cs="Arial" w:eastAsia="Arial" w:hAnsi="Arial"/>
          <w:sz w:val="18"/>
          <w:szCs w:val="18"/>
          <w:color w:val="auto"/>
        </w:rPr>
        <w:t>a complete liquidation or dissolution.</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Under the 2019 Plan, a “change in control” is generally defined as:</w:t>
      </w:r>
    </w:p>
    <w:p>
      <w:pPr>
        <w:spacing w:after="0" w:line="131" w:lineRule="exact"/>
        <w:rPr>
          <w:sz w:val="20"/>
          <w:szCs w:val="20"/>
          <w:color w:val="auto"/>
        </w:rPr>
      </w:pPr>
    </w:p>
    <w:p>
      <w:pPr>
        <w:ind w:left="960" w:right="100" w:hanging="532"/>
        <w:spacing w:after="0" w:line="277" w:lineRule="auto"/>
        <w:tabs>
          <w:tab w:leader="none" w:pos="960" w:val="left"/>
        </w:tabs>
        <w:numPr>
          <w:ilvl w:val="0"/>
          <w:numId w:val="60"/>
        </w:numPr>
        <w:rPr>
          <w:rFonts w:ascii="Arial" w:cs="Arial" w:eastAsia="Arial" w:hAnsi="Arial"/>
          <w:sz w:val="18"/>
          <w:szCs w:val="18"/>
          <w:color w:val="auto"/>
        </w:rPr>
      </w:pPr>
      <w:r>
        <w:rPr>
          <w:rFonts w:ascii="Arial" w:cs="Arial" w:eastAsia="Arial" w:hAnsi="Arial"/>
          <w:sz w:val="18"/>
          <w:szCs w:val="18"/>
          <w:color w:val="auto"/>
        </w:rPr>
        <w:t>acquisition of 50% or more of the common shares by any individual or entity which a majority of our board of directors (who have served on the board for at least 12 months) do not recommend that our shareholders accept, or</w:t>
      </w:r>
    </w:p>
    <w:p>
      <w:pPr>
        <w:spacing w:after="0" w:line="75" w:lineRule="exact"/>
        <w:rPr>
          <w:rFonts w:ascii="Arial" w:cs="Arial" w:eastAsia="Arial" w:hAnsi="Arial"/>
          <w:sz w:val="18"/>
          <w:szCs w:val="18"/>
          <w:color w:val="auto"/>
        </w:rPr>
      </w:pPr>
    </w:p>
    <w:p>
      <w:pPr>
        <w:ind w:left="960" w:hanging="532"/>
        <w:spacing w:after="0"/>
        <w:tabs>
          <w:tab w:leader="none" w:pos="960" w:val="left"/>
        </w:tabs>
        <w:numPr>
          <w:ilvl w:val="0"/>
          <w:numId w:val="60"/>
        </w:numPr>
        <w:rPr>
          <w:rFonts w:ascii="Arial" w:cs="Arial" w:eastAsia="Arial" w:hAnsi="Arial"/>
          <w:sz w:val="18"/>
          <w:szCs w:val="18"/>
          <w:color w:val="auto"/>
        </w:rPr>
      </w:pPr>
      <w:r>
        <w:rPr>
          <w:rFonts w:ascii="Arial" w:cs="Arial" w:eastAsia="Arial" w:hAnsi="Arial"/>
          <w:sz w:val="18"/>
          <w:szCs w:val="18"/>
          <w:color w:val="auto"/>
        </w:rPr>
        <w:t>a change in the composition of the board of directors as a result of contested elections over a period of 12 months or less.</w:t>
      </w:r>
    </w:p>
    <w:p>
      <w:pPr>
        <w:spacing w:after="0" w:line="33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Termination of the Plan</w:t>
      </w:r>
    </w:p>
    <w:p>
      <w:pPr>
        <w:spacing w:after="0" w:line="117" w:lineRule="exact"/>
        <w:rPr>
          <w:sz w:val="20"/>
          <w:szCs w:val="20"/>
          <w:color w:val="auto"/>
        </w:rPr>
      </w:pPr>
    </w:p>
    <w:p>
      <w:pPr>
        <w:ind w:left="440"/>
        <w:spacing w:after="0"/>
        <w:rPr>
          <w:sz w:val="20"/>
          <w:szCs w:val="20"/>
          <w:color w:val="auto"/>
        </w:rPr>
      </w:pPr>
      <w:r>
        <w:rPr>
          <w:rFonts w:ascii="Arial" w:cs="Arial" w:eastAsia="Arial" w:hAnsi="Arial"/>
          <w:sz w:val="16"/>
          <w:szCs w:val="16"/>
          <w:color w:val="auto"/>
        </w:rPr>
        <w:t>Unless terminated sooner, the 2019 Plan will automatically terminate in 2029. The board of directors will have authority to amend or terminate the</w:t>
      </w:r>
    </w:p>
    <w:p>
      <w:pPr>
        <w:spacing w:after="0" w:line="46" w:lineRule="exact"/>
        <w:rPr>
          <w:sz w:val="20"/>
          <w:szCs w:val="20"/>
          <w:color w:val="auto"/>
        </w:rPr>
      </w:pPr>
    </w:p>
    <w:p>
      <w:pPr>
        <w:ind w:right="260"/>
        <w:spacing w:after="0" w:line="302" w:lineRule="auto"/>
        <w:rPr>
          <w:sz w:val="20"/>
          <w:szCs w:val="20"/>
          <w:color w:val="auto"/>
        </w:rPr>
      </w:pPr>
      <w:r>
        <w:rPr>
          <w:rFonts w:ascii="Arial" w:cs="Arial" w:eastAsia="Arial" w:hAnsi="Arial"/>
          <w:sz w:val="16"/>
          <w:szCs w:val="16"/>
          <w:color w:val="auto"/>
        </w:rPr>
        <w:t>2019 Plan. To the extent necessary to comply with applicable provisions of federal securities laws, state corporate and securities laws, the Code, the rules of any applicable stock exchange or national market system, and the rules of any non-U.S. jurisdiction applicable to awards granted to residents therein, we will obtain shareholder approval of any such amendment to the 2019 Plan in such a manner and to such a degree as required.</w:t>
      </w:r>
    </w:p>
    <w:p>
      <w:pPr>
        <w:spacing w:after="0" w:line="25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2020 Short-Term Incentive Plan</w:t>
      </w:r>
    </w:p>
    <w:p>
      <w:pPr>
        <w:spacing w:after="0" w:line="121" w:lineRule="exact"/>
        <w:rPr>
          <w:sz w:val="20"/>
          <w:szCs w:val="20"/>
          <w:color w:val="auto"/>
        </w:rPr>
      </w:pPr>
    </w:p>
    <w:p>
      <w:pPr>
        <w:ind w:right="80" w:firstLine="440"/>
        <w:spacing w:after="0" w:line="269" w:lineRule="auto"/>
        <w:rPr>
          <w:sz w:val="20"/>
          <w:szCs w:val="20"/>
          <w:color w:val="auto"/>
        </w:rPr>
      </w:pPr>
      <w:r>
        <w:rPr>
          <w:rFonts w:ascii="Arial" w:cs="Arial" w:eastAsia="Arial" w:hAnsi="Arial"/>
          <w:sz w:val="17"/>
          <w:szCs w:val="17"/>
          <w:color w:val="auto"/>
        </w:rPr>
        <w:t>On September 21, 2007, our board of directors approved the Textainer Group Holdings Limited 2008 Bonus Plan (the “Bonus Plan”). The Bonus Plan provides for short-term incentive payments to our employees and those of our affiliates, including our dedicated agents and key executives. Although the Bonus Plan permits the awards to be paid in shares, we expect that the awards will be cash-based. The Bonus Plan is designed to provide incentive awards based on the achievement of goals relating to the Company’s performance and the individual performance while maintaining a degree of flexibility in the amount of incentive compensation paid to such individuals. Annually, our board of directors or the compensation committee review objective target performance criteria when determining the annual short-term incentive bonuses to be awarded to our executive officers. Under the Bonus Plan, performance goals may relate to one or more of the following measures, for the company as a whole, a line of business, service or product: earnings per share, total shareholder return, operating margin, gross margin, return on equity, return on assets, net operating income, pre-tax income, cash flow, earnings before interest, taxes and depreciation, net interest income margin, net income or performance relative to a peer group of companies on any of the foregoing measures.</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Employment with Executive Officers and Directors</w:t>
      </w:r>
    </w:p>
    <w:p>
      <w:pPr>
        <w:spacing w:after="0" w:line="121" w:lineRule="exact"/>
        <w:rPr>
          <w:sz w:val="20"/>
          <w:szCs w:val="20"/>
          <w:color w:val="auto"/>
        </w:rPr>
      </w:pPr>
    </w:p>
    <w:p>
      <w:pPr>
        <w:ind w:right="40" w:firstLine="440"/>
        <w:spacing w:after="0" w:line="263" w:lineRule="auto"/>
        <w:rPr>
          <w:sz w:val="20"/>
          <w:szCs w:val="20"/>
          <w:color w:val="auto"/>
        </w:rPr>
      </w:pPr>
      <w:r>
        <w:rPr>
          <w:rFonts w:ascii="Arial" w:cs="Arial" w:eastAsia="Arial" w:hAnsi="Arial"/>
          <w:sz w:val="18"/>
          <w:szCs w:val="18"/>
          <w:color w:val="auto"/>
        </w:rPr>
        <w:t>We have entered into employment agreements with our executive officers. Each of these employment agreements contains provisions requiring us to make certain severance payments in case the executive officer is terminated without cause. Employment is at-will for each of our executive officers and their employment may be terminated at any time for any reason.</w:t>
      </w:r>
    </w:p>
    <w:p>
      <w:pPr>
        <w:spacing w:after="0" w:line="184" w:lineRule="exact"/>
        <w:rPr>
          <w:sz w:val="20"/>
          <w:szCs w:val="20"/>
          <w:color w:val="auto"/>
        </w:rPr>
      </w:pPr>
    </w:p>
    <w:p>
      <w:pPr>
        <w:ind w:right="820" w:firstLine="440"/>
        <w:spacing w:after="0" w:line="277" w:lineRule="auto"/>
        <w:rPr>
          <w:sz w:val="20"/>
          <w:szCs w:val="20"/>
          <w:color w:val="auto"/>
        </w:rPr>
      </w:pPr>
      <w:r>
        <w:rPr>
          <w:rFonts w:ascii="Arial" w:cs="Arial" w:eastAsia="Arial" w:hAnsi="Arial"/>
          <w:sz w:val="18"/>
          <w:szCs w:val="18"/>
          <w:color w:val="auto"/>
        </w:rPr>
        <w:t>Other than as disclosed above, none of our directors has service contracts with us or any of our subsidiaries providing for benefits upon termination of employment.</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75</w:t>
      </w:r>
    </w:p>
    <w:p>
      <w:pPr>
        <w:sectPr>
          <w:pgSz w:w="11900" w:h="16838" w:orient="portrait"/>
          <w:cols w:equalWidth="0" w:num="1">
            <w:col w:w="11000"/>
          </w:cols>
          <w:pgMar w:left="440" w:top="274" w:right="459" w:bottom="1440" w:gutter="0" w:footer="0" w:header="0"/>
        </w:sectPr>
      </w:pPr>
    </w:p>
    <w:bookmarkStart w:id="89" w:name="page90"/>
    <w:bookmarkEnd w:id="89"/>
    <w:p>
      <w:pPr>
        <w:ind w:left="424" w:hanging="424"/>
        <w:spacing w:after="0"/>
        <w:tabs>
          <w:tab w:leader="none" w:pos="424" w:val="left"/>
        </w:tabs>
        <w:numPr>
          <w:ilvl w:val="0"/>
          <w:numId w:val="61"/>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7174865" cy="38735"/>
                    </a:xfrm>
                    <a:prstGeom prst="rect">
                      <a:avLst/>
                    </a:prstGeom>
                    <a:noFill/>
                  </pic:spPr>
                </pic:pic>
              </a:graphicData>
            </a:graphic>
          </wp:anchor>
        </w:drawing>
        <w:t>Board Practices</w:t>
      </w:r>
    </w:p>
    <w:p>
      <w:pPr>
        <w:spacing w:after="0" w:line="121" w:lineRule="exact"/>
        <w:rPr>
          <w:sz w:val="20"/>
          <w:szCs w:val="20"/>
          <w:color w:val="auto"/>
        </w:rPr>
      </w:pPr>
    </w:p>
    <w:p>
      <w:pPr>
        <w:jc w:val="both"/>
        <w:ind w:left="4" w:right="60" w:firstLine="440"/>
        <w:spacing w:after="0" w:line="287" w:lineRule="auto"/>
        <w:rPr>
          <w:sz w:val="20"/>
          <w:szCs w:val="20"/>
          <w:color w:val="auto"/>
        </w:rPr>
      </w:pPr>
      <w:r>
        <w:rPr>
          <w:rFonts w:ascii="Arial" w:cs="Arial" w:eastAsia="Arial" w:hAnsi="Arial"/>
          <w:sz w:val="16"/>
          <w:szCs w:val="16"/>
          <w:color w:val="auto"/>
        </w:rPr>
        <w:t>Our corporate governance practices are in compliance with, and are not prohibited by, the laws of Bermuda. Therefore, we are exempt from many of the NYSE corporate governance practices, other than the establishment of a formal audit committee satisfying the requirements of Rule 10A-3 under the Exchange Act and notification of non-compliance with NYSE listing requirements pursuant to Rule 10A-3 promulgated under the Exchange Act.</w:t>
      </w:r>
    </w:p>
    <w:p>
      <w:pPr>
        <w:spacing w:after="0" w:line="2" w:lineRule="exact"/>
        <w:rPr>
          <w:sz w:val="20"/>
          <w:szCs w:val="20"/>
          <w:color w:val="auto"/>
        </w:rPr>
      </w:pPr>
    </w:p>
    <w:p>
      <w:pPr>
        <w:ind w:left="4" w:right="140"/>
        <w:spacing w:after="0" w:line="260" w:lineRule="auto"/>
        <w:rPr>
          <w:sz w:val="20"/>
          <w:szCs w:val="20"/>
          <w:color w:val="auto"/>
        </w:rPr>
      </w:pPr>
      <w:r>
        <w:rPr>
          <w:rFonts w:ascii="Arial" w:cs="Arial" w:eastAsia="Arial" w:hAnsi="Arial"/>
          <w:sz w:val="18"/>
          <w:szCs w:val="18"/>
          <w:color w:val="auto"/>
        </w:rPr>
        <w:t>For further discussion on the practices that we follow in lieu of the NYSE’s corporate governance rules, see Part II Item 16G, “Corporate Governance” in this Annual Report on Form 20-F.</w:t>
      </w:r>
    </w:p>
    <w:p>
      <w:pPr>
        <w:spacing w:after="0" w:line="330" w:lineRule="exact"/>
        <w:rPr>
          <w:sz w:val="20"/>
          <w:szCs w:val="20"/>
          <w:color w:val="auto"/>
        </w:rPr>
      </w:pPr>
    </w:p>
    <w:p>
      <w:pPr>
        <w:ind w:left="424" w:hanging="424"/>
        <w:spacing w:after="0"/>
        <w:tabs>
          <w:tab w:leader="none" w:pos="424" w:val="left"/>
        </w:tabs>
        <w:numPr>
          <w:ilvl w:val="0"/>
          <w:numId w:val="62"/>
        </w:numPr>
        <w:rPr>
          <w:rFonts w:ascii="Arial" w:cs="Arial" w:eastAsia="Arial" w:hAnsi="Arial"/>
          <w:sz w:val="18"/>
          <w:szCs w:val="18"/>
          <w:b w:val="1"/>
          <w:bCs w:val="1"/>
          <w:color w:val="auto"/>
        </w:rPr>
      </w:pPr>
      <w:r>
        <w:rPr>
          <w:rFonts w:ascii="Arial" w:cs="Arial" w:eastAsia="Arial" w:hAnsi="Arial"/>
          <w:sz w:val="18"/>
          <w:szCs w:val="18"/>
          <w:b w:val="1"/>
          <w:bCs w:val="1"/>
          <w:color w:val="auto"/>
        </w:rPr>
        <w:t>Employees</w:t>
      </w:r>
    </w:p>
    <w:p>
      <w:pPr>
        <w:spacing w:after="0" w:line="121" w:lineRule="exact"/>
        <w:rPr>
          <w:sz w:val="20"/>
          <w:szCs w:val="20"/>
          <w:color w:val="auto"/>
        </w:rPr>
      </w:pPr>
    </w:p>
    <w:p>
      <w:pPr>
        <w:ind w:left="4" w:firstLine="440"/>
        <w:spacing w:after="0" w:line="277" w:lineRule="auto"/>
        <w:rPr>
          <w:sz w:val="20"/>
          <w:szCs w:val="20"/>
          <w:color w:val="auto"/>
        </w:rPr>
      </w:pPr>
      <w:r>
        <w:rPr>
          <w:rFonts w:ascii="Arial" w:cs="Arial" w:eastAsia="Arial" w:hAnsi="Arial"/>
          <w:sz w:val="18"/>
          <w:szCs w:val="18"/>
          <w:color w:val="auto"/>
        </w:rPr>
        <w:t>We had approximately 160 employees as of December 31, 2020. We believe that our relations with our employees are good, and we are not a party to any collective bargaining agreements.</w:t>
      </w:r>
    </w:p>
    <w:p>
      <w:pPr>
        <w:spacing w:after="0" w:line="315" w:lineRule="exact"/>
        <w:rPr>
          <w:sz w:val="20"/>
          <w:szCs w:val="20"/>
          <w:color w:val="auto"/>
        </w:rPr>
      </w:pPr>
    </w:p>
    <w:p>
      <w:pPr>
        <w:ind w:left="424" w:hanging="424"/>
        <w:spacing w:after="0"/>
        <w:tabs>
          <w:tab w:leader="none" w:pos="424" w:val="left"/>
        </w:tabs>
        <w:numPr>
          <w:ilvl w:val="0"/>
          <w:numId w:val="63"/>
        </w:numPr>
        <w:rPr>
          <w:rFonts w:ascii="Arial" w:cs="Arial" w:eastAsia="Arial" w:hAnsi="Arial"/>
          <w:sz w:val="18"/>
          <w:szCs w:val="18"/>
          <w:b w:val="1"/>
          <w:bCs w:val="1"/>
          <w:color w:val="auto"/>
        </w:rPr>
      </w:pPr>
      <w:r>
        <w:rPr>
          <w:rFonts w:ascii="Arial" w:cs="Arial" w:eastAsia="Arial" w:hAnsi="Arial"/>
          <w:sz w:val="18"/>
          <w:szCs w:val="18"/>
          <w:b w:val="1"/>
          <w:bCs w:val="1"/>
          <w:color w:val="auto"/>
        </w:rPr>
        <w:t>Share Ownership</w:t>
      </w:r>
    </w:p>
    <w:p>
      <w:pPr>
        <w:spacing w:after="0" w:line="121" w:lineRule="exact"/>
        <w:rPr>
          <w:sz w:val="20"/>
          <w:szCs w:val="20"/>
          <w:color w:val="auto"/>
        </w:rPr>
      </w:pPr>
    </w:p>
    <w:p>
      <w:pPr>
        <w:ind w:left="4" w:right="220" w:firstLine="440"/>
        <w:spacing w:after="0" w:line="277" w:lineRule="auto"/>
        <w:rPr>
          <w:sz w:val="20"/>
          <w:szCs w:val="20"/>
          <w:color w:val="auto"/>
        </w:rPr>
      </w:pPr>
      <w:r>
        <w:rPr>
          <w:rFonts w:ascii="Arial" w:cs="Arial" w:eastAsia="Arial" w:hAnsi="Arial"/>
          <w:sz w:val="18"/>
          <w:szCs w:val="18"/>
          <w:color w:val="auto"/>
        </w:rPr>
        <w:t xml:space="preserve">See Item 7, </w:t>
      </w:r>
      <w:r>
        <w:rPr>
          <w:rFonts w:ascii="Arial" w:cs="Arial" w:eastAsia="Arial" w:hAnsi="Arial"/>
          <w:sz w:val="18"/>
          <w:szCs w:val="18"/>
          <w:i w:val="1"/>
          <w:iCs w:val="1"/>
          <w:color w:val="auto"/>
        </w:rPr>
        <w:t>“Major Shareholders and Related Party Transactions”</w:t>
      </w:r>
      <w:r>
        <w:rPr>
          <w:rFonts w:ascii="Arial" w:cs="Arial" w:eastAsia="Arial" w:hAnsi="Arial"/>
          <w:sz w:val="18"/>
          <w:szCs w:val="18"/>
          <w:color w:val="auto"/>
        </w:rPr>
        <w:t xml:space="preserve"> for information regarding director and senior management ownership of our common shares.</w:t>
      </w:r>
    </w:p>
    <w:p>
      <w:pPr>
        <w:spacing w:after="0" w:line="315" w:lineRule="exact"/>
        <w:rPr>
          <w:sz w:val="20"/>
          <w:szCs w:val="20"/>
          <w:color w:val="auto"/>
        </w:rPr>
      </w:pPr>
    </w:p>
    <w:p>
      <w:pPr>
        <w:ind w:left="4"/>
        <w:spacing w:after="0"/>
        <w:tabs>
          <w:tab w:leader="none" w:pos="1064" w:val="left"/>
        </w:tabs>
        <w:rPr>
          <w:sz w:val="20"/>
          <w:szCs w:val="20"/>
          <w:color w:val="auto"/>
        </w:rPr>
      </w:pPr>
      <w:r>
        <w:rPr>
          <w:rFonts w:ascii="Arial" w:cs="Arial" w:eastAsia="Arial" w:hAnsi="Arial"/>
          <w:sz w:val="18"/>
          <w:szCs w:val="18"/>
          <w:b w:val="1"/>
          <w:bCs w:val="1"/>
          <w:color w:val="auto"/>
        </w:rPr>
        <w:t>ITEM 7.</w:t>
      </w:r>
      <w:r>
        <w:rPr>
          <w:sz w:val="20"/>
          <w:szCs w:val="20"/>
          <w:color w:val="auto"/>
        </w:rPr>
        <w:tab/>
      </w:r>
      <w:r>
        <w:rPr>
          <w:rFonts w:ascii="Arial" w:cs="Arial" w:eastAsia="Arial" w:hAnsi="Arial"/>
          <w:sz w:val="17"/>
          <w:szCs w:val="17"/>
          <w:b w:val="1"/>
          <w:bCs w:val="1"/>
          <w:color w:val="auto"/>
        </w:rPr>
        <w:t>MAJOR SHAREHOLDERS AND RELATED PARTY TRANSACTIONS</w:t>
      </w:r>
    </w:p>
    <w:p>
      <w:pPr>
        <w:spacing w:after="0" w:line="131" w:lineRule="exact"/>
        <w:rPr>
          <w:sz w:val="20"/>
          <w:szCs w:val="20"/>
          <w:color w:val="auto"/>
        </w:rPr>
      </w:pPr>
    </w:p>
    <w:p>
      <w:pPr>
        <w:ind w:left="424" w:hanging="424"/>
        <w:spacing w:after="0"/>
        <w:tabs>
          <w:tab w:leader="none" w:pos="424" w:val="left"/>
        </w:tabs>
        <w:numPr>
          <w:ilvl w:val="0"/>
          <w:numId w:val="64"/>
        </w:numPr>
        <w:rPr>
          <w:rFonts w:ascii="Arial" w:cs="Arial" w:eastAsia="Arial" w:hAnsi="Arial"/>
          <w:sz w:val="18"/>
          <w:szCs w:val="18"/>
          <w:b w:val="1"/>
          <w:bCs w:val="1"/>
          <w:color w:val="auto"/>
        </w:rPr>
      </w:pPr>
      <w:r>
        <w:rPr>
          <w:rFonts w:ascii="Arial" w:cs="Arial" w:eastAsia="Arial" w:hAnsi="Arial"/>
          <w:sz w:val="18"/>
          <w:szCs w:val="18"/>
          <w:b w:val="1"/>
          <w:bCs w:val="1"/>
          <w:color w:val="auto"/>
        </w:rPr>
        <w:t>Major Shareholders</w:t>
      </w:r>
    </w:p>
    <w:p>
      <w:pPr>
        <w:spacing w:after="0" w:line="121" w:lineRule="exact"/>
        <w:rPr>
          <w:rFonts w:ascii="Arial" w:cs="Arial" w:eastAsia="Arial" w:hAnsi="Arial"/>
          <w:sz w:val="18"/>
          <w:szCs w:val="18"/>
          <w:b w:val="1"/>
          <w:bCs w:val="1"/>
          <w:color w:val="auto"/>
        </w:rPr>
      </w:pPr>
    </w:p>
    <w:p>
      <w:pPr>
        <w:ind w:left="444"/>
        <w:spacing w:after="0"/>
        <w:rPr>
          <w:rFonts w:ascii="Arial" w:cs="Arial" w:eastAsia="Arial" w:hAnsi="Arial"/>
          <w:sz w:val="18"/>
          <w:szCs w:val="18"/>
          <w:b w:val="1"/>
          <w:bCs w:val="1"/>
          <w:color w:val="auto"/>
        </w:rPr>
      </w:pPr>
      <w:r>
        <w:rPr>
          <w:rFonts w:ascii="Arial" w:cs="Arial" w:eastAsia="Arial" w:hAnsi="Arial"/>
          <w:sz w:val="18"/>
          <w:szCs w:val="18"/>
          <w:color w:val="auto"/>
        </w:rPr>
        <w:t>The following table presents information regarding the beneficial ownership of our common shares as of December 31, 2020:</w:t>
      </w:r>
    </w:p>
    <w:p>
      <w:pPr>
        <w:spacing w:after="0" w:line="130" w:lineRule="exact"/>
        <w:rPr>
          <w:rFonts w:ascii="Arial" w:cs="Arial" w:eastAsia="Arial" w:hAnsi="Arial"/>
          <w:sz w:val="18"/>
          <w:szCs w:val="18"/>
          <w:b w:val="1"/>
          <w:bCs w:val="1"/>
          <w:color w:val="auto"/>
        </w:rPr>
      </w:pPr>
    </w:p>
    <w:p>
      <w:pPr>
        <w:ind w:left="964" w:hanging="532"/>
        <w:spacing w:after="0"/>
        <w:tabs>
          <w:tab w:leader="none" w:pos="964" w:val="left"/>
        </w:tabs>
        <w:numPr>
          <w:ilvl w:val="1"/>
          <w:numId w:val="64"/>
        </w:numPr>
        <w:rPr>
          <w:rFonts w:ascii="Arial" w:cs="Arial" w:eastAsia="Arial" w:hAnsi="Arial"/>
          <w:sz w:val="18"/>
          <w:szCs w:val="18"/>
          <w:color w:val="auto"/>
        </w:rPr>
      </w:pPr>
      <w:r>
        <w:rPr>
          <w:rFonts w:ascii="Arial" w:cs="Arial" w:eastAsia="Arial" w:hAnsi="Arial"/>
          <w:sz w:val="18"/>
          <w:szCs w:val="18"/>
          <w:color w:val="auto"/>
        </w:rPr>
        <w:t>each person or entity that we know beneficially owns more than 5% of our issued and outstanding shares;</w:t>
      </w:r>
    </w:p>
    <w:p>
      <w:pPr>
        <w:spacing w:after="0" w:line="130" w:lineRule="exact"/>
        <w:rPr>
          <w:rFonts w:ascii="Arial" w:cs="Arial" w:eastAsia="Arial" w:hAnsi="Arial"/>
          <w:sz w:val="18"/>
          <w:szCs w:val="18"/>
          <w:color w:val="auto"/>
        </w:rPr>
      </w:pPr>
    </w:p>
    <w:p>
      <w:pPr>
        <w:ind w:left="964" w:hanging="532"/>
        <w:spacing w:after="0"/>
        <w:tabs>
          <w:tab w:leader="none" w:pos="964" w:val="left"/>
        </w:tabs>
        <w:numPr>
          <w:ilvl w:val="1"/>
          <w:numId w:val="64"/>
        </w:numPr>
        <w:rPr>
          <w:rFonts w:ascii="Arial" w:cs="Arial" w:eastAsia="Arial" w:hAnsi="Arial"/>
          <w:sz w:val="18"/>
          <w:szCs w:val="18"/>
          <w:color w:val="auto"/>
        </w:rPr>
      </w:pPr>
      <w:r>
        <w:rPr>
          <w:rFonts w:ascii="Arial" w:cs="Arial" w:eastAsia="Arial" w:hAnsi="Arial"/>
          <w:sz w:val="18"/>
          <w:szCs w:val="18"/>
          <w:color w:val="auto"/>
        </w:rPr>
        <w:t>each director, director nominee and executive officer; and</w:t>
      </w:r>
    </w:p>
    <w:p>
      <w:pPr>
        <w:spacing w:after="0" w:line="130" w:lineRule="exact"/>
        <w:rPr>
          <w:rFonts w:ascii="Arial" w:cs="Arial" w:eastAsia="Arial" w:hAnsi="Arial"/>
          <w:sz w:val="18"/>
          <w:szCs w:val="18"/>
          <w:color w:val="auto"/>
        </w:rPr>
      </w:pPr>
    </w:p>
    <w:p>
      <w:pPr>
        <w:ind w:left="964" w:hanging="532"/>
        <w:spacing w:after="0"/>
        <w:tabs>
          <w:tab w:leader="none" w:pos="964" w:val="left"/>
        </w:tabs>
        <w:numPr>
          <w:ilvl w:val="1"/>
          <w:numId w:val="64"/>
        </w:numPr>
        <w:rPr>
          <w:rFonts w:ascii="Arial" w:cs="Arial" w:eastAsia="Arial" w:hAnsi="Arial"/>
          <w:sz w:val="18"/>
          <w:szCs w:val="18"/>
          <w:color w:val="auto"/>
        </w:rPr>
      </w:pPr>
      <w:r>
        <w:rPr>
          <w:rFonts w:ascii="Arial" w:cs="Arial" w:eastAsia="Arial" w:hAnsi="Arial"/>
          <w:sz w:val="18"/>
          <w:szCs w:val="18"/>
          <w:color w:val="auto"/>
        </w:rPr>
        <w:t>all of our directors, director nominees and executive officers as a group.</w:t>
      </w:r>
    </w:p>
    <w:p>
      <w:pPr>
        <w:spacing w:after="0" w:line="158"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76</w:t>
      </w:r>
    </w:p>
    <w:p>
      <w:pPr>
        <w:sectPr>
          <w:pgSz w:w="11900" w:h="16838" w:orient="portrait"/>
          <w:cols w:equalWidth="0" w:num="1">
            <w:col w:w="11004"/>
          </w:cols>
          <w:pgMar w:left="436" w:top="270" w:right="459" w:bottom="1440" w:gutter="0" w:footer="0" w:header="0"/>
        </w:sectPr>
      </w:pPr>
    </w:p>
    <w:bookmarkStart w:id="90" w:name="page91"/>
    <w:bookmarkEnd w:id="90"/>
    <w:p>
      <w:pPr>
        <w:ind w:left="4" w:right="20" w:firstLine="44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7174865" cy="38735"/>
                    </a:xfrm>
                    <a:prstGeom prst="rect">
                      <a:avLst/>
                    </a:prstGeom>
                    <a:noFill/>
                  </pic:spPr>
                </pic:pic>
              </a:graphicData>
            </a:graphic>
          </wp:anchor>
        </w:drawing>
        <w:t>Beneficial ownership is determined in accordance with the rules of the SEC and generally includes any shares over which a person exercises sole or shared voting or investment power. The percentage of beneficial ownership of our common shares owned is based on 50,495,789 common shares issued and outstanding on December 31, 2020. We do not believe that we are directly or indirectly owned or controlled by any foreign government. The voting rights of our common shares held by major shareholders are the same as the voting rights of shares held by all other shareholders. We are unaware of any arrangement that might result in a change of control.</w:t>
      </w:r>
    </w:p>
    <w:p>
      <w:pPr>
        <w:spacing w:after="0" w:line="194" w:lineRule="exact"/>
        <w:rPr>
          <w:sz w:val="20"/>
          <w:szCs w:val="20"/>
          <w:color w:val="auto"/>
        </w:rPr>
      </w:pPr>
    </w:p>
    <w:tbl>
      <w:tblPr>
        <w:tblLayout w:type="fixed"/>
        <w:tblInd w:w="1324" w:type="dxa"/>
        <w:tblCellMar>
          <w:top w:w="0" w:type="dxa"/>
          <w:left w:w="0" w:type="dxa"/>
          <w:bottom w:w="0" w:type="dxa"/>
          <w:right w:w="0" w:type="dxa"/>
        </w:tblCellMar>
      </w:tblPr>
      <w:tr>
        <w:trPr>
          <w:trHeight w:val="161"/>
        </w:trPr>
        <w:tc>
          <w:tcPr>
            <w:tcW w:w="500" w:type="dxa"/>
            <w:vAlign w:val="bottom"/>
          </w:tcPr>
          <w:p>
            <w:pPr>
              <w:spacing w:after="0"/>
              <w:rPr>
                <w:sz w:val="14"/>
                <w:szCs w:val="14"/>
                <w:color w:val="auto"/>
              </w:rPr>
            </w:pPr>
          </w:p>
        </w:tc>
        <w:tc>
          <w:tcPr>
            <w:tcW w:w="5840" w:type="dxa"/>
            <w:vAlign w:val="bottom"/>
          </w:tcPr>
          <w:p>
            <w:pPr>
              <w:spacing w:after="0"/>
              <w:rPr>
                <w:sz w:val="14"/>
                <w:szCs w:val="14"/>
                <w:color w:val="auto"/>
              </w:rPr>
            </w:pPr>
          </w:p>
        </w:tc>
        <w:tc>
          <w:tcPr>
            <w:tcW w:w="2020" w:type="dxa"/>
            <w:vAlign w:val="bottom"/>
            <w:gridSpan w:val="4"/>
          </w:tcPr>
          <w:p>
            <w:pPr>
              <w:jc w:val="right"/>
              <w:ind w:right="260"/>
              <w:spacing w:after="0"/>
              <w:rPr>
                <w:sz w:val="20"/>
                <w:szCs w:val="20"/>
                <w:color w:val="auto"/>
              </w:rPr>
            </w:pPr>
            <w:r>
              <w:rPr>
                <w:rFonts w:ascii="Arial" w:cs="Arial" w:eastAsia="Arial" w:hAnsi="Arial"/>
                <w:sz w:val="14"/>
                <w:szCs w:val="14"/>
                <w:b w:val="1"/>
                <w:bCs w:val="1"/>
                <w:color w:val="auto"/>
                <w:w w:val="93"/>
              </w:rPr>
              <w:t>Number of Common Shares</w:t>
            </w:r>
          </w:p>
        </w:tc>
        <w:tc>
          <w:tcPr>
            <w:tcW w:w="0" w:type="dxa"/>
            <w:vAlign w:val="bottom"/>
          </w:tcPr>
          <w:p>
            <w:pPr>
              <w:spacing w:after="0"/>
              <w:rPr>
                <w:sz w:val="1"/>
                <w:szCs w:val="1"/>
                <w:color w:val="auto"/>
              </w:rPr>
            </w:pPr>
          </w:p>
        </w:tc>
      </w:tr>
      <w:tr>
        <w:trPr>
          <w:trHeight w:val="171"/>
        </w:trPr>
        <w:tc>
          <w:tcPr>
            <w:tcW w:w="500" w:type="dxa"/>
            <w:vAlign w:val="bottom"/>
            <w:vMerge w:val="restart"/>
          </w:tcPr>
          <w:p>
            <w:pPr>
              <w:spacing w:after="0"/>
              <w:rPr>
                <w:sz w:val="20"/>
                <w:szCs w:val="20"/>
                <w:color w:val="auto"/>
              </w:rPr>
            </w:pPr>
            <w:r>
              <w:rPr>
                <w:rFonts w:ascii="Arial" w:cs="Arial" w:eastAsia="Arial" w:hAnsi="Arial"/>
                <w:sz w:val="14"/>
                <w:szCs w:val="14"/>
                <w:b w:val="1"/>
                <w:bCs w:val="1"/>
                <w:color w:val="auto"/>
                <w:w w:val="91"/>
              </w:rPr>
              <w:t>Holders</w:t>
            </w:r>
          </w:p>
        </w:tc>
        <w:tc>
          <w:tcPr>
            <w:tcW w:w="5840" w:type="dxa"/>
            <w:vAlign w:val="bottom"/>
            <w:vMerge w:val="restart"/>
          </w:tcPr>
          <w:p>
            <w:pPr>
              <w:spacing w:after="0"/>
              <w:rPr>
                <w:sz w:val="14"/>
                <w:szCs w:val="14"/>
                <w:color w:val="auto"/>
              </w:rPr>
            </w:pPr>
          </w:p>
        </w:tc>
        <w:tc>
          <w:tcPr>
            <w:tcW w:w="2020" w:type="dxa"/>
            <w:vAlign w:val="bottom"/>
            <w:gridSpan w:val="4"/>
          </w:tcPr>
          <w:p>
            <w:pPr>
              <w:jc w:val="right"/>
              <w:ind w:right="520"/>
              <w:spacing w:after="0"/>
              <w:rPr>
                <w:sz w:val="20"/>
                <w:szCs w:val="20"/>
                <w:color w:val="auto"/>
              </w:rPr>
            </w:pPr>
            <w:r>
              <w:rPr>
                <w:rFonts w:ascii="Arial" w:cs="Arial" w:eastAsia="Arial" w:hAnsi="Arial"/>
                <w:sz w:val="14"/>
                <w:szCs w:val="14"/>
                <w:b w:val="1"/>
                <w:bCs w:val="1"/>
                <w:color w:val="auto"/>
              </w:rPr>
              <w:t>Beneficially Owned</w:t>
            </w:r>
          </w:p>
        </w:tc>
        <w:tc>
          <w:tcPr>
            <w:tcW w:w="0" w:type="dxa"/>
            <w:vAlign w:val="bottom"/>
          </w:tcPr>
          <w:p>
            <w:pPr>
              <w:spacing w:after="0"/>
              <w:rPr>
                <w:sz w:val="1"/>
                <w:szCs w:val="1"/>
                <w:color w:val="auto"/>
              </w:rPr>
            </w:pPr>
          </w:p>
        </w:tc>
      </w:tr>
      <w:tr>
        <w:trPr>
          <w:trHeight w:val="148"/>
        </w:trPr>
        <w:tc>
          <w:tcPr>
            <w:tcW w:w="500" w:type="dxa"/>
            <w:vAlign w:val="bottom"/>
            <w:tcBorders>
              <w:bottom w:val="single" w:sz="8" w:color="auto"/>
            </w:tcBorders>
            <w:vMerge w:val="continue"/>
          </w:tcPr>
          <w:p>
            <w:pPr>
              <w:spacing w:after="0"/>
              <w:rPr>
                <w:sz w:val="12"/>
                <w:szCs w:val="12"/>
                <w:color w:val="auto"/>
              </w:rPr>
            </w:pPr>
          </w:p>
        </w:tc>
        <w:tc>
          <w:tcPr>
            <w:tcW w:w="5840" w:type="dxa"/>
            <w:vAlign w:val="bottom"/>
            <w:vMerge w:val="continue"/>
          </w:tcPr>
          <w:p>
            <w:pPr>
              <w:spacing w:after="0"/>
              <w:rPr>
                <w:sz w:val="12"/>
                <w:szCs w:val="12"/>
                <w:color w:val="auto"/>
              </w:rPr>
            </w:pPr>
          </w:p>
        </w:tc>
        <w:tc>
          <w:tcPr>
            <w:tcW w:w="1320" w:type="dxa"/>
            <w:vAlign w:val="bottom"/>
            <w:tcBorders>
              <w:top w:val="single" w:sz="8" w:color="auto"/>
            </w:tcBorders>
            <w:gridSpan w:val="2"/>
          </w:tcPr>
          <w:p>
            <w:pPr>
              <w:jc w:val="right"/>
              <w:ind w:right="500"/>
              <w:spacing w:after="0" w:line="129" w:lineRule="exact"/>
              <w:rPr>
                <w:sz w:val="20"/>
                <w:szCs w:val="20"/>
                <w:color w:val="auto"/>
              </w:rPr>
            </w:pPr>
            <w:r>
              <w:rPr>
                <w:rFonts w:ascii="Arial" w:cs="Arial" w:eastAsia="Arial" w:hAnsi="Arial"/>
                <w:sz w:val="14"/>
                <w:szCs w:val="14"/>
                <w:b w:val="1"/>
                <w:bCs w:val="1"/>
                <w:color w:val="auto"/>
              </w:rPr>
              <w:t>Shares (9)</w:t>
            </w:r>
          </w:p>
        </w:tc>
        <w:tc>
          <w:tcPr>
            <w:tcW w:w="500" w:type="dxa"/>
            <w:vAlign w:val="bottom"/>
            <w:tcBorders>
              <w:top w:val="single" w:sz="8" w:color="auto"/>
            </w:tcBorders>
          </w:tcPr>
          <w:p>
            <w:pPr>
              <w:jc w:val="right"/>
              <w:spacing w:after="0" w:line="129" w:lineRule="exact"/>
              <w:rPr>
                <w:sz w:val="20"/>
                <w:szCs w:val="20"/>
                <w:color w:val="auto"/>
              </w:rPr>
            </w:pPr>
            <w:r>
              <w:rPr>
                <w:rFonts w:ascii="Arial" w:cs="Arial" w:eastAsia="Arial" w:hAnsi="Arial"/>
                <w:sz w:val="14"/>
                <w:szCs w:val="14"/>
                <w:b w:val="1"/>
                <w:bCs w:val="1"/>
                <w:color w:val="auto"/>
              </w:rPr>
              <w:t>% (1)</w:t>
            </w:r>
          </w:p>
        </w:tc>
        <w:tc>
          <w:tcPr>
            <w:tcW w:w="2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89"/>
        </w:trPr>
        <w:tc>
          <w:tcPr>
            <w:tcW w:w="6340" w:type="dxa"/>
            <w:vAlign w:val="bottom"/>
            <w:tcBorders>
              <w:top w:val="single" w:sz="8" w:color="CCEEFF"/>
            </w:tcBorders>
            <w:gridSpan w:val="2"/>
            <w:shd w:val="clear" w:color="auto" w:fill="CCEEFF"/>
          </w:tcPr>
          <w:p>
            <w:pPr>
              <w:spacing w:after="0" w:line="189" w:lineRule="exact"/>
              <w:rPr>
                <w:sz w:val="20"/>
                <w:szCs w:val="20"/>
                <w:color w:val="auto"/>
              </w:rPr>
            </w:pPr>
            <w:r>
              <w:rPr>
                <w:rFonts w:ascii="Arial" w:cs="Arial" w:eastAsia="Arial" w:hAnsi="Arial"/>
                <w:sz w:val="18"/>
                <w:szCs w:val="18"/>
                <w:b w:val="1"/>
                <w:bCs w:val="1"/>
                <w:i w:val="1"/>
                <w:iCs w:val="1"/>
                <w:color w:val="auto"/>
              </w:rPr>
              <w:t>5% or More Shareholders</w:t>
            </w:r>
          </w:p>
        </w:tc>
        <w:tc>
          <w:tcPr>
            <w:tcW w:w="1020" w:type="dxa"/>
            <w:vAlign w:val="bottom"/>
            <w:tcBorders>
              <w:top w:val="single" w:sz="8" w:color="auto"/>
            </w:tcBorders>
            <w:shd w:val="clear" w:color="auto" w:fill="CCEEFF"/>
          </w:tcPr>
          <w:p>
            <w:pPr>
              <w:spacing w:after="0"/>
              <w:rPr>
                <w:sz w:val="16"/>
                <w:szCs w:val="16"/>
                <w:color w:val="auto"/>
              </w:rPr>
            </w:pPr>
          </w:p>
        </w:tc>
        <w:tc>
          <w:tcPr>
            <w:tcW w:w="300" w:type="dxa"/>
            <w:vAlign w:val="bottom"/>
            <w:tcBorders>
              <w:top w:val="single" w:sz="8" w:color="CCEEFF"/>
            </w:tcBorders>
            <w:shd w:val="clear" w:color="auto" w:fill="CCEEFF"/>
          </w:tcPr>
          <w:p>
            <w:pPr>
              <w:spacing w:after="0"/>
              <w:rPr>
                <w:sz w:val="16"/>
                <w:szCs w:val="16"/>
                <w:color w:val="auto"/>
              </w:rPr>
            </w:pPr>
          </w:p>
        </w:tc>
        <w:tc>
          <w:tcPr>
            <w:tcW w:w="500" w:type="dxa"/>
            <w:vAlign w:val="bottom"/>
            <w:tcBorders>
              <w:top w:val="single" w:sz="8" w:color="auto"/>
            </w:tcBorders>
            <w:shd w:val="clear" w:color="auto" w:fill="CCEEFF"/>
          </w:tcPr>
          <w:p>
            <w:pPr>
              <w:spacing w:after="0"/>
              <w:rPr>
                <w:sz w:val="16"/>
                <w:szCs w:val="16"/>
                <w:color w:val="auto"/>
              </w:rPr>
            </w:pPr>
          </w:p>
        </w:tc>
        <w:tc>
          <w:tcPr>
            <w:tcW w:w="200" w:type="dxa"/>
            <w:vAlign w:val="bottom"/>
            <w:tcBorders>
              <w:top w:val="single" w:sz="8" w:color="CCEEFF"/>
            </w:tcBorders>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6340" w:type="dxa"/>
            <w:vAlign w:val="bottom"/>
            <w:gridSpan w:val="2"/>
          </w:tcPr>
          <w:p>
            <w:pPr>
              <w:spacing w:after="0"/>
              <w:rPr>
                <w:sz w:val="20"/>
                <w:szCs w:val="20"/>
                <w:color w:val="auto"/>
              </w:rPr>
            </w:pPr>
            <w:r>
              <w:rPr>
                <w:rFonts w:ascii="Arial" w:cs="Arial" w:eastAsia="Arial" w:hAnsi="Arial"/>
                <w:sz w:val="18"/>
                <w:szCs w:val="18"/>
                <w:color w:val="auto"/>
              </w:rPr>
              <w:t>Coronation Asset Management (Pty) Ltd. (2)</w:t>
            </w:r>
          </w:p>
        </w:tc>
        <w:tc>
          <w:tcPr>
            <w:tcW w:w="1320" w:type="dxa"/>
            <w:vAlign w:val="bottom"/>
            <w:gridSpan w:val="2"/>
          </w:tcPr>
          <w:p>
            <w:pPr>
              <w:jc w:val="right"/>
              <w:ind w:right="280"/>
              <w:spacing w:after="0"/>
              <w:rPr>
                <w:sz w:val="20"/>
                <w:szCs w:val="20"/>
                <w:color w:val="auto"/>
              </w:rPr>
            </w:pPr>
            <w:r>
              <w:rPr>
                <w:rFonts w:ascii="Arial" w:cs="Arial" w:eastAsia="Arial" w:hAnsi="Arial"/>
                <w:sz w:val="18"/>
                <w:szCs w:val="18"/>
                <w:color w:val="auto"/>
              </w:rPr>
              <w:t>5,642,419</w:t>
            </w:r>
          </w:p>
        </w:tc>
        <w:tc>
          <w:tcPr>
            <w:tcW w:w="700" w:type="dxa"/>
            <w:vAlign w:val="bottom"/>
            <w:gridSpan w:val="2"/>
          </w:tcPr>
          <w:p>
            <w:pPr>
              <w:jc w:val="right"/>
              <w:ind w:right="40"/>
              <w:spacing w:after="0"/>
              <w:rPr>
                <w:sz w:val="20"/>
                <w:szCs w:val="20"/>
                <w:color w:val="auto"/>
              </w:rPr>
            </w:pPr>
            <w:r>
              <w:rPr>
                <w:rFonts w:ascii="Arial" w:cs="Arial" w:eastAsia="Arial" w:hAnsi="Arial"/>
                <w:sz w:val="18"/>
                <w:szCs w:val="18"/>
                <w:color w:val="auto"/>
              </w:rPr>
              <w:t>11.2%</w:t>
            </w:r>
          </w:p>
        </w:tc>
        <w:tc>
          <w:tcPr>
            <w:tcW w:w="0" w:type="dxa"/>
            <w:vAlign w:val="bottom"/>
          </w:tcPr>
          <w:p>
            <w:pPr>
              <w:spacing w:after="0"/>
              <w:rPr>
                <w:sz w:val="1"/>
                <w:szCs w:val="1"/>
                <w:color w:val="auto"/>
              </w:rPr>
            </w:pPr>
          </w:p>
        </w:tc>
      </w:tr>
      <w:tr>
        <w:trPr>
          <w:trHeight w:val="216"/>
        </w:trPr>
        <w:tc>
          <w:tcPr>
            <w:tcW w:w="63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Dimensional Fund Advisors LP (3)</w:t>
            </w:r>
          </w:p>
        </w:tc>
        <w:tc>
          <w:tcPr>
            <w:tcW w:w="132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2,898,338</w:t>
            </w:r>
          </w:p>
        </w:tc>
        <w:tc>
          <w:tcPr>
            <w:tcW w:w="7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5.7%</w:t>
            </w:r>
          </w:p>
        </w:tc>
        <w:tc>
          <w:tcPr>
            <w:tcW w:w="0" w:type="dxa"/>
            <w:vAlign w:val="bottom"/>
          </w:tcPr>
          <w:p>
            <w:pPr>
              <w:spacing w:after="0"/>
              <w:rPr>
                <w:sz w:val="1"/>
                <w:szCs w:val="1"/>
                <w:color w:val="auto"/>
              </w:rPr>
            </w:pPr>
          </w:p>
        </w:tc>
      </w:tr>
      <w:tr>
        <w:trPr>
          <w:trHeight w:val="216"/>
        </w:trPr>
        <w:tc>
          <w:tcPr>
            <w:tcW w:w="6340" w:type="dxa"/>
            <w:vAlign w:val="bottom"/>
            <w:gridSpan w:val="2"/>
          </w:tcPr>
          <w:p>
            <w:pPr>
              <w:spacing w:after="0"/>
              <w:rPr>
                <w:sz w:val="20"/>
                <w:szCs w:val="20"/>
                <w:color w:val="auto"/>
              </w:rPr>
            </w:pPr>
            <w:r>
              <w:rPr>
                <w:rFonts w:ascii="Arial" w:cs="Arial" w:eastAsia="Arial" w:hAnsi="Arial"/>
                <w:sz w:val="18"/>
                <w:szCs w:val="18"/>
                <w:color w:val="auto"/>
              </w:rPr>
              <w:t>Massachusetts Financial Services Company (4)</w:t>
            </w:r>
          </w:p>
        </w:tc>
        <w:tc>
          <w:tcPr>
            <w:tcW w:w="1320" w:type="dxa"/>
            <w:vAlign w:val="bottom"/>
            <w:gridSpan w:val="2"/>
          </w:tcPr>
          <w:p>
            <w:pPr>
              <w:jc w:val="right"/>
              <w:ind w:right="280"/>
              <w:spacing w:after="0"/>
              <w:rPr>
                <w:sz w:val="20"/>
                <w:szCs w:val="20"/>
                <w:color w:val="auto"/>
              </w:rPr>
            </w:pPr>
            <w:r>
              <w:rPr>
                <w:rFonts w:ascii="Arial" w:cs="Arial" w:eastAsia="Arial" w:hAnsi="Arial"/>
                <w:sz w:val="18"/>
                <w:szCs w:val="18"/>
                <w:color w:val="auto"/>
              </w:rPr>
              <w:t>2,719,033</w:t>
            </w:r>
          </w:p>
        </w:tc>
        <w:tc>
          <w:tcPr>
            <w:tcW w:w="700" w:type="dxa"/>
            <w:vAlign w:val="bottom"/>
            <w:gridSpan w:val="2"/>
          </w:tcPr>
          <w:p>
            <w:pPr>
              <w:jc w:val="right"/>
              <w:ind w:right="40"/>
              <w:spacing w:after="0"/>
              <w:rPr>
                <w:sz w:val="20"/>
                <w:szCs w:val="20"/>
                <w:color w:val="auto"/>
              </w:rPr>
            </w:pPr>
            <w:r>
              <w:rPr>
                <w:rFonts w:ascii="Arial" w:cs="Arial" w:eastAsia="Arial" w:hAnsi="Arial"/>
                <w:sz w:val="18"/>
                <w:szCs w:val="18"/>
                <w:color w:val="auto"/>
              </w:rPr>
              <w:t>5.4%</w:t>
            </w:r>
          </w:p>
        </w:tc>
        <w:tc>
          <w:tcPr>
            <w:tcW w:w="0" w:type="dxa"/>
            <w:vAlign w:val="bottom"/>
          </w:tcPr>
          <w:p>
            <w:pPr>
              <w:spacing w:after="0"/>
              <w:rPr>
                <w:sz w:val="1"/>
                <w:szCs w:val="1"/>
                <w:color w:val="auto"/>
              </w:rPr>
            </w:pPr>
          </w:p>
        </w:tc>
      </w:tr>
      <w:tr>
        <w:trPr>
          <w:trHeight w:val="216"/>
        </w:trPr>
        <w:tc>
          <w:tcPr>
            <w:tcW w:w="63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Isam K. Kabbani (5)</w:t>
            </w:r>
          </w:p>
        </w:tc>
        <w:tc>
          <w:tcPr>
            <w:tcW w:w="132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2,579,230</w:t>
            </w:r>
          </w:p>
        </w:tc>
        <w:tc>
          <w:tcPr>
            <w:tcW w:w="7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5.1%</w:t>
            </w:r>
          </w:p>
        </w:tc>
        <w:tc>
          <w:tcPr>
            <w:tcW w:w="0" w:type="dxa"/>
            <w:vAlign w:val="bottom"/>
          </w:tcPr>
          <w:p>
            <w:pPr>
              <w:spacing w:after="0"/>
              <w:rPr>
                <w:sz w:val="1"/>
                <w:szCs w:val="1"/>
                <w:color w:val="auto"/>
              </w:rPr>
            </w:pPr>
          </w:p>
        </w:tc>
      </w:tr>
      <w:tr>
        <w:trPr>
          <w:trHeight w:val="324"/>
        </w:trPr>
        <w:tc>
          <w:tcPr>
            <w:tcW w:w="6340" w:type="dxa"/>
            <w:vAlign w:val="bottom"/>
            <w:gridSpan w:val="2"/>
          </w:tcPr>
          <w:p>
            <w:pPr>
              <w:spacing w:after="0"/>
              <w:rPr>
                <w:sz w:val="20"/>
                <w:szCs w:val="20"/>
                <w:color w:val="auto"/>
              </w:rPr>
            </w:pPr>
            <w:r>
              <w:rPr>
                <w:rFonts w:ascii="Arial" w:cs="Arial" w:eastAsia="Arial" w:hAnsi="Arial"/>
                <w:sz w:val="18"/>
                <w:szCs w:val="18"/>
                <w:b w:val="1"/>
                <w:bCs w:val="1"/>
                <w:i w:val="1"/>
                <w:iCs w:val="1"/>
                <w:color w:val="auto"/>
              </w:rPr>
              <w:t>Directors and Executive Officers</w:t>
            </w:r>
          </w:p>
        </w:tc>
        <w:tc>
          <w:tcPr>
            <w:tcW w:w="102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63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John A. Maccarone (6)</w:t>
            </w:r>
          </w:p>
        </w:tc>
        <w:tc>
          <w:tcPr>
            <w:tcW w:w="132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1,559,123</w:t>
            </w:r>
          </w:p>
        </w:tc>
        <w:tc>
          <w:tcPr>
            <w:tcW w:w="7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3.1%</w:t>
            </w:r>
          </w:p>
        </w:tc>
        <w:tc>
          <w:tcPr>
            <w:tcW w:w="0" w:type="dxa"/>
            <w:vAlign w:val="bottom"/>
          </w:tcPr>
          <w:p>
            <w:pPr>
              <w:spacing w:after="0"/>
              <w:rPr>
                <w:sz w:val="1"/>
                <w:szCs w:val="1"/>
                <w:color w:val="auto"/>
              </w:rPr>
            </w:pPr>
          </w:p>
        </w:tc>
      </w:tr>
      <w:tr>
        <w:trPr>
          <w:trHeight w:val="216"/>
        </w:trPr>
        <w:tc>
          <w:tcPr>
            <w:tcW w:w="6340" w:type="dxa"/>
            <w:vAlign w:val="bottom"/>
            <w:gridSpan w:val="2"/>
          </w:tcPr>
          <w:p>
            <w:pPr>
              <w:spacing w:after="0"/>
              <w:rPr>
                <w:sz w:val="20"/>
                <w:szCs w:val="20"/>
                <w:color w:val="auto"/>
              </w:rPr>
            </w:pPr>
            <w:r>
              <w:rPr>
                <w:rFonts w:ascii="Arial" w:cs="Arial" w:eastAsia="Arial" w:hAnsi="Arial"/>
                <w:sz w:val="18"/>
                <w:szCs w:val="18"/>
                <w:color w:val="auto"/>
              </w:rPr>
              <w:t>Olivier Ghesquiere</w:t>
            </w:r>
          </w:p>
        </w:tc>
        <w:tc>
          <w:tcPr>
            <w:tcW w:w="1320" w:type="dxa"/>
            <w:vAlign w:val="bottom"/>
            <w:gridSpan w:val="2"/>
          </w:tcPr>
          <w:p>
            <w:pPr>
              <w:jc w:val="right"/>
              <w:ind w:right="280"/>
              <w:spacing w:after="0"/>
              <w:rPr>
                <w:sz w:val="20"/>
                <w:szCs w:val="20"/>
                <w:color w:val="auto"/>
              </w:rPr>
            </w:pPr>
            <w:r>
              <w:rPr>
                <w:rFonts w:ascii="Arial" w:cs="Arial" w:eastAsia="Arial" w:hAnsi="Arial"/>
                <w:sz w:val="18"/>
                <w:szCs w:val="18"/>
                <w:color w:val="auto"/>
              </w:rPr>
              <w:t>424,833</w:t>
            </w:r>
          </w:p>
        </w:tc>
        <w:tc>
          <w:tcPr>
            <w:tcW w:w="70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63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Robert D. Pedersen</w:t>
            </w:r>
          </w:p>
        </w:tc>
        <w:tc>
          <w:tcPr>
            <w:tcW w:w="132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358,716</w:t>
            </w: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6340" w:type="dxa"/>
            <w:vAlign w:val="bottom"/>
            <w:gridSpan w:val="2"/>
          </w:tcPr>
          <w:p>
            <w:pPr>
              <w:spacing w:after="0"/>
              <w:rPr>
                <w:sz w:val="20"/>
                <w:szCs w:val="20"/>
                <w:color w:val="auto"/>
              </w:rPr>
            </w:pPr>
            <w:r>
              <w:rPr>
                <w:rFonts w:ascii="Arial" w:cs="Arial" w:eastAsia="Arial" w:hAnsi="Arial"/>
                <w:sz w:val="18"/>
                <w:szCs w:val="18"/>
                <w:color w:val="auto"/>
              </w:rPr>
              <w:t>Michael K. Chan</w:t>
            </w:r>
          </w:p>
        </w:tc>
        <w:tc>
          <w:tcPr>
            <w:tcW w:w="1320" w:type="dxa"/>
            <w:vAlign w:val="bottom"/>
            <w:gridSpan w:val="2"/>
          </w:tcPr>
          <w:p>
            <w:pPr>
              <w:jc w:val="right"/>
              <w:ind w:right="280"/>
              <w:spacing w:after="0"/>
              <w:rPr>
                <w:sz w:val="20"/>
                <w:szCs w:val="20"/>
                <w:color w:val="auto"/>
              </w:rPr>
            </w:pPr>
            <w:r>
              <w:rPr>
                <w:rFonts w:ascii="Arial" w:cs="Arial" w:eastAsia="Arial" w:hAnsi="Arial"/>
                <w:sz w:val="18"/>
                <w:szCs w:val="18"/>
                <w:color w:val="auto"/>
              </w:rPr>
              <w:t>117,852</w:t>
            </w:r>
          </w:p>
        </w:tc>
        <w:tc>
          <w:tcPr>
            <w:tcW w:w="70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63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Hyman Shwiel</w:t>
            </w:r>
          </w:p>
        </w:tc>
        <w:tc>
          <w:tcPr>
            <w:tcW w:w="132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44,245</w:t>
            </w: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6340" w:type="dxa"/>
            <w:vAlign w:val="bottom"/>
            <w:gridSpan w:val="2"/>
          </w:tcPr>
          <w:p>
            <w:pPr>
              <w:spacing w:after="0"/>
              <w:rPr>
                <w:sz w:val="20"/>
                <w:szCs w:val="20"/>
                <w:color w:val="auto"/>
              </w:rPr>
            </w:pPr>
            <w:r>
              <w:rPr>
                <w:rFonts w:ascii="Arial" w:cs="Arial" w:eastAsia="Arial" w:hAnsi="Arial"/>
                <w:sz w:val="18"/>
                <w:szCs w:val="18"/>
                <w:color w:val="auto"/>
              </w:rPr>
              <w:t>Dudley R. Cottingham (7)</w:t>
            </w:r>
          </w:p>
        </w:tc>
        <w:tc>
          <w:tcPr>
            <w:tcW w:w="1320" w:type="dxa"/>
            <w:vAlign w:val="bottom"/>
            <w:gridSpan w:val="2"/>
          </w:tcPr>
          <w:p>
            <w:pPr>
              <w:jc w:val="right"/>
              <w:ind w:right="280"/>
              <w:spacing w:after="0"/>
              <w:rPr>
                <w:sz w:val="20"/>
                <w:szCs w:val="20"/>
                <w:color w:val="auto"/>
              </w:rPr>
            </w:pPr>
            <w:r>
              <w:rPr>
                <w:rFonts w:ascii="Arial" w:cs="Arial" w:eastAsia="Arial" w:hAnsi="Arial"/>
                <w:sz w:val="18"/>
                <w:szCs w:val="18"/>
                <w:color w:val="auto"/>
              </w:rPr>
              <w:t>42,245</w:t>
            </w:r>
          </w:p>
        </w:tc>
        <w:tc>
          <w:tcPr>
            <w:tcW w:w="70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63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David M. Nurek (8)</w:t>
            </w:r>
          </w:p>
        </w:tc>
        <w:tc>
          <w:tcPr>
            <w:tcW w:w="132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40,816</w:t>
            </w: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6340" w:type="dxa"/>
            <w:vAlign w:val="bottom"/>
            <w:gridSpan w:val="2"/>
          </w:tcPr>
          <w:p>
            <w:pPr>
              <w:spacing w:after="0"/>
              <w:rPr>
                <w:sz w:val="20"/>
                <w:szCs w:val="20"/>
                <w:color w:val="auto"/>
              </w:rPr>
            </w:pPr>
            <w:r>
              <w:rPr>
                <w:rFonts w:ascii="Arial" w:cs="Arial" w:eastAsia="Arial" w:hAnsi="Arial"/>
                <w:sz w:val="18"/>
                <w:szCs w:val="18"/>
                <w:color w:val="auto"/>
              </w:rPr>
              <w:t>Hennie Van der Merwe (8)</w:t>
            </w:r>
          </w:p>
        </w:tc>
        <w:tc>
          <w:tcPr>
            <w:tcW w:w="1320" w:type="dxa"/>
            <w:vAlign w:val="bottom"/>
            <w:gridSpan w:val="2"/>
          </w:tcPr>
          <w:p>
            <w:pPr>
              <w:jc w:val="right"/>
              <w:ind w:right="280"/>
              <w:spacing w:after="0"/>
              <w:rPr>
                <w:sz w:val="20"/>
                <w:szCs w:val="20"/>
                <w:color w:val="auto"/>
              </w:rPr>
            </w:pPr>
            <w:r>
              <w:rPr>
                <w:rFonts w:ascii="Arial" w:cs="Arial" w:eastAsia="Arial" w:hAnsi="Arial"/>
                <w:sz w:val="18"/>
                <w:szCs w:val="18"/>
                <w:color w:val="auto"/>
              </w:rPr>
              <w:t>23,223</w:t>
            </w:r>
          </w:p>
        </w:tc>
        <w:tc>
          <w:tcPr>
            <w:tcW w:w="70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63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Grace Tang</w:t>
            </w:r>
          </w:p>
        </w:tc>
        <w:tc>
          <w:tcPr>
            <w:tcW w:w="132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6,944</w:t>
            </w: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30"/>
        </w:trPr>
        <w:tc>
          <w:tcPr>
            <w:tcW w:w="6340" w:type="dxa"/>
            <w:vAlign w:val="bottom"/>
            <w:gridSpan w:val="2"/>
          </w:tcPr>
          <w:p>
            <w:pPr>
              <w:spacing w:after="0"/>
              <w:rPr>
                <w:sz w:val="20"/>
                <w:szCs w:val="20"/>
                <w:color w:val="auto"/>
              </w:rPr>
            </w:pPr>
            <w:r>
              <w:rPr>
                <w:rFonts w:ascii="Arial" w:cs="Arial" w:eastAsia="Arial" w:hAnsi="Arial"/>
                <w:sz w:val="18"/>
                <w:szCs w:val="18"/>
                <w:color w:val="auto"/>
              </w:rPr>
              <w:t>Current directors and executive officers (9 persons) as a group</w:t>
            </w:r>
          </w:p>
        </w:tc>
        <w:tc>
          <w:tcPr>
            <w:tcW w:w="1320" w:type="dxa"/>
            <w:vAlign w:val="bottom"/>
            <w:gridSpan w:val="2"/>
          </w:tcPr>
          <w:p>
            <w:pPr>
              <w:jc w:val="right"/>
              <w:ind w:right="280"/>
              <w:spacing w:after="0"/>
              <w:rPr>
                <w:sz w:val="20"/>
                <w:szCs w:val="20"/>
                <w:color w:val="auto"/>
              </w:rPr>
            </w:pPr>
            <w:r>
              <w:rPr>
                <w:rFonts w:ascii="Arial" w:cs="Arial" w:eastAsia="Arial" w:hAnsi="Arial"/>
                <w:sz w:val="18"/>
                <w:szCs w:val="18"/>
                <w:color w:val="auto"/>
              </w:rPr>
              <w:t>2,617,997</w:t>
            </w:r>
          </w:p>
        </w:tc>
        <w:tc>
          <w:tcPr>
            <w:tcW w:w="700" w:type="dxa"/>
            <w:vAlign w:val="bottom"/>
            <w:gridSpan w:val="2"/>
          </w:tcPr>
          <w:p>
            <w:pPr>
              <w:jc w:val="right"/>
              <w:ind w:right="40"/>
              <w:spacing w:after="0"/>
              <w:rPr>
                <w:sz w:val="20"/>
                <w:szCs w:val="20"/>
                <w:color w:val="auto"/>
              </w:rPr>
            </w:pPr>
            <w:r>
              <w:rPr>
                <w:rFonts w:ascii="Arial" w:cs="Arial" w:eastAsia="Arial" w:hAnsi="Arial"/>
                <w:sz w:val="18"/>
                <w:szCs w:val="18"/>
                <w:color w:val="auto"/>
              </w:rPr>
              <w:t>5.2%</w:t>
            </w:r>
          </w:p>
        </w:tc>
        <w:tc>
          <w:tcPr>
            <w:tcW w:w="0" w:type="dxa"/>
            <w:vAlign w:val="bottom"/>
          </w:tcPr>
          <w:p>
            <w:pPr>
              <w:spacing w:after="0"/>
              <w:rPr>
                <w:sz w:val="1"/>
                <w:szCs w:val="1"/>
                <w:color w:val="auto"/>
              </w:rPr>
            </w:pPr>
          </w:p>
        </w:tc>
      </w:tr>
    </w:tbl>
    <w:p>
      <w:pPr>
        <w:spacing w:after="0" w:line="214" w:lineRule="exact"/>
        <w:rPr>
          <w:sz w:val="20"/>
          <w:szCs w:val="20"/>
          <w:color w:val="auto"/>
        </w:rPr>
      </w:pPr>
    </w:p>
    <w:p>
      <w:pPr>
        <w:ind w:left="424" w:hanging="424"/>
        <w:spacing w:after="0"/>
        <w:tabs>
          <w:tab w:leader="none" w:pos="424" w:val="left"/>
        </w:tabs>
        <w:numPr>
          <w:ilvl w:val="0"/>
          <w:numId w:val="65"/>
        </w:numPr>
        <w:rPr>
          <w:rFonts w:ascii="Arial" w:cs="Arial" w:eastAsia="Arial" w:hAnsi="Arial"/>
          <w:sz w:val="18"/>
          <w:szCs w:val="18"/>
          <w:color w:val="auto"/>
        </w:rPr>
      </w:pPr>
      <w:r>
        <w:rPr>
          <w:rFonts w:ascii="Arial" w:cs="Arial" w:eastAsia="Arial" w:hAnsi="Arial"/>
          <w:sz w:val="18"/>
          <w:szCs w:val="18"/>
          <w:color w:val="auto"/>
        </w:rPr>
        <w:t>Less than 1%.</w:t>
      </w:r>
    </w:p>
    <w:p>
      <w:pPr>
        <w:spacing w:after="0" w:line="23" w:lineRule="exact"/>
        <w:rPr>
          <w:sz w:val="20"/>
          <w:szCs w:val="20"/>
          <w:color w:val="auto"/>
        </w:rPr>
      </w:pPr>
    </w:p>
    <w:p>
      <w:pPr>
        <w:ind w:left="424" w:right="40" w:hanging="424"/>
        <w:spacing w:after="0" w:line="265" w:lineRule="auto"/>
        <w:tabs>
          <w:tab w:leader="none" w:pos="424" w:val="left"/>
        </w:tabs>
        <w:numPr>
          <w:ilvl w:val="0"/>
          <w:numId w:val="66"/>
        </w:numPr>
        <w:rPr>
          <w:rFonts w:ascii="Arial" w:cs="Arial" w:eastAsia="Arial" w:hAnsi="Arial"/>
          <w:sz w:val="17"/>
          <w:szCs w:val="17"/>
          <w:color w:val="auto"/>
        </w:rPr>
      </w:pPr>
      <w:r>
        <w:rPr>
          <w:rFonts w:ascii="Arial" w:cs="Arial" w:eastAsia="Arial" w:hAnsi="Arial"/>
          <w:sz w:val="17"/>
          <w:szCs w:val="17"/>
          <w:color w:val="auto"/>
        </w:rPr>
        <w:t>Percentage ownership is based on 50,495,789 total shares outstanding as of December 31, 2020. There are 18,977,403 common shares issued and outstanding in a secondary, or dual, listing of our common shares on the JSE in South Africa under the symbol “TXT”.</w:t>
      </w:r>
    </w:p>
    <w:p>
      <w:pPr>
        <w:ind w:left="424" w:right="100" w:hanging="424"/>
        <w:spacing w:after="0" w:line="250" w:lineRule="auto"/>
        <w:tabs>
          <w:tab w:leader="none" w:pos="424" w:val="left"/>
        </w:tabs>
        <w:numPr>
          <w:ilvl w:val="0"/>
          <w:numId w:val="66"/>
        </w:numPr>
        <w:rPr>
          <w:rFonts w:ascii="Arial" w:cs="Arial" w:eastAsia="Arial" w:hAnsi="Arial"/>
          <w:sz w:val="18"/>
          <w:szCs w:val="18"/>
          <w:color w:val="auto"/>
        </w:rPr>
      </w:pPr>
      <w:r>
        <w:rPr>
          <w:rFonts w:ascii="Arial" w:cs="Arial" w:eastAsia="Arial" w:hAnsi="Arial"/>
          <w:sz w:val="18"/>
          <w:szCs w:val="18"/>
          <w:color w:val="auto"/>
        </w:rPr>
        <w:t>Based on the Schedule 13G filed with the SEC on February 10, 2021 by Coronation Asset Management (Pty) Ltd. (a South African company), it had sole voting and dispositive power over the 5,642,419 shares it beneficially owned as of December 31, 2020.</w:t>
      </w:r>
    </w:p>
    <w:p>
      <w:pPr>
        <w:ind w:left="424" w:right="120" w:hanging="424"/>
        <w:spacing w:after="0" w:line="250" w:lineRule="auto"/>
        <w:tabs>
          <w:tab w:leader="none" w:pos="424" w:val="left"/>
        </w:tabs>
        <w:numPr>
          <w:ilvl w:val="0"/>
          <w:numId w:val="66"/>
        </w:numPr>
        <w:rPr>
          <w:rFonts w:ascii="Arial" w:cs="Arial" w:eastAsia="Arial" w:hAnsi="Arial"/>
          <w:sz w:val="18"/>
          <w:szCs w:val="18"/>
          <w:color w:val="auto"/>
        </w:rPr>
      </w:pPr>
      <w:r>
        <w:rPr>
          <w:rFonts w:ascii="Arial" w:cs="Arial" w:eastAsia="Arial" w:hAnsi="Arial"/>
          <w:sz w:val="18"/>
          <w:szCs w:val="18"/>
          <w:color w:val="auto"/>
        </w:rPr>
        <w:t>Based on the Schedule 13G filed with the SEC on February 16, 2021 by Dimensional Fund Advisors LP (a Delaware limited partnership), it had sole voting power over 2,714,630 shares and sole power to direct the disposition of 2,898,338 shares it beneficially owned as of December 31, 2020.</w:t>
      </w:r>
    </w:p>
    <w:p>
      <w:pPr>
        <w:spacing w:after="0" w:line="1" w:lineRule="exact"/>
        <w:rPr>
          <w:rFonts w:ascii="Arial" w:cs="Arial" w:eastAsia="Arial" w:hAnsi="Arial"/>
          <w:sz w:val="18"/>
          <w:szCs w:val="18"/>
          <w:color w:val="auto"/>
        </w:rPr>
      </w:pPr>
    </w:p>
    <w:p>
      <w:pPr>
        <w:ind w:left="424" w:hanging="424"/>
        <w:spacing w:after="0" w:line="250" w:lineRule="auto"/>
        <w:tabs>
          <w:tab w:leader="none" w:pos="424" w:val="left"/>
        </w:tabs>
        <w:numPr>
          <w:ilvl w:val="0"/>
          <w:numId w:val="66"/>
        </w:numPr>
        <w:rPr>
          <w:rFonts w:ascii="Arial" w:cs="Arial" w:eastAsia="Arial" w:hAnsi="Arial"/>
          <w:sz w:val="18"/>
          <w:szCs w:val="18"/>
          <w:color w:val="auto"/>
        </w:rPr>
      </w:pPr>
      <w:r>
        <w:rPr>
          <w:rFonts w:ascii="Arial" w:cs="Arial" w:eastAsia="Arial" w:hAnsi="Arial"/>
          <w:sz w:val="18"/>
          <w:szCs w:val="18"/>
          <w:color w:val="auto"/>
        </w:rPr>
        <w:t>Based on the Schedule 13G filed with the SEC on February 11, 2021 by Massachusetts Financial Services Company (a Delaware company) it had sole voting and dispositive power over the 2,719,033 shares it beneficially owned as of December 31, 2020.</w:t>
      </w:r>
    </w:p>
    <w:p>
      <w:pPr>
        <w:ind w:left="424" w:right="160" w:hanging="424"/>
        <w:spacing w:after="0" w:line="281" w:lineRule="auto"/>
        <w:tabs>
          <w:tab w:leader="none" w:pos="424" w:val="left"/>
        </w:tabs>
        <w:numPr>
          <w:ilvl w:val="0"/>
          <w:numId w:val="66"/>
        </w:numPr>
        <w:rPr>
          <w:rFonts w:ascii="Arial" w:cs="Arial" w:eastAsia="Arial" w:hAnsi="Arial"/>
          <w:sz w:val="16"/>
          <w:szCs w:val="16"/>
          <w:color w:val="auto"/>
        </w:rPr>
      </w:pPr>
      <w:r>
        <w:rPr>
          <w:rFonts w:ascii="Arial" w:cs="Arial" w:eastAsia="Arial" w:hAnsi="Arial"/>
          <w:sz w:val="16"/>
          <w:szCs w:val="16"/>
          <w:color w:val="auto"/>
        </w:rPr>
        <w:t>Based on the Schedule 13G filed with the SEC on February 12, 2021 by Mr. Isam K. Kabbani, it had sole voting and dispositive power over the 2,579,230 shares held by Delmas Invest Holdings S.A (a Saudi Arabia company) over which Mr. Kabbani has beneficial ownership.</w:t>
      </w:r>
    </w:p>
    <w:p>
      <w:pPr>
        <w:spacing w:after="0" w:line="1" w:lineRule="exact"/>
        <w:rPr>
          <w:rFonts w:ascii="Arial" w:cs="Arial" w:eastAsia="Arial" w:hAnsi="Arial"/>
          <w:sz w:val="16"/>
          <w:szCs w:val="16"/>
          <w:color w:val="auto"/>
        </w:rPr>
      </w:pPr>
    </w:p>
    <w:p>
      <w:pPr>
        <w:ind w:left="424" w:hanging="424"/>
        <w:spacing w:after="0"/>
        <w:tabs>
          <w:tab w:leader="none" w:pos="424" w:val="left"/>
        </w:tabs>
        <w:numPr>
          <w:ilvl w:val="0"/>
          <w:numId w:val="66"/>
        </w:numPr>
        <w:rPr>
          <w:rFonts w:ascii="Arial" w:cs="Arial" w:eastAsia="Arial" w:hAnsi="Arial"/>
          <w:sz w:val="17"/>
          <w:szCs w:val="17"/>
          <w:color w:val="auto"/>
        </w:rPr>
      </w:pPr>
      <w:r>
        <w:rPr>
          <w:rFonts w:ascii="Arial" w:cs="Arial" w:eastAsia="Arial" w:hAnsi="Arial"/>
          <w:sz w:val="17"/>
          <w:szCs w:val="17"/>
          <w:color w:val="auto"/>
        </w:rPr>
        <w:t>Includes 1,205,100 shares held by the Maccarone Family Partnership L.P. and 341,969 shares held by the Maccarone Revocable Trust.</w:t>
      </w:r>
    </w:p>
    <w:p>
      <w:pPr>
        <w:spacing w:after="0" w:line="20" w:lineRule="exact"/>
        <w:rPr>
          <w:rFonts w:ascii="Arial" w:cs="Arial" w:eastAsia="Arial" w:hAnsi="Arial"/>
          <w:sz w:val="17"/>
          <w:szCs w:val="17"/>
          <w:color w:val="auto"/>
        </w:rPr>
      </w:pPr>
    </w:p>
    <w:p>
      <w:pPr>
        <w:ind w:left="424" w:hanging="424"/>
        <w:spacing w:after="0"/>
        <w:tabs>
          <w:tab w:leader="none" w:pos="424" w:val="left"/>
        </w:tabs>
        <w:numPr>
          <w:ilvl w:val="0"/>
          <w:numId w:val="66"/>
        </w:numPr>
        <w:rPr>
          <w:rFonts w:ascii="Arial" w:cs="Arial" w:eastAsia="Arial" w:hAnsi="Arial"/>
          <w:sz w:val="17"/>
          <w:szCs w:val="17"/>
          <w:color w:val="auto"/>
        </w:rPr>
      </w:pPr>
      <w:r>
        <w:rPr>
          <w:rFonts w:ascii="Arial" w:cs="Arial" w:eastAsia="Arial" w:hAnsi="Arial"/>
          <w:sz w:val="17"/>
          <w:szCs w:val="17"/>
          <w:color w:val="auto"/>
        </w:rPr>
        <w:t>Includes 32,641 shares held by Caribbean Dream Limited, a company owned by a trust in which Mr. Cottingham is the principal beneficiary.</w:t>
      </w:r>
    </w:p>
    <w:p>
      <w:pPr>
        <w:spacing w:after="0" w:line="20" w:lineRule="exact"/>
        <w:rPr>
          <w:rFonts w:ascii="Arial" w:cs="Arial" w:eastAsia="Arial" w:hAnsi="Arial"/>
          <w:sz w:val="17"/>
          <w:szCs w:val="17"/>
          <w:color w:val="auto"/>
        </w:rPr>
      </w:pPr>
    </w:p>
    <w:p>
      <w:pPr>
        <w:ind w:left="424" w:right="120" w:hanging="424"/>
        <w:spacing w:after="0" w:line="255" w:lineRule="auto"/>
        <w:tabs>
          <w:tab w:leader="none" w:pos="424" w:val="left"/>
        </w:tabs>
        <w:numPr>
          <w:ilvl w:val="0"/>
          <w:numId w:val="66"/>
        </w:numPr>
        <w:rPr>
          <w:rFonts w:ascii="Arial" w:cs="Arial" w:eastAsia="Arial" w:hAnsi="Arial"/>
          <w:sz w:val="18"/>
          <w:szCs w:val="18"/>
          <w:color w:val="auto"/>
        </w:rPr>
      </w:pPr>
      <w:r>
        <w:rPr>
          <w:rFonts w:ascii="Arial" w:cs="Arial" w:eastAsia="Arial" w:hAnsi="Arial"/>
          <w:sz w:val="18"/>
          <w:szCs w:val="18"/>
          <w:color w:val="auto"/>
        </w:rPr>
        <w:t>Mr. Nurek and Mr. Van der Merwe are members of our board of directors and board of directors of Trencor. In June 2020, Trencor distributed its remaining 3.0 million shares in the Company to Trencor’s own shareholders. Following the June 2020 distribution of shares, Trencor no longer holds any shares in the Company.</w:t>
      </w:r>
    </w:p>
    <w:p>
      <w:pPr>
        <w:spacing w:after="0" w:line="122" w:lineRule="exact"/>
        <w:rPr>
          <w:sz w:val="20"/>
          <w:szCs w:val="20"/>
          <w:color w:val="auto"/>
        </w:rPr>
      </w:pPr>
    </w:p>
    <w:p>
      <w:pPr>
        <w:jc w:val="center"/>
        <w:ind w:right="-63"/>
        <w:spacing w:after="0"/>
        <w:rPr>
          <w:sz w:val="20"/>
          <w:szCs w:val="20"/>
          <w:color w:val="auto"/>
        </w:rPr>
      </w:pPr>
      <w:r>
        <w:rPr>
          <w:rFonts w:ascii="Arial" w:cs="Arial" w:eastAsia="Arial" w:hAnsi="Arial"/>
          <w:sz w:val="18"/>
          <w:szCs w:val="18"/>
          <w:color w:val="auto"/>
        </w:rPr>
        <w:t>77</w:t>
      </w:r>
    </w:p>
    <w:p>
      <w:pPr>
        <w:sectPr>
          <w:pgSz w:w="11900" w:h="16838" w:orient="portrait"/>
          <w:cols w:equalWidth="0" w:num="1">
            <w:col w:w="10944"/>
          </w:cols>
          <w:pgMar w:left="436" w:top="274" w:right="519" w:bottom="1440" w:gutter="0" w:footer="0" w:header="0"/>
        </w:sectPr>
      </w:pPr>
    </w:p>
    <w:bookmarkStart w:id="91" w:name="page92"/>
    <w:bookmarkEnd w:id="91"/>
    <w:p>
      <w:pPr>
        <w:ind w:left="424" w:right="140" w:hanging="424"/>
        <w:spacing w:after="0" w:line="342" w:lineRule="auto"/>
        <w:tabs>
          <w:tab w:leader="none" w:pos="424" w:val="left"/>
        </w:tabs>
        <w:numPr>
          <w:ilvl w:val="0"/>
          <w:numId w:val="67"/>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7174865" cy="38735"/>
                    </a:xfrm>
                    <a:prstGeom prst="rect">
                      <a:avLst/>
                    </a:prstGeom>
                    <a:noFill/>
                  </pic:spPr>
                </pic:pic>
              </a:graphicData>
            </a:graphic>
          </wp:anchor>
        </w:drawing>
        <w:t>Beneficial ownership by a person assumes the exercise of all share options, warrants and rights held by such person, even if not vested. Common shares beneficially owned include the following outstanding share options, restricted share units and performance restricted share units:</w:t>
      </w:r>
    </w:p>
    <w:p>
      <w:pPr>
        <w:spacing w:after="0" w:line="142" w:lineRule="exact"/>
        <w:rPr>
          <w:sz w:val="20"/>
          <w:szCs w:val="20"/>
          <w:color w:val="auto"/>
        </w:rPr>
      </w:pPr>
    </w:p>
    <w:tbl>
      <w:tblPr>
        <w:tblLayout w:type="fixed"/>
        <w:tblInd w:w="4" w:type="dxa"/>
        <w:tblCellMar>
          <w:top w:w="0" w:type="dxa"/>
          <w:left w:w="0" w:type="dxa"/>
          <w:bottom w:w="0" w:type="dxa"/>
          <w:right w:w="0" w:type="dxa"/>
        </w:tblCellMar>
      </w:tblPr>
      <w:tr>
        <w:trPr>
          <w:trHeight w:val="171"/>
        </w:trPr>
        <w:tc>
          <w:tcPr>
            <w:tcW w:w="10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96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84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92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1040" w:type="dxa"/>
            <w:vAlign w:val="bottom"/>
            <w:tcBorders>
              <w:bottom w:val="single" w:sz="8" w:color="auto"/>
            </w:tcBorders>
            <w:gridSpan w:val="2"/>
          </w:tcPr>
          <w:p>
            <w:pPr>
              <w:jc w:val="right"/>
              <w:ind w:right="140"/>
              <w:spacing w:after="0"/>
              <w:rPr>
                <w:sz w:val="20"/>
                <w:szCs w:val="20"/>
                <w:color w:val="auto"/>
              </w:rPr>
            </w:pPr>
            <w:r>
              <w:rPr>
                <w:rFonts w:ascii="Arial" w:cs="Arial" w:eastAsia="Arial" w:hAnsi="Arial"/>
                <w:sz w:val="14"/>
                <w:szCs w:val="14"/>
                <w:b w:val="1"/>
                <w:bCs w:val="1"/>
                <w:color w:val="auto"/>
              </w:rPr>
              <w:t>Grant Date</w:t>
            </w:r>
          </w:p>
        </w:tc>
        <w:tc>
          <w:tcPr>
            <w:tcW w:w="10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88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104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160" w:type="dxa"/>
            <w:vAlign w:val="bottom"/>
            <w:gridSpan w:val="3"/>
          </w:tcPr>
          <w:p>
            <w:pPr>
              <w:jc w:val="right"/>
              <w:ind w:right="240"/>
              <w:spacing w:after="0" w:line="119" w:lineRule="exact"/>
              <w:rPr>
                <w:sz w:val="20"/>
                <w:szCs w:val="20"/>
                <w:color w:val="auto"/>
              </w:rPr>
            </w:pPr>
            <w:r>
              <w:rPr>
                <w:rFonts w:ascii="Arial" w:cs="Arial" w:eastAsia="Arial" w:hAnsi="Arial"/>
                <w:sz w:val="13"/>
                <w:szCs w:val="13"/>
                <w:b w:val="1"/>
                <w:bCs w:val="1"/>
                <w:color w:val="auto"/>
              </w:rPr>
              <w:t>11/16/2011 to</w:t>
            </w:r>
          </w:p>
        </w:tc>
        <w:tc>
          <w:tcPr>
            <w:tcW w:w="840" w:type="dxa"/>
            <w:vAlign w:val="bottom"/>
            <w:vMerge w:val="restart"/>
          </w:tcPr>
          <w:p>
            <w:pPr>
              <w:jc w:val="right"/>
              <w:ind w:right="56"/>
              <w:spacing w:after="0"/>
              <w:rPr>
                <w:sz w:val="20"/>
                <w:szCs w:val="20"/>
                <w:color w:val="auto"/>
              </w:rPr>
            </w:pPr>
            <w:r>
              <w:rPr>
                <w:rFonts w:ascii="Arial" w:cs="Arial" w:eastAsia="Arial" w:hAnsi="Arial"/>
                <w:sz w:val="14"/>
                <w:szCs w:val="14"/>
                <w:b w:val="1"/>
                <w:bCs w:val="1"/>
                <w:color w:val="auto"/>
              </w:rPr>
              <w:t>5/19/2016</w:t>
            </w:r>
          </w:p>
        </w:tc>
        <w:tc>
          <w:tcPr>
            <w:tcW w:w="100" w:type="dxa"/>
            <w:vAlign w:val="bottom"/>
          </w:tcPr>
          <w:p>
            <w:pPr>
              <w:spacing w:after="0"/>
              <w:rPr>
                <w:sz w:val="10"/>
                <w:szCs w:val="10"/>
                <w:color w:val="auto"/>
              </w:rPr>
            </w:pPr>
          </w:p>
        </w:tc>
        <w:tc>
          <w:tcPr>
            <w:tcW w:w="920" w:type="dxa"/>
            <w:vAlign w:val="bottom"/>
            <w:vMerge w:val="restart"/>
          </w:tcPr>
          <w:p>
            <w:pPr>
              <w:jc w:val="right"/>
              <w:ind w:right="56"/>
              <w:spacing w:after="0"/>
              <w:rPr>
                <w:sz w:val="20"/>
                <w:szCs w:val="20"/>
                <w:color w:val="auto"/>
              </w:rPr>
            </w:pPr>
            <w:r>
              <w:rPr>
                <w:rFonts w:ascii="Arial" w:cs="Arial" w:eastAsia="Arial" w:hAnsi="Arial"/>
                <w:sz w:val="14"/>
                <w:szCs w:val="14"/>
                <w:b w:val="1"/>
                <w:bCs w:val="1"/>
                <w:color w:val="auto"/>
              </w:rPr>
              <w:t>11/30/2016</w:t>
            </w:r>
          </w:p>
        </w:tc>
        <w:tc>
          <w:tcPr>
            <w:tcW w:w="1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40" w:type="dxa"/>
            <w:vAlign w:val="bottom"/>
            <w:vMerge w:val="restart"/>
          </w:tcPr>
          <w:p>
            <w:pPr>
              <w:ind w:left="40"/>
              <w:spacing w:after="0"/>
              <w:rPr>
                <w:sz w:val="20"/>
                <w:szCs w:val="20"/>
                <w:color w:val="auto"/>
              </w:rPr>
            </w:pPr>
            <w:r>
              <w:rPr>
                <w:rFonts w:ascii="Arial" w:cs="Arial" w:eastAsia="Arial" w:hAnsi="Arial"/>
                <w:sz w:val="14"/>
                <w:szCs w:val="14"/>
                <w:b w:val="1"/>
                <w:bCs w:val="1"/>
                <w:color w:val="auto"/>
              </w:rPr>
              <w:t>5/18/2017</w:t>
            </w:r>
          </w:p>
        </w:tc>
        <w:tc>
          <w:tcPr>
            <w:tcW w:w="60" w:type="dxa"/>
            <w:vAlign w:val="bottom"/>
          </w:tcPr>
          <w:p>
            <w:pPr>
              <w:spacing w:after="0"/>
              <w:rPr>
                <w:sz w:val="10"/>
                <w:szCs w:val="10"/>
                <w:color w:val="auto"/>
              </w:rPr>
            </w:pPr>
          </w:p>
        </w:tc>
        <w:tc>
          <w:tcPr>
            <w:tcW w:w="980" w:type="dxa"/>
            <w:vAlign w:val="bottom"/>
            <w:gridSpan w:val="2"/>
            <w:vMerge w:val="restart"/>
          </w:tcPr>
          <w:p>
            <w:pPr>
              <w:jc w:val="right"/>
              <w:ind w:right="32"/>
              <w:spacing w:after="0"/>
              <w:rPr>
                <w:sz w:val="20"/>
                <w:szCs w:val="20"/>
                <w:color w:val="auto"/>
              </w:rPr>
            </w:pPr>
            <w:r>
              <w:rPr>
                <w:rFonts w:ascii="Arial" w:cs="Arial" w:eastAsia="Arial" w:hAnsi="Arial"/>
                <w:sz w:val="14"/>
                <w:szCs w:val="14"/>
                <w:b w:val="1"/>
                <w:bCs w:val="1"/>
                <w:color w:val="auto"/>
              </w:rPr>
              <w:t>11/30/2017</w:t>
            </w: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20" w:type="dxa"/>
            <w:vAlign w:val="bottom"/>
            <w:vMerge w:val="restart"/>
          </w:tcPr>
          <w:p>
            <w:pPr>
              <w:jc w:val="right"/>
              <w:ind w:right="51"/>
              <w:spacing w:after="0"/>
              <w:rPr>
                <w:sz w:val="20"/>
                <w:szCs w:val="20"/>
                <w:color w:val="auto"/>
              </w:rPr>
            </w:pPr>
            <w:r>
              <w:rPr>
                <w:rFonts w:ascii="Arial" w:cs="Arial" w:eastAsia="Arial" w:hAnsi="Arial"/>
                <w:sz w:val="14"/>
                <w:szCs w:val="14"/>
                <w:b w:val="1"/>
                <w:bCs w:val="1"/>
                <w:color w:val="auto"/>
                <w:w w:val="94"/>
              </w:rPr>
              <w:t>11/30/2018</w:t>
            </w:r>
          </w:p>
        </w:tc>
        <w:tc>
          <w:tcPr>
            <w:tcW w:w="120" w:type="dxa"/>
            <w:vAlign w:val="bottom"/>
          </w:tcPr>
          <w:p>
            <w:pPr>
              <w:spacing w:after="0"/>
              <w:rPr>
                <w:sz w:val="10"/>
                <w:szCs w:val="10"/>
                <w:color w:val="auto"/>
              </w:rPr>
            </w:pPr>
          </w:p>
        </w:tc>
        <w:tc>
          <w:tcPr>
            <w:tcW w:w="880" w:type="dxa"/>
            <w:vAlign w:val="bottom"/>
            <w:vMerge w:val="restart"/>
          </w:tcPr>
          <w:p>
            <w:pPr>
              <w:jc w:val="right"/>
              <w:ind w:right="31"/>
              <w:spacing w:after="0"/>
              <w:rPr>
                <w:sz w:val="20"/>
                <w:szCs w:val="20"/>
                <w:color w:val="auto"/>
              </w:rPr>
            </w:pPr>
            <w:r>
              <w:rPr>
                <w:rFonts w:ascii="Arial" w:cs="Arial" w:eastAsia="Arial" w:hAnsi="Arial"/>
                <w:sz w:val="14"/>
                <w:szCs w:val="14"/>
                <w:b w:val="1"/>
                <w:bCs w:val="1"/>
                <w:color w:val="auto"/>
              </w:rPr>
              <w:t>11/30/2019</w:t>
            </w:r>
          </w:p>
        </w:tc>
        <w:tc>
          <w:tcPr>
            <w:tcW w:w="120" w:type="dxa"/>
            <w:vAlign w:val="bottom"/>
          </w:tcPr>
          <w:p>
            <w:pPr>
              <w:spacing w:after="0"/>
              <w:rPr>
                <w:sz w:val="10"/>
                <w:szCs w:val="10"/>
                <w:color w:val="auto"/>
              </w:rPr>
            </w:pPr>
          </w:p>
        </w:tc>
        <w:tc>
          <w:tcPr>
            <w:tcW w:w="600" w:type="dxa"/>
            <w:vAlign w:val="bottom"/>
            <w:vMerge w:val="restart"/>
          </w:tcPr>
          <w:p>
            <w:pPr>
              <w:jc w:val="right"/>
              <w:spacing w:after="0"/>
              <w:rPr>
                <w:sz w:val="20"/>
                <w:szCs w:val="20"/>
                <w:color w:val="auto"/>
              </w:rPr>
            </w:pPr>
            <w:r>
              <w:rPr>
                <w:rFonts w:ascii="Arial" w:cs="Arial" w:eastAsia="Arial" w:hAnsi="Arial"/>
                <w:sz w:val="14"/>
                <w:szCs w:val="14"/>
                <w:b w:val="1"/>
                <w:bCs w:val="1"/>
                <w:color w:val="auto"/>
                <w:w w:val="93"/>
              </w:rPr>
              <w:t>5/28/2020</w:t>
            </w:r>
          </w:p>
        </w:tc>
        <w:tc>
          <w:tcPr>
            <w:tcW w:w="120" w:type="dxa"/>
            <w:vAlign w:val="bottom"/>
          </w:tcPr>
          <w:p>
            <w:pPr>
              <w:spacing w:after="0"/>
              <w:rPr>
                <w:sz w:val="10"/>
                <w:szCs w:val="10"/>
                <w:color w:val="auto"/>
              </w:rPr>
            </w:pPr>
          </w:p>
        </w:tc>
        <w:tc>
          <w:tcPr>
            <w:tcW w:w="600" w:type="dxa"/>
            <w:vAlign w:val="bottom"/>
            <w:vMerge w:val="restart"/>
          </w:tcPr>
          <w:p>
            <w:pPr>
              <w:jc w:val="right"/>
              <w:spacing w:after="0"/>
              <w:rPr>
                <w:sz w:val="20"/>
                <w:szCs w:val="20"/>
                <w:color w:val="auto"/>
              </w:rPr>
            </w:pPr>
            <w:r>
              <w:rPr>
                <w:rFonts w:ascii="Arial" w:cs="Arial" w:eastAsia="Arial" w:hAnsi="Arial"/>
                <w:sz w:val="14"/>
                <w:szCs w:val="14"/>
                <w:b w:val="1"/>
                <w:bCs w:val="1"/>
                <w:color w:val="auto"/>
                <w:w w:val="89"/>
              </w:rPr>
              <w:t>8/26/2020</w:t>
            </w:r>
          </w:p>
        </w:tc>
        <w:tc>
          <w:tcPr>
            <w:tcW w:w="120" w:type="dxa"/>
            <w:vAlign w:val="bottom"/>
          </w:tcPr>
          <w:p>
            <w:pPr>
              <w:spacing w:after="0"/>
              <w:rPr>
                <w:sz w:val="10"/>
                <w:szCs w:val="10"/>
                <w:color w:val="auto"/>
              </w:rPr>
            </w:pPr>
          </w:p>
        </w:tc>
        <w:tc>
          <w:tcPr>
            <w:tcW w:w="660" w:type="dxa"/>
            <w:vAlign w:val="bottom"/>
            <w:vMerge w:val="restart"/>
          </w:tcPr>
          <w:p>
            <w:pPr>
              <w:jc w:val="right"/>
              <w:spacing w:after="0"/>
              <w:rPr>
                <w:sz w:val="20"/>
                <w:szCs w:val="20"/>
                <w:color w:val="auto"/>
              </w:rPr>
            </w:pPr>
            <w:r>
              <w:rPr>
                <w:rFonts w:ascii="Arial" w:cs="Arial" w:eastAsia="Arial" w:hAnsi="Arial"/>
                <w:sz w:val="14"/>
                <w:szCs w:val="14"/>
                <w:b w:val="1"/>
                <w:bCs w:val="1"/>
                <w:color w:val="auto"/>
                <w:w w:val="91"/>
              </w:rPr>
              <w:t>10/01/2020</w:t>
            </w: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10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040" w:type="dxa"/>
            <w:vAlign w:val="bottom"/>
            <w:gridSpan w:val="2"/>
          </w:tcPr>
          <w:p>
            <w:pPr>
              <w:jc w:val="right"/>
              <w:ind w:right="60"/>
              <w:spacing w:after="0"/>
              <w:rPr>
                <w:sz w:val="20"/>
                <w:szCs w:val="20"/>
                <w:color w:val="auto"/>
              </w:rPr>
            </w:pPr>
            <w:r>
              <w:rPr>
                <w:rFonts w:ascii="Arial" w:cs="Arial" w:eastAsia="Arial" w:hAnsi="Arial"/>
                <w:sz w:val="14"/>
                <w:szCs w:val="14"/>
                <w:b w:val="1"/>
                <w:bCs w:val="1"/>
                <w:color w:val="auto"/>
                <w:w w:val="97"/>
              </w:rPr>
              <w:t>11/12/2015 (10)</w:t>
            </w:r>
          </w:p>
        </w:tc>
        <w:tc>
          <w:tcPr>
            <w:tcW w:w="120" w:type="dxa"/>
            <w:vAlign w:val="bottom"/>
          </w:tcPr>
          <w:p>
            <w:pPr>
              <w:spacing w:after="0"/>
              <w:rPr>
                <w:sz w:val="14"/>
                <w:szCs w:val="14"/>
                <w:color w:val="auto"/>
              </w:rPr>
            </w:pPr>
          </w:p>
        </w:tc>
        <w:tc>
          <w:tcPr>
            <w:tcW w:w="840" w:type="dxa"/>
            <w:vAlign w:val="bottom"/>
            <w:vMerge w:val="continue"/>
          </w:tcPr>
          <w:p>
            <w:pPr>
              <w:spacing w:after="0"/>
              <w:rPr>
                <w:sz w:val="14"/>
                <w:szCs w:val="14"/>
                <w:color w:val="auto"/>
              </w:rPr>
            </w:pPr>
          </w:p>
        </w:tc>
        <w:tc>
          <w:tcPr>
            <w:tcW w:w="100" w:type="dxa"/>
            <w:vAlign w:val="bottom"/>
          </w:tcPr>
          <w:p>
            <w:pPr>
              <w:spacing w:after="0"/>
              <w:rPr>
                <w:sz w:val="14"/>
                <w:szCs w:val="14"/>
                <w:color w:val="auto"/>
              </w:rPr>
            </w:pPr>
          </w:p>
        </w:tc>
        <w:tc>
          <w:tcPr>
            <w:tcW w:w="920" w:type="dxa"/>
            <w:vAlign w:val="bottom"/>
            <w:vMerge w:val="continue"/>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40" w:type="dxa"/>
            <w:vAlign w:val="bottom"/>
            <w:vMerge w:val="continue"/>
          </w:tcPr>
          <w:p>
            <w:pPr>
              <w:spacing w:after="0"/>
              <w:rPr>
                <w:sz w:val="14"/>
                <w:szCs w:val="14"/>
                <w:color w:val="auto"/>
              </w:rPr>
            </w:pPr>
          </w:p>
        </w:tc>
        <w:tc>
          <w:tcPr>
            <w:tcW w:w="60" w:type="dxa"/>
            <w:vAlign w:val="bottom"/>
          </w:tcPr>
          <w:p>
            <w:pPr>
              <w:spacing w:after="0"/>
              <w:rPr>
                <w:sz w:val="14"/>
                <w:szCs w:val="14"/>
                <w:color w:val="auto"/>
              </w:rPr>
            </w:pPr>
          </w:p>
        </w:tc>
        <w:tc>
          <w:tcPr>
            <w:tcW w:w="980" w:type="dxa"/>
            <w:vAlign w:val="bottom"/>
            <w:gridSpan w:val="2"/>
            <w:vMerge w:val="continue"/>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20" w:type="dxa"/>
            <w:vAlign w:val="bottom"/>
            <w:vMerge w:val="continue"/>
          </w:tcPr>
          <w:p>
            <w:pPr>
              <w:spacing w:after="0"/>
              <w:rPr>
                <w:sz w:val="14"/>
                <w:szCs w:val="14"/>
                <w:color w:val="auto"/>
              </w:rPr>
            </w:pPr>
          </w:p>
        </w:tc>
        <w:tc>
          <w:tcPr>
            <w:tcW w:w="120" w:type="dxa"/>
            <w:vAlign w:val="bottom"/>
          </w:tcPr>
          <w:p>
            <w:pPr>
              <w:spacing w:after="0"/>
              <w:rPr>
                <w:sz w:val="14"/>
                <w:szCs w:val="14"/>
                <w:color w:val="auto"/>
              </w:rPr>
            </w:pPr>
          </w:p>
        </w:tc>
        <w:tc>
          <w:tcPr>
            <w:tcW w:w="880" w:type="dxa"/>
            <w:vAlign w:val="bottom"/>
            <w:vMerge w:val="continue"/>
          </w:tcPr>
          <w:p>
            <w:pPr>
              <w:spacing w:after="0"/>
              <w:rPr>
                <w:sz w:val="14"/>
                <w:szCs w:val="14"/>
                <w:color w:val="auto"/>
              </w:rPr>
            </w:pPr>
          </w:p>
        </w:tc>
        <w:tc>
          <w:tcPr>
            <w:tcW w:w="120" w:type="dxa"/>
            <w:vAlign w:val="bottom"/>
          </w:tcPr>
          <w:p>
            <w:pPr>
              <w:spacing w:after="0"/>
              <w:rPr>
                <w:sz w:val="14"/>
                <w:szCs w:val="14"/>
                <w:color w:val="auto"/>
              </w:rPr>
            </w:pPr>
          </w:p>
        </w:tc>
        <w:tc>
          <w:tcPr>
            <w:tcW w:w="600" w:type="dxa"/>
            <w:vAlign w:val="bottom"/>
            <w:vMerge w:val="continue"/>
          </w:tcPr>
          <w:p>
            <w:pPr>
              <w:spacing w:after="0"/>
              <w:rPr>
                <w:sz w:val="14"/>
                <w:szCs w:val="14"/>
                <w:color w:val="auto"/>
              </w:rPr>
            </w:pPr>
          </w:p>
        </w:tc>
        <w:tc>
          <w:tcPr>
            <w:tcW w:w="120" w:type="dxa"/>
            <w:vAlign w:val="bottom"/>
          </w:tcPr>
          <w:p>
            <w:pPr>
              <w:spacing w:after="0"/>
              <w:rPr>
                <w:sz w:val="14"/>
                <w:szCs w:val="14"/>
                <w:color w:val="auto"/>
              </w:rPr>
            </w:pPr>
          </w:p>
        </w:tc>
        <w:tc>
          <w:tcPr>
            <w:tcW w:w="600" w:type="dxa"/>
            <w:vAlign w:val="bottom"/>
            <w:vMerge w:val="continue"/>
          </w:tcPr>
          <w:p>
            <w:pPr>
              <w:spacing w:after="0"/>
              <w:rPr>
                <w:sz w:val="14"/>
                <w:szCs w:val="14"/>
                <w:color w:val="auto"/>
              </w:rPr>
            </w:pPr>
          </w:p>
        </w:tc>
        <w:tc>
          <w:tcPr>
            <w:tcW w:w="120" w:type="dxa"/>
            <w:vAlign w:val="bottom"/>
          </w:tcPr>
          <w:p>
            <w:pPr>
              <w:spacing w:after="0"/>
              <w:rPr>
                <w:sz w:val="14"/>
                <w:szCs w:val="14"/>
                <w:color w:val="auto"/>
              </w:rPr>
            </w:pPr>
          </w:p>
        </w:tc>
        <w:tc>
          <w:tcPr>
            <w:tcW w:w="660" w:type="dxa"/>
            <w:vAlign w:val="bottom"/>
            <w:vMerge w:val="continue"/>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6"/>
        </w:trPr>
        <w:tc>
          <w:tcPr>
            <w:tcW w:w="1700" w:type="dxa"/>
            <w:vAlign w:val="bottom"/>
            <w:tcBorders>
              <w:top w:val="single" w:sz="8" w:color="CCEEFF"/>
            </w:tcBorders>
            <w:gridSpan w:val="3"/>
            <w:shd w:val="clear" w:color="auto" w:fill="CCEEFF"/>
          </w:tcPr>
          <w:p>
            <w:pPr>
              <w:spacing w:after="0" w:line="156" w:lineRule="exact"/>
              <w:rPr>
                <w:sz w:val="20"/>
                <w:szCs w:val="20"/>
                <w:color w:val="auto"/>
              </w:rPr>
            </w:pPr>
            <w:r>
              <w:rPr>
                <w:rFonts w:ascii="Arial" w:cs="Arial" w:eastAsia="Arial" w:hAnsi="Arial"/>
                <w:sz w:val="18"/>
                <w:szCs w:val="18"/>
                <w:b w:val="1"/>
                <w:bCs w:val="1"/>
                <w:color w:val="auto"/>
              </w:rPr>
              <w:t>Share options</w:t>
            </w:r>
          </w:p>
        </w:tc>
        <w:tc>
          <w:tcPr>
            <w:tcW w:w="960" w:type="dxa"/>
            <w:vAlign w:val="bottom"/>
            <w:tcBorders>
              <w:top w:val="single" w:sz="8" w:color="auto"/>
            </w:tcBorders>
            <w:shd w:val="clear" w:color="auto" w:fill="CCEEFF"/>
          </w:tcPr>
          <w:p>
            <w:pPr>
              <w:spacing w:after="0"/>
              <w:rPr>
                <w:sz w:val="15"/>
                <w:szCs w:val="15"/>
                <w:color w:val="auto"/>
              </w:rPr>
            </w:pPr>
          </w:p>
        </w:tc>
        <w:tc>
          <w:tcPr>
            <w:tcW w:w="8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840" w:type="dxa"/>
            <w:vAlign w:val="bottom"/>
            <w:tcBorders>
              <w:top w:val="single" w:sz="8" w:color="auto"/>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920" w:type="dxa"/>
            <w:vAlign w:val="bottom"/>
            <w:tcBorders>
              <w:top w:val="single" w:sz="8" w:color="auto"/>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100" w:type="dxa"/>
            <w:vAlign w:val="bottom"/>
            <w:tcBorders>
              <w:top w:val="single" w:sz="8" w:color="auto"/>
            </w:tcBorders>
            <w:shd w:val="clear" w:color="auto" w:fill="CCEEFF"/>
          </w:tcPr>
          <w:p>
            <w:pPr>
              <w:spacing w:after="0"/>
              <w:rPr>
                <w:sz w:val="15"/>
                <w:szCs w:val="15"/>
                <w:color w:val="auto"/>
              </w:rPr>
            </w:pPr>
          </w:p>
        </w:tc>
        <w:tc>
          <w:tcPr>
            <w:tcW w:w="740" w:type="dxa"/>
            <w:vAlign w:val="bottom"/>
            <w:tcBorders>
              <w:top w:val="single" w:sz="8" w:color="auto"/>
            </w:tcBorders>
            <w:shd w:val="clear" w:color="auto" w:fill="CCEEFF"/>
          </w:tcPr>
          <w:p>
            <w:pPr>
              <w:spacing w:after="0"/>
              <w:rPr>
                <w:sz w:val="15"/>
                <w:szCs w:val="15"/>
                <w:color w:val="auto"/>
              </w:rPr>
            </w:pPr>
          </w:p>
        </w:tc>
        <w:tc>
          <w:tcPr>
            <w:tcW w:w="60" w:type="dxa"/>
            <w:vAlign w:val="bottom"/>
            <w:tcBorders>
              <w:top w:val="single" w:sz="8" w:color="CCEEFF"/>
            </w:tcBorders>
            <w:shd w:val="clear" w:color="auto" w:fill="CCEEFF"/>
          </w:tcPr>
          <w:p>
            <w:pPr>
              <w:spacing w:after="0"/>
              <w:rPr>
                <w:sz w:val="15"/>
                <w:szCs w:val="15"/>
                <w:color w:val="auto"/>
              </w:rPr>
            </w:pPr>
          </w:p>
        </w:tc>
        <w:tc>
          <w:tcPr>
            <w:tcW w:w="60" w:type="dxa"/>
            <w:vAlign w:val="bottom"/>
            <w:tcBorders>
              <w:top w:val="single" w:sz="8" w:color="CCEEFF"/>
            </w:tcBorders>
            <w:shd w:val="clear" w:color="auto" w:fill="CCEEFF"/>
          </w:tcPr>
          <w:p>
            <w:pPr>
              <w:spacing w:after="0"/>
              <w:rPr>
                <w:sz w:val="15"/>
                <w:szCs w:val="15"/>
                <w:color w:val="auto"/>
              </w:rPr>
            </w:pPr>
          </w:p>
        </w:tc>
        <w:tc>
          <w:tcPr>
            <w:tcW w:w="92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100" w:type="dxa"/>
            <w:vAlign w:val="bottom"/>
            <w:tcBorders>
              <w:top w:val="single" w:sz="8" w:color="auto"/>
            </w:tcBorders>
            <w:shd w:val="clear" w:color="auto" w:fill="CCEEFF"/>
          </w:tcPr>
          <w:p>
            <w:pPr>
              <w:spacing w:after="0"/>
              <w:rPr>
                <w:sz w:val="15"/>
                <w:szCs w:val="15"/>
                <w:color w:val="auto"/>
              </w:rPr>
            </w:pPr>
          </w:p>
        </w:tc>
        <w:tc>
          <w:tcPr>
            <w:tcW w:w="82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88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60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60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660" w:type="dxa"/>
            <w:vAlign w:val="bottom"/>
            <w:tcBorders>
              <w:top w:val="single" w:sz="8" w:color="auto"/>
            </w:tcBorders>
            <w:shd w:val="clear" w:color="auto" w:fill="CCEEFF"/>
          </w:tcPr>
          <w:p>
            <w:pPr>
              <w:spacing w:after="0"/>
              <w:rPr>
                <w:sz w:val="15"/>
                <w:szCs w:val="15"/>
                <w:color w:val="auto"/>
              </w:rPr>
            </w:pPr>
          </w:p>
        </w:tc>
        <w:tc>
          <w:tcPr>
            <w:tcW w:w="60" w:type="dxa"/>
            <w:vAlign w:val="bottom"/>
            <w:tcBorders>
              <w:top w:val="single" w:sz="8" w:color="CCEEFF"/>
            </w:tcBorders>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02"/>
        </w:trPr>
        <w:tc>
          <w:tcPr>
            <w:tcW w:w="1040" w:type="dxa"/>
            <w:vAlign w:val="bottom"/>
            <w:tcBorders>
              <w:top w:val="single" w:sz="8" w:color="auto"/>
            </w:tcBorders>
          </w:tcPr>
          <w:p>
            <w:pPr>
              <w:spacing w:after="0" w:line="201" w:lineRule="exact"/>
              <w:rPr>
                <w:sz w:val="20"/>
                <w:szCs w:val="20"/>
                <w:color w:val="auto"/>
              </w:rPr>
            </w:pPr>
            <w:r>
              <w:rPr>
                <w:rFonts w:ascii="Arial" w:cs="Arial" w:eastAsia="Arial" w:hAnsi="Arial"/>
                <w:sz w:val="18"/>
                <w:szCs w:val="18"/>
                <w:i w:val="1"/>
                <w:iCs w:val="1"/>
                <w:color w:val="auto"/>
                <w:w w:val="90"/>
              </w:rPr>
              <w:t>Exercise price</w:t>
            </w:r>
          </w:p>
        </w:tc>
        <w:tc>
          <w:tcPr>
            <w:tcW w:w="660" w:type="dxa"/>
            <w:vAlign w:val="bottom"/>
            <w:tcBorders>
              <w:top w:val="single" w:sz="8" w:color="CCEEFF"/>
            </w:tcBorders>
            <w:gridSpan w:val="2"/>
          </w:tcPr>
          <w:p>
            <w:pPr>
              <w:spacing w:after="0"/>
              <w:rPr>
                <w:sz w:val="17"/>
                <w:szCs w:val="17"/>
                <w:color w:val="auto"/>
              </w:rPr>
            </w:pPr>
          </w:p>
        </w:tc>
        <w:tc>
          <w:tcPr>
            <w:tcW w:w="1160" w:type="dxa"/>
            <w:vAlign w:val="bottom"/>
            <w:tcBorders>
              <w:top w:val="single" w:sz="8" w:color="CCEEFF"/>
            </w:tcBorders>
            <w:gridSpan w:val="3"/>
          </w:tcPr>
          <w:p>
            <w:pPr>
              <w:jc w:val="right"/>
              <w:ind w:right="100"/>
              <w:spacing w:after="0" w:line="201" w:lineRule="exact"/>
              <w:rPr>
                <w:sz w:val="20"/>
                <w:szCs w:val="20"/>
                <w:color w:val="auto"/>
              </w:rPr>
            </w:pPr>
            <w:r>
              <w:rPr>
                <w:rFonts w:ascii="Arial" w:cs="Arial" w:eastAsia="Arial" w:hAnsi="Arial"/>
                <w:sz w:val="18"/>
                <w:szCs w:val="18"/>
                <w:color w:val="auto"/>
              </w:rPr>
              <w:t>$14.17 to</w:t>
            </w:r>
          </w:p>
        </w:tc>
        <w:tc>
          <w:tcPr>
            <w:tcW w:w="840" w:type="dxa"/>
            <w:vAlign w:val="bottom"/>
            <w:tcBorders>
              <w:top w:val="single" w:sz="8" w:color="CCEEFF"/>
            </w:tcBorders>
          </w:tcPr>
          <w:p>
            <w:pPr>
              <w:spacing w:after="0"/>
              <w:rPr>
                <w:sz w:val="17"/>
                <w:szCs w:val="17"/>
                <w:color w:val="auto"/>
              </w:rPr>
            </w:pPr>
          </w:p>
        </w:tc>
        <w:tc>
          <w:tcPr>
            <w:tcW w:w="100" w:type="dxa"/>
            <w:vAlign w:val="bottom"/>
            <w:tcBorders>
              <w:top w:val="single" w:sz="8" w:color="CCEEFF"/>
            </w:tcBorders>
          </w:tcPr>
          <w:p>
            <w:pPr>
              <w:spacing w:after="0"/>
              <w:rPr>
                <w:sz w:val="17"/>
                <w:szCs w:val="17"/>
                <w:color w:val="auto"/>
              </w:rPr>
            </w:pPr>
          </w:p>
        </w:tc>
        <w:tc>
          <w:tcPr>
            <w:tcW w:w="920" w:type="dxa"/>
            <w:vAlign w:val="bottom"/>
            <w:tcBorders>
              <w:top w:val="single" w:sz="8" w:color="CCEEFF"/>
            </w:tcBorders>
          </w:tcPr>
          <w:p>
            <w:pPr>
              <w:spacing w:after="0"/>
              <w:rPr>
                <w:sz w:val="17"/>
                <w:szCs w:val="17"/>
                <w:color w:val="auto"/>
              </w:rPr>
            </w:pPr>
          </w:p>
        </w:tc>
        <w:tc>
          <w:tcPr>
            <w:tcW w:w="100" w:type="dxa"/>
            <w:vAlign w:val="bottom"/>
            <w:tcBorders>
              <w:top w:val="single" w:sz="8" w:color="CCEEFF"/>
            </w:tcBorders>
          </w:tcPr>
          <w:p>
            <w:pPr>
              <w:spacing w:after="0"/>
              <w:rPr>
                <w:sz w:val="17"/>
                <w:szCs w:val="17"/>
                <w:color w:val="auto"/>
              </w:rPr>
            </w:pPr>
          </w:p>
        </w:tc>
        <w:tc>
          <w:tcPr>
            <w:tcW w:w="100" w:type="dxa"/>
            <w:vAlign w:val="bottom"/>
            <w:tcBorders>
              <w:top w:val="single" w:sz="8" w:color="CCEEFF"/>
            </w:tcBorders>
          </w:tcPr>
          <w:p>
            <w:pPr>
              <w:spacing w:after="0"/>
              <w:rPr>
                <w:sz w:val="17"/>
                <w:szCs w:val="17"/>
                <w:color w:val="auto"/>
              </w:rPr>
            </w:pPr>
          </w:p>
        </w:tc>
        <w:tc>
          <w:tcPr>
            <w:tcW w:w="740" w:type="dxa"/>
            <w:vAlign w:val="bottom"/>
            <w:tcBorders>
              <w:top w:val="single" w:sz="8" w:color="CCEEFF"/>
            </w:tcBorders>
          </w:tcPr>
          <w:p>
            <w:pPr>
              <w:spacing w:after="0"/>
              <w:rPr>
                <w:sz w:val="17"/>
                <w:szCs w:val="17"/>
                <w:color w:val="auto"/>
              </w:rPr>
            </w:pPr>
          </w:p>
        </w:tc>
        <w:tc>
          <w:tcPr>
            <w:tcW w:w="60" w:type="dxa"/>
            <w:vAlign w:val="bottom"/>
            <w:tcBorders>
              <w:top w:val="single" w:sz="8" w:color="CCEEFF"/>
            </w:tcBorders>
          </w:tcPr>
          <w:p>
            <w:pPr>
              <w:spacing w:after="0"/>
              <w:rPr>
                <w:sz w:val="17"/>
                <w:szCs w:val="17"/>
                <w:color w:val="auto"/>
              </w:rPr>
            </w:pPr>
          </w:p>
        </w:tc>
        <w:tc>
          <w:tcPr>
            <w:tcW w:w="60" w:type="dxa"/>
            <w:vAlign w:val="bottom"/>
            <w:tcBorders>
              <w:top w:val="single" w:sz="8" w:color="CCEEFF"/>
            </w:tcBorders>
          </w:tcPr>
          <w:p>
            <w:pPr>
              <w:spacing w:after="0"/>
              <w:rPr>
                <w:sz w:val="17"/>
                <w:szCs w:val="17"/>
                <w:color w:val="auto"/>
              </w:rPr>
            </w:pPr>
          </w:p>
        </w:tc>
        <w:tc>
          <w:tcPr>
            <w:tcW w:w="920" w:type="dxa"/>
            <w:vAlign w:val="bottom"/>
            <w:tcBorders>
              <w:top w:val="single" w:sz="8" w:color="CCEEFF"/>
            </w:tcBorders>
          </w:tcPr>
          <w:p>
            <w:pPr>
              <w:spacing w:after="0"/>
              <w:rPr>
                <w:sz w:val="17"/>
                <w:szCs w:val="17"/>
                <w:color w:val="auto"/>
              </w:rPr>
            </w:pPr>
          </w:p>
        </w:tc>
        <w:tc>
          <w:tcPr>
            <w:tcW w:w="120" w:type="dxa"/>
            <w:vAlign w:val="bottom"/>
            <w:tcBorders>
              <w:top w:val="single" w:sz="8" w:color="CCEEFF"/>
            </w:tcBorders>
          </w:tcPr>
          <w:p>
            <w:pPr>
              <w:spacing w:after="0"/>
              <w:rPr>
                <w:sz w:val="17"/>
                <w:szCs w:val="17"/>
                <w:color w:val="auto"/>
              </w:rPr>
            </w:pPr>
          </w:p>
        </w:tc>
        <w:tc>
          <w:tcPr>
            <w:tcW w:w="100" w:type="dxa"/>
            <w:vAlign w:val="bottom"/>
            <w:tcBorders>
              <w:top w:val="single" w:sz="8" w:color="CCEEFF"/>
            </w:tcBorders>
          </w:tcPr>
          <w:p>
            <w:pPr>
              <w:spacing w:after="0"/>
              <w:rPr>
                <w:sz w:val="17"/>
                <w:szCs w:val="17"/>
                <w:color w:val="auto"/>
              </w:rPr>
            </w:pPr>
          </w:p>
        </w:tc>
        <w:tc>
          <w:tcPr>
            <w:tcW w:w="820" w:type="dxa"/>
            <w:vAlign w:val="bottom"/>
            <w:tcBorders>
              <w:top w:val="single" w:sz="8" w:color="CCEEFF"/>
            </w:tcBorders>
          </w:tcPr>
          <w:p>
            <w:pPr>
              <w:spacing w:after="0"/>
              <w:rPr>
                <w:sz w:val="17"/>
                <w:szCs w:val="17"/>
                <w:color w:val="auto"/>
              </w:rPr>
            </w:pPr>
          </w:p>
        </w:tc>
        <w:tc>
          <w:tcPr>
            <w:tcW w:w="120" w:type="dxa"/>
            <w:vAlign w:val="bottom"/>
            <w:tcBorders>
              <w:top w:val="single" w:sz="8" w:color="CCEEFF"/>
            </w:tcBorders>
          </w:tcPr>
          <w:p>
            <w:pPr>
              <w:spacing w:after="0"/>
              <w:rPr>
                <w:sz w:val="17"/>
                <w:szCs w:val="17"/>
                <w:color w:val="auto"/>
              </w:rPr>
            </w:pPr>
          </w:p>
        </w:tc>
        <w:tc>
          <w:tcPr>
            <w:tcW w:w="880" w:type="dxa"/>
            <w:vAlign w:val="bottom"/>
            <w:tcBorders>
              <w:top w:val="single" w:sz="8" w:color="CCEEFF"/>
            </w:tcBorders>
          </w:tcPr>
          <w:p>
            <w:pPr>
              <w:spacing w:after="0"/>
              <w:rPr>
                <w:sz w:val="17"/>
                <w:szCs w:val="17"/>
                <w:color w:val="auto"/>
              </w:rPr>
            </w:pPr>
          </w:p>
        </w:tc>
        <w:tc>
          <w:tcPr>
            <w:tcW w:w="120" w:type="dxa"/>
            <w:vAlign w:val="bottom"/>
            <w:tcBorders>
              <w:top w:val="single" w:sz="8" w:color="CCEEFF"/>
            </w:tcBorders>
          </w:tcPr>
          <w:p>
            <w:pPr>
              <w:spacing w:after="0"/>
              <w:rPr>
                <w:sz w:val="17"/>
                <w:szCs w:val="17"/>
                <w:color w:val="auto"/>
              </w:rPr>
            </w:pPr>
          </w:p>
        </w:tc>
        <w:tc>
          <w:tcPr>
            <w:tcW w:w="600" w:type="dxa"/>
            <w:vAlign w:val="bottom"/>
            <w:tcBorders>
              <w:top w:val="single" w:sz="8" w:color="CCEEFF"/>
            </w:tcBorders>
          </w:tcPr>
          <w:p>
            <w:pPr>
              <w:spacing w:after="0"/>
              <w:rPr>
                <w:sz w:val="17"/>
                <w:szCs w:val="17"/>
                <w:color w:val="auto"/>
              </w:rPr>
            </w:pPr>
          </w:p>
        </w:tc>
        <w:tc>
          <w:tcPr>
            <w:tcW w:w="120" w:type="dxa"/>
            <w:vAlign w:val="bottom"/>
            <w:tcBorders>
              <w:top w:val="single" w:sz="8" w:color="CCEEFF"/>
            </w:tcBorders>
          </w:tcPr>
          <w:p>
            <w:pPr>
              <w:spacing w:after="0"/>
              <w:rPr>
                <w:sz w:val="17"/>
                <w:szCs w:val="17"/>
                <w:color w:val="auto"/>
              </w:rPr>
            </w:pPr>
          </w:p>
        </w:tc>
        <w:tc>
          <w:tcPr>
            <w:tcW w:w="600" w:type="dxa"/>
            <w:vAlign w:val="bottom"/>
            <w:tcBorders>
              <w:top w:val="single" w:sz="8" w:color="CCEEFF"/>
            </w:tcBorders>
          </w:tcPr>
          <w:p>
            <w:pPr>
              <w:spacing w:after="0"/>
              <w:rPr>
                <w:sz w:val="17"/>
                <w:szCs w:val="17"/>
                <w:color w:val="auto"/>
              </w:rPr>
            </w:pPr>
          </w:p>
        </w:tc>
        <w:tc>
          <w:tcPr>
            <w:tcW w:w="120" w:type="dxa"/>
            <w:vAlign w:val="bottom"/>
            <w:tcBorders>
              <w:top w:val="single" w:sz="8" w:color="CCEEFF"/>
            </w:tcBorders>
          </w:tcPr>
          <w:p>
            <w:pPr>
              <w:spacing w:after="0"/>
              <w:rPr>
                <w:sz w:val="17"/>
                <w:szCs w:val="17"/>
                <w:color w:val="auto"/>
              </w:rPr>
            </w:pPr>
          </w:p>
        </w:tc>
        <w:tc>
          <w:tcPr>
            <w:tcW w:w="660" w:type="dxa"/>
            <w:vAlign w:val="bottom"/>
            <w:tcBorders>
              <w:top w:val="single" w:sz="8" w:color="CCEEFF"/>
            </w:tcBorders>
          </w:tcPr>
          <w:p>
            <w:pPr>
              <w:spacing w:after="0"/>
              <w:rPr>
                <w:sz w:val="17"/>
                <w:szCs w:val="17"/>
                <w:color w:val="auto"/>
              </w:rPr>
            </w:pPr>
          </w:p>
        </w:tc>
        <w:tc>
          <w:tcPr>
            <w:tcW w:w="60" w:type="dxa"/>
            <w:vAlign w:val="bottom"/>
            <w:tcBorders>
              <w:top w:val="single" w:sz="8" w:color="CCEEFF"/>
            </w:tcBorders>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104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160" w:type="dxa"/>
            <w:vAlign w:val="bottom"/>
            <w:gridSpan w:val="3"/>
          </w:tcPr>
          <w:p>
            <w:pPr>
              <w:jc w:val="right"/>
              <w:ind w:right="100"/>
              <w:spacing w:after="0"/>
              <w:rPr>
                <w:sz w:val="20"/>
                <w:szCs w:val="20"/>
                <w:color w:val="auto"/>
              </w:rPr>
            </w:pPr>
            <w:r>
              <w:rPr>
                <w:rFonts w:ascii="Arial" w:cs="Arial" w:eastAsia="Arial" w:hAnsi="Arial"/>
                <w:sz w:val="18"/>
                <w:szCs w:val="18"/>
                <w:color w:val="auto"/>
              </w:rPr>
              <w:t>$38.36</w:t>
            </w:r>
          </w:p>
        </w:tc>
        <w:tc>
          <w:tcPr>
            <w:tcW w:w="940" w:type="dxa"/>
            <w:vAlign w:val="bottom"/>
            <w:gridSpan w:val="2"/>
          </w:tcPr>
          <w:p>
            <w:pPr>
              <w:jc w:val="right"/>
              <w:ind w:right="100"/>
              <w:spacing w:after="0"/>
              <w:rPr>
                <w:sz w:val="20"/>
                <w:szCs w:val="20"/>
                <w:color w:val="auto"/>
              </w:rPr>
            </w:pPr>
            <w:r>
              <w:rPr>
                <w:rFonts w:ascii="Arial" w:cs="Arial" w:eastAsia="Arial" w:hAnsi="Arial"/>
                <w:sz w:val="18"/>
                <w:szCs w:val="18"/>
                <w:color w:val="auto"/>
                <w:w w:val="88"/>
              </w:rPr>
              <w:t>$12.23</w:t>
            </w:r>
          </w:p>
        </w:tc>
        <w:tc>
          <w:tcPr>
            <w:tcW w:w="1020" w:type="dxa"/>
            <w:vAlign w:val="bottom"/>
            <w:gridSpan w:val="2"/>
          </w:tcPr>
          <w:p>
            <w:pPr>
              <w:jc w:val="right"/>
              <w:ind w:right="100"/>
              <w:spacing w:after="0"/>
              <w:rPr>
                <w:sz w:val="20"/>
                <w:szCs w:val="20"/>
                <w:color w:val="auto"/>
              </w:rPr>
            </w:pPr>
            <w:r>
              <w:rPr>
                <w:rFonts w:ascii="Arial" w:cs="Arial" w:eastAsia="Arial" w:hAnsi="Arial"/>
                <w:sz w:val="18"/>
                <w:szCs w:val="18"/>
                <w:color w:val="auto"/>
                <w:w w:val="91"/>
              </w:rPr>
              <w:t>$9.70</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800" w:type="dxa"/>
            <w:vAlign w:val="bottom"/>
            <w:gridSpan w:val="2"/>
          </w:tcPr>
          <w:p>
            <w:pPr>
              <w:jc w:val="right"/>
              <w:ind w:right="60"/>
              <w:spacing w:after="0"/>
              <w:rPr>
                <w:sz w:val="20"/>
                <w:szCs w:val="20"/>
                <w:color w:val="auto"/>
              </w:rPr>
            </w:pPr>
            <w:r>
              <w:rPr>
                <w:rFonts w:ascii="Arial" w:cs="Arial" w:eastAsia="Arial" w:hAnsi="Arial"/>
                <w:sz w:val="18"/>
                <w:szCs w:val="18"/>
                <w:color w:val="auto"/>
              </w:rPr>
              <w:t>9.75</w:t>
            </w:r>
          </w:p>
        </w:tc>
        <w:tc>
          <w:tcPr>
            <w:tcW w:w="1100" w:type="dxa"/>
            <w:vAlign w:val="bottom"/>
            <w:gridSpan w:val="3"/>
          </w:tcPr>
          <w:p>
            <w:pPr>
              <w:jc w:val="right"/>
              <w:ind w:right="120"/>
              <w:spacing w:after="0"/>
              <w:rPr>
                <w:sz w:val="20"/>
                <w:szCs w:val="20"/>
                <w:color w:val="auto"/>
              </w:rPr>
            </w:pPr>
            <w:r>
              <w:rPr>
                <w:rFonts w:ascii="Arial" w:cs="Arial" w:eastAsia="Arial" w:hAnsi="Arial"/>
                <w:sz w:val="18"/>
                <w:szCs w:val="18"/>
                <w:color w:val="auto"/>
                <w:w w:val="88"/>
              </w:rPr>
              <w:t>$22.95</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820" w:type="dxa"/>
            <w:vAlign w:val="bottom"/>
          </w:tcPr>
          <w:p>
            <w:pPr>
              <w:jc w:val="right"/>
              <w:spacing w:after="0"/>
              <w:rPr>
                <w:sz w:val="20"/>
                <w:szCs w:val="20"/>
                <w:color w:val="auto"/>
              </w:rPr>
            </w:pPr>
            <w:r>
              <w:rPr>
                <w:rFonts w:ascii="Arial" w:cs="Arial" w:eastAsia="Arial" w:hAnsi="Arial"/>
                <w:sz w:val="18"/>
                <w:szCs w:val="18"/>
                <w:color w:val="auto"/>
              </w:rPr>
              <w:t>11.15 $</w:t>
            </w:r>
          </w:p>
        </w:tc>
        <w:tc>
          <w:tcPr>
            <w:tcW w:w="120" w:type="dxa"/>
            <w:vAlign w:val="bottom"/>
          </w:tcPr>
          <w:p>
            <w:pPr>
              <w:spacing w:after="0"/>
              <w:rPr>
                <w:sz w:val="20"/>
                <w:szCs w:val="20"/>
                <w:color w:val="auto"/>
              </w:rPr>
            </w:pPr>
          </w:p>
        </w:tc>
        <w:tc>
          <w:tcPr>
            <w:tcW w:w="1000" w:type="dxa"/>
            <w:vAlign w:val="bottom"/>
            <w:gridSpan w:val="2"/>
          </w:tcPr>
          <w:p>
            <w:pPr>
              <w:jc w:val="right"/>
              <w:ind w:right="120"/>
              <w:spacing w:after="0"/>
              <w:rPr>
                <w:sz w:val="20"/>
                <w:szCs w:val="20"/>
                <w:color w:val="auto"/>
              </w:rPr>
            </w:pPr>
            <w:r>
              <w:rPr>
                <w:rFonts w:ascii="Arial" w:cs="Arial" w:eastAsia="Arial" w:hAnsi="Arial"/>
                <w:sz w:val="18"/>
                <w:szCs w:val="18"/>
                <w:color w:val="auto"/>
              </w:rPr>
              <w:t>9.13</w:t>
            </w:r>
          </w:p>
        </w:tc>
        <w:tc>
          <w:tcPr>
            <w:tcW w:w="720" w:type="dxa"/>
            <w:vAlign w:val="bottom"/>
            <w:gridSpan w:val="2"/>
          </w:tcPr>
          <w:p>
            <w:pPr>
              <w:ind w:left="280"/>
              <w:spacing w:after="0"/>
              <w:rPr>
                <w:sz w:val="20"/>
                <w:szCs w:val="20"/>
                <w:color w:val="auto"/>
              </w:rPr>
            </w:pPr>
            <w:r>
              <w:rPr>
                <w:rFonts w:ascii="Arial" w:cs="Arial" w:eastAsia="Arial" w:hAnsi="Arial"/>
                <w:sz w:val="18"/>
                <w:szCs w:val="18"/>
                <w:color w:val="auto"/>
              </w:rPr>
              <w:t>N/A</w:t>
            </w:r>
          </w:p>
        </w:tc>
        <w:tc>
          <w:tcPr>
            <w:tcW w:w="720" w:type="dxa"/>
            <w:vAlign w:val="bottom"/>
            <w:gridSpan w:val="2"/>
          </w:tcPr>
          <w:p>
            <w:pPr>
              <w:ind w:left="280"/>
              <w:spacing w:after="0"/>
              <w:rPr>
                <w:sz w:val="20"/>
                <w:szCs w:val="20"/>
                <w:color w:val="auto"/>
              </w:rPr>
            </w:pPr>
            <w:r>
              <w:rPr>
                <w:rFonts w:ascii="Arial" w:cs="Arial" w:eastAsia="Arial" w:hAnsi="Arial"/>
                <w:sz w:val="18"/>
                <w:szCs w:val="18"/>
                <w:color w:val="auto"/>
              </w:rPr>
              <w:t>N/A</w:t>
            </w:r>
          </w:p>
        </w:tc>
        <w:tc>
          <w:tcPr>
            <w:tcW w:w="720" w:type="dxa"/>
            <w:vAlign w:val="bottom"/>
            <w:gridSpan w:val="2"/>
          </w:tcPr>
          <w:p>
            <w:pPr>
              <w:ind w:left="340"/>
              <w:spacing w:after="0"/>
              <w:rPr>
                <w:sz w:val="20"/>
                <w:szCs w:val="20"/>
                <w:color w:val="auto"/>
              </w:rPr>
            </w:pPr>
            <w:r>
              <w:rPr>
                <w:rFonts w:ascii="Arial" w:cs="Arial" w:eastAsia="Arial" w:hAnsi="Arial"/>
                <w:sz w:val="18"/>
                <w:szCs w:val="18"/>
                <w:color w:val="auto"/>
              </w:rPr>
              <w:t>N/A</w:t>
            </w:r>
          </w:p>
        </w:tc>
        <w:tc>
          <w:tcPr>
            <w:tcW w:w="0" w:type="dxa"/>
            <w:vAlign w:val="bottom"/>
          </w:tcPr>
          <w:p>
            <w:pPr>
              <w:spacing w:after="0"/>
              <w:rPr>
                <w:sz w:val="1"/>
                <w:szCs w:val="1"/>
                <w:color w:val="auto"/>
              </w:rPr>
            </w:pPr>
          </w:p>
        </w:tc>
      </w:tr>
      <w:tr>
        <w:trPr>
          <w:trHeight w:val="202"/>
        </w:trPr>
        <w:tc>
          <w:tcPr>
            <w:tcW w:w="1700" w:type="dxa"/>
            <w:vAlign w:val="bottom"/>
            <w:gridSpan w:val="3"/>
            <w:shd w:val="clear" w:color="auto" w:fill="CCEEFF"/>
          </w:tcPr>
          <w:p>
            <w:pPr>
              <w:spacing w:after="0" w:line="201" w:lineRule="exact"/>
              <w:rPr>
                <w:sz w:val="20"/>
                <w:szCs w:val="20"/>
                <w:color w:val="auto"/>
              </w:rPr>
            </w:pPr>
            <w:r>
              <w:rPr>
                <w:rFonts w:ascii="Arial" w:cs="Arial" w:eastAsia="Arial" w:hAnsi="Arial"/>
                <w:sz w:val="18"/>
                <w:szCs w:val="18"/>
                <w:i w:val="1"/>
                <w:iCs w:val="1"/>
                <w:color w:val="auto"/>
              </w:rPr>
              <w:t>Expiration date</w:t>
            </w:r>
          </w:p>
        </w:tc>
        <w:tc>
          <w:tcPr>
            <w:tcW w:w="1160" w:type="dxa"/>
            <w:vAlign w:val="bottom"/>
            <w:gridSpan w:val="3"/>
            <w:shd w:val="clear" w:color="auto" w:fill="CCEEFF"/>
          </w:tcPr>
          <w:p>
            <w:pPr>
              <w:jc w:val="right"/>
              <w:ind w:right="100"/>
              <w:spacing w:after="0" w:line="201" w:lineRule="exact"/>
              <w:rPr>
                <w:sz w:val="20"/>
                <w:szCs w:val="20"/>
                <w:color w:val="auto"/>
              </w:rPr>
            </w:pPr>
            <w:r>
              <w:rPr>
                <w:rFonts w:ascii="Arial" w:cs="Arial" w:eastAsia="Arial" w:hAnsi="Arial"/>
                <w:sz w:val="18"/>
                <w:szCs w:val="18"/>
                <w:color w:val="auto"/>
                <w:w w:val="94"/>
              </w:rPr>
              <w:t>11/15/2021 to</w:t>
            </w:r>
          </w:p>
        </w:tc>
        <w:tc>
          <w:tcPr>
            <w:tcW w:w="8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1040" w:type="dxa"/>
            <w:vAlign w:val="bottom"/>
            <w:shd w:val="clear" w:color="auto" w:fill="CCEEFF"/>
          </w:tcPr>
          <w:p>
            <w:pPr>
              <w:spacing w:after="0"/>
              <w:rPr>
                <w:sz w:val="20"/>
                <w:szCs w:val="20"/>
                <w:color w:val="auto"/>
              </w:rPr>
            </w:pPr>
          </w:p>
        </w:tc>
        <w:tc>
          <w:tcPr>
            <w:tcW w:w="64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116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11/12/2025</w:t>
            </w:r>
          </w:p>
        </w:tc>
        <w:tc>
          <w:tcPr>
            <w:tcW w:w="9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5/19/2026</w:t>
            </w: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99"/>
              </w:rPr>
              <w:t>11/30/2026</w:t>
            </w:r>
          </w:p>
        </w:tc>
        <w:tc>
          <w:tcPr>
            <w:tcW w:w="100" w:type="dxa"/>
            <w:vAlign w:val="bottom"/>
            <w:shd w:val="clear" w:color="auto" w:fill="CCEEFF"/>
          </w:tcPr>
          <w:p>
            <w:pPr>
              <w:spacing w:after="0"/>
              <w:rPr>
                <w:sz w:val="20"/>
                <w:szCs w:val="20"/>
                <w:color w:val="auto"/>
              </w:rPr>
            </w:pPr>
          </w:p>
        </w:tc>
        <w:tc>
          <w:tcPr>
            <w:tcW w:w="8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89"/>
              </w:rPr>
              <w:t>5/18/2027</w:t>
            </w:r>
          </w:p>
        </w:tc>
        <w:tc>
          <w:tcPr>
            <w:tcW w:w="110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11/30/2027</w:t>
            </w:r>
          </w:p>
        </w:tc>
        <w:tc>
          <w:tcPr>
            <w:tcW w:w="100" w:type="dxa"/>
            <w:vAlign w:val="bottom"/>
            <w:shd w:val="clear" w:color="auto" w:fill="CCEEFF"/>
          </w:tcPr>
          <w:p>
            <w:pPr>
              <w:spacing w:after="0"/>
              <w:rPr>
                <w:sz w:val="20"/>
                <w:szCs w:val="20"/>
                <w:color w:val="auto"/>
              </w:rPr>
            </w:pP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8"/>
              </w:rPr>
              <w:t>11/30/2028</w:t>
            </w:r>
          </w:p>
        </w:tc>
        <w:tc>
          <w:tcPr>
            <w:tcW w:w="10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5"/>
              </w:rPr>
              <w:t>11/30/2029</w:t>
            </w:r>
          </w:p>
        </w:tc>
        <w:tc>
          <w:tcPr>
            <w:tcW w:w="72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N/A</w:t>
            </w:r>
          </w:p>
        </w:tc>
        <w:tc>
          <w:tcPr>
            <w:tcW w:w="72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N/A</w:t>
            </w:r>
          </w:p>
        </w:tc>
        <w:tc>
          <w:tcPr>
            <w:tcW w:w="720" w:type="dxa"/>
            <w:vAlign w:val="bottom"/>
            <w:gridSpan w:val="2"/>
            <w:shd w:val="clear" w:color="auto" w:fill="CCEEFF"/>
          </w:tcPr>
          <w:p>
            <w:pPr>
              <w:ind w:left="340"/>
              <w:spacing w:after="0"/>
              <w:rPr>
                <w:sz w:val="20"/>
                <w:szCs w:val="20"/>
                <w:color w:val="auto"/>
              </w:rPr>
            </w:pPr>
            <w:r>
              <w:rPr>
                <w:rFonts w:ascii="Arial" w:cs="Arial" w:eastAsia="Arial" w:hAnsi="Arial"/>
                <w:sz w:val="18"/>
                <w:szCs w:val="18"/>
                <w:color w:val="auto"/>
              </w:rPr>
              <w:t>N/A</w:t>
            </w:r>
          </w:p>
        </w:tc>
        <w:tc>
          <w:tcPr>
            <w:tcW w:w="0" w:type="dxa"/>
            <w:vAlign w:val="bottom"/>
          </w:tcPr>
          <w:p>
            <w:pPr>
              <w:spacing w:after="0"/>
              <w:rPr>
                <w:sz w:val="1"/>
                <w:szCs w:val="1"/>
                <w:color w:val="auto"/>
              </w:rPr>
            </w:pPr>
          </w:p>
        </w:tc>
      </w:tr>
      <w:tr>
        <w:trPr>
          <w:trHeight w:val="216"/>
        </w:trPr>
        <w:tc>
          <w:tcPr>
            <w:tcW w:w="1700" w:type="dxa"/>
            <w:vAlign w:val="bottom"/>
            <w:gridSpan w:val="3"/>
          </w:tcPr>
          <w:p>
            <w:pPr>
              <w:spacing w:after="0"/>
              <w:rPr>
                <w:sz w:val="20"/>
                <w:szCs w:val="20"/>
                <w:color w:val="auto"/>
              </w:rPr>
            </w:pPr>
            <w:r>
              <w:rPr>
                <w:rFonts w:ascii="Arial" w:cs="Arial" w:eastAsia="Arial" w:hAnsi="Arial"/>
                <w:sz w:val="18"/>
                <w:szCs w:val="18"/>
                <w:color w:val="auto"/>
              </w:rPr>
              <w:t>Robert D. Pedersen</w:t>
            </w:r>
          </w:p>
        </w:tc>
        <w:tc>
          <w:tcPr>
            <w:tcW w:w="1160" w:type="dxa"/>
            <w:vAlign w:val="bottom"/>
            <w:gridSpan w:val="3"/>
          </w:tcPr>
          <w:p>
            <w:pPr>
              <w:jc w:val="right"/>
              <w:ind w:right="100"/>
              <w:spacing w:after="0"/>
              <w:rPr>
                <w:sz w:val="20"/>
                <w:szCs w:val="20"/>
                <w:color w:val="auto"/>
              </w:rPr>
            </w:pPr>
            <w:r>
              <w:rPr>
                <w:rFonts w:ascii="Arial" w:cs="Arial" w:eastAsia="Arial" w:hAnsi="Arial"/>
                <w:sz w:val="18"/>
                <w:szCs w:val="18"/>
                <w:color w:val="auto"/>
              </w:rPr>
              <w:t>119,854</w:t>
            </w:r>
          </w:p>
        </w:tc>
        <w:tc>
          <w:tcPr>
            <w:tcW w:w="9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100"/>
              <w:spacing w:after="0"/>
              <w:rPr>
                <w:sz w:val="20"/>
                <w:szCs w:val="20"/>
                <w:color w:val="auto"/>
              </w:rPr>
            </w:pPr>
            <w:r>
              <w:rPr>
                <w:rFonts w:ascii="Arial" w:cs="Arial" w:eastAsia="Arial" w:hAnsi="Arial"/>
                <w:sz w:val="18"/>
                <w:szCs w:val="18"/>
                <w:color w:val="auto"/>
              </w:rPr>
              <w:t>36,029</w:t>
            </w:r>
          </w:p>
        </w:tc>
        <w:tc>
          <w:tcPr>
            <w:tcW w:w="100" w:type="dxa"/>
            <w:vAlign w:val="bottom"/>
          </w:tcPr>
          <w:p>
            <w:pPr>
              <w:spacing w:after="0"/>
              <w:rPr>
                <w:sz w:val="18"/>
                <w:szCs w:val="18"/>
                <w:color w:val="auto"/>
              </w:rPr>
            </w:pPr>
          </w:p>
        </w:tc>
        <w:tc>
          <w:tcPr>
            <w:tcW w:w="800" w:type="dxa"/>
            <w:vAlign w:val="bottom"/>
            <w:gridSpan w:val="2"/>
          </w:tcPr>
          <w:p>
            <w:pPr>
              <w:ind w:left="48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0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9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00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720" w:type="dxa"/>
            <w:vAlign w:val="bottom"/>
            <w:gridSpan w:val="2"/>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ind w:left="3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17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Michael K. Chan</w:t>
            </w:r>
          </w:p>
        </w:tc>
        <w:tc>
          <w:tcPr>
            <w:tcW w:w="116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3,750</w:t>
            </w:r>
          </w:p>
        </w:tc>
        <w:tc>
          <w:tcPr>
            <w:tcW w:w="110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4,750</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20,000</w:t>
            </w:r>
          </w:p>
        </w:tc>
        <w:tc>
          <w:tcPr>
            <w:tcW w:w="10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20,000</w:t>
            </w:r>
          </w:p>
        </w:tc>
        <w:tc>
          <w:tcPr>
            <w:tcW w:w="72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ind w:left="3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1700" w:type="dxa"/>
            <w:vAlign w:val="bottom"/>
            <w:gridSpan w:val="3"/>
          </w:tcPr>
          <w:p>
            <w:pPr>
              <w:spacing w:after="0"/>
              <w:rPr>
                <w:sz w:val="20"/>
                <w:szCs w:val="20"/>
                <w:color w:val="auto"/>
              </w:rPr>
            </w:pPr>
            <w:r>
              <w:rPr>
                <w:rFonts w:ascii="Arial" w:cs="Arial" w:eastAsia="Arial" w:hAnsi="Arial"/>
                <w:sz w:val="18"/>
                <w:szCs w:val="18"/>
                <w:color w:val="auto"/>
              </w:rPr>
              <w:t>Olivier Ghesquiere</w:t>
            </w:r>
          </w:p>
        </w:tc>
        <w:tc>
          <w:tcPr>
            <w:tcW w:w="1160" w:type="dxa"/>
            <w:vAlign w:val="bottom"/>
            <w:gridSpan w:val="3"/>
          </w:tcPr>
          <w:p>
            <w:pPr>
              <w:jc w:val="right"/>
              <w:ind w:right="200"/>
              <w:spacing w:after="0"/>
              <w:rPr>
                <w:sz w:val="20"/>
                <w:szCs w:val="20"/>
                <w:color w:val="auto"/>
              </w:rPr>
            </w:pPr>
            <w:r>
              <w:rPr>
                <w:rFonts w:ascii="Arial" w:cs="Arial" w:eastAsia="Arial" w:hAnsi="Arial"/>
                <w:sz w:val="18"/>
                <w:szCs w:val="18"/>
                <w:color w:val="auto"/>
              </w:rPr>
              <w:t>—</w:t>
            </w:r>
          </w:p>
        </w:tc>
        <w:tc>
          <w:tcPr>
            <w:tcW w:w="940" w:type="dxa"/>
            <w:vAlign w:val="bottom"/>
            <w:gridSpan w:val="2"/>
          </w:tcPr>
          <w:p>
            <w:pPr>
              <w:jc w:val="right"/>
              <w:ind w:right="100"/>
              <w:spacing w:after="0"/>
              <w:rPr>
                <w:sz w:val="20"/>
                <w:szCs w:val="20"/>
                <w:color w:val="auto"/>
              </w:rPr>
            </w:pPr>
            <w:r>
              <w:rPr>
                <w:rFonts w:ascii="Arial" w:cs="Arial" w:eastAsia="Arial" w:hAnsi="Arial"/>
                <w:sz w:val="18"/>
                <w:szCs w:val="18"/>
                <w:color w:val="auto"/>
              </w:rPr>
              <w:t>10,000</w:t>
            </w:r>
          </w:p>
        </w:tc>
        <w:tc>
          <w:tcPr>
            <w:tcW w:w="1020" w:type="dxa"/>
            <w:vAlign w:val="bottom"/>
            <w:gridSpan w:val="2"/>
          </w:tcPr>
          <w:p>
            <w:pPr>
              <w:jc w:val="right"/>
              <w:ind w:right="100"/>
              <w:spacing w:after="0"/>
              <w:rPr>
                <w:sz w:val="20"/>
                <w:szCs w:val="20"/>
                <w:color w:val="auto"/>
              </w:rPr>
            </w:pPr>
            <w:r>
              <w:rPr>
                <w:rFonts w:ascii="Arial" w:cs="Arial" w:eastAsia="Arial" w:hAnsi="Arial"/>
                <w:sz w:val="18"/>
                <w:szCs w:val="18"/>
                <w:color w:val="auto"/>
              </w:rPr>
              <w:t>19,200</w:t>
            </w:r>
          </w:p>
        </w:tc>
        <w:tc>
          <w:tcPr>
            <w:tcW w:w="100" w:type="dxa"/>
            <w:vAlign w:val="bottom"/>
          </w:tcPr>
          <w:p>
            <w:pPr>
              <w:spacing w:after="0"/>
              <w:rPr>
                <w:sz w:val="18"/>
                <w:szCs w:val="18"/>
                <w:color w:val="auto"/>
              </w:rPr>
            </w:pPr>
          </w:p>
        </w:tc>
        <w:tc>
          <w:tcPr>
            <w:tcW w:w="800" w:type="dxa"/>
            <w:vAlign w:val="bottom"/>
            <w:gridSpan w:val="2"/>
          </w:tcPr>
          <w:p>
            <w:pPr>
              <w:ind w:left="480"/>
              <w:spacing w:after="0"/>
              <w:rPr>
                <w:sz w:val="20"/>
                <w:szCs w:val="20"/>
                <w:color w:val="auto"/>
              </w:rPr>
            </w:pPr>
            <w:r>
              <w:rPr>
                <w:rFonts w:ascii="Arial" w:cs="Arial" w:eastAsia="Arial" w:hAnsi="Arial"/>
                <w:sz w:val="18"/>
                <w:szCs w:val="18"/>
                <w:color w:val="auto"/>
              </w:rPr>
              <w:t>—</w:t>
            </w:r>
          </w:p>
        </w:tc>
        <w:tc>
          <w:tcPr>
            <w:tcW w:w="1100" w:type="dxa"/>
            <w:vAlign w:val="bottom"/>
            <w:gridSpan w:val="3"/>
          </w:tcPr>
          <w:p>
            <w:pPr>
              <w:jc w:val="right"/>
              <w:ind w:right="120"/>
              <w:spacing w:after="0"/>
              <w:rPr>
                <w:sz w:val="20"/>
                <w:szCs w:val="20"/>
                <w:color w:val="auto"/>
              </w:rPr>
            </w:pPr>
            <w:r>
              <w:rPr>
                <w:rFonts w:ascii="Arial" w:cs="Arial" w:eastAsia="Arial" w:hAnsi="Arial"/>
                <w:sz w:val="18"/>
                <w:szCs w:val="18"/>
                <w:color w:val="auto"/>
              </w:rPr>
              <w:t>17,760</w:t>
            </w:r>
          </w:p>
        </w:tc>
        <w:tc>
          <w:tcPr>
            <w:tcW w:w="100" w:type="dxa"/>
            <w:vAlign w:val="bottom"/>
          </w:tcPr>
          <w:p>
            <w:pPr>
              <w:spacing w:after="0"/>
              <w:rPr>
                <w:sz w:val="18"/>
                <w:szCs w:val="18"/>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40,000</w:t>
            </w:r>
          </w:p>
        </w:tc>
        <w:tc>
          <w:tcPr>
            <w:tcW w:w="1000" w:type="dxa"/>
            <w:vAlign w:val="bottom"/>
            <w:gridSpan w:val="2"/>
          </w:tcPr>
          <w:p>
            <w:pPr>
              <w:jc w:val="right"/>
              <w:ind w:right="120"/>
              <w:spacing w:after="0"/>
              <w:rPr>
                <w:sz w:val="20"/>
                <w:szCs w:val="20"/>
                <w:color w:val="auto"/>
              </w:rPr>
            </w:pPr>
            <w:r>
              <w:rPr>
                <w:rFonts w:ascii="Arial" w:cs="Arial" w:eastAsia="Arial" w:hAnsi="Arial"/>
                <w:sz w:val="18"/>
                <w:szCs w:val="18"/>
                <w:color w:val="auto"/>
              </w:rPr>
              <w:t>40,000</w:t>
            </w:r>
          </w:p>
        </w:tc>
        <w:tc>
          <w:tcPr>
            <w:tcW w:w="720" w:type="dxa"/>
            <w:vAlign w:val="bottom"/>
            <w:gridSpan w:val="2"/>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ind w:left="3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176"/>
        </w:trPr>
        <w:tc>
          <w:tcPr>
            <w:tcW w:w="2860" w:type="dxa"/>
            <w:vAlign w:val="bottom"/>
            <w:gridSpan w:val="6"/>
            <w:shd w:val="clear" w:color="auto" w:fill="CCEEFF"/>
          </w:tcPr>
          <w:p>
            <w:pPr>
              <w:spacing w:after="0" w:line="176" w:lineRule="exact"/>
              <w:rPr>
                <w:sz w:val="20"/>
                <w:szCs w:val="20"/>
                <w:color w:val="auto"/>
              </w:rPr>
            </w:pPr>
            <w:r>
              <w:rPr>
                <w:rFonts w:ascii="Arial" w:cs="Arial" w:eastAsia="Arial" w:hAnsi="Arial"/>
                <w:sz w:val="18"/>
                <w:szCs w:val="18"/>
                <w:b w:val="1"/>
                <w:bCs w:val="1"/>
                <w:color w:val="auto"/>
                <w:w w:val="95"/>
              </w:rPr>
              <w:t>Performance restricted share units</w:t>
            </w:r>
          </w:p>
        </w:tc>
        <w:tc>
          <w:tcPr>
            <w:tcW w:w="84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92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74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92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82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88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60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60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66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1040" w:type="dxa"/>
            <w:vAlign w:val="bottom"/>
            <w:tcBorders>
              <w:top w:val="single" w:sz="8" w:color="auto"/>
            </w:tcBorders>
            <w:shd w:val="clear" w:color="auto" w:fill="CCEEFF"/>
          </w:tcPr>
          <w:p>
            <w:pPr>
              <w:spacing w:after="0" w:line="20" w:lineRule="exact"/>
              <w:rPr>
                <w:sz w:val="1"/>
                <w:szCs w:val="1"/>
                <w:color w:val="auto"/>
              </w:rPr>
            </w:pPr>
          </w:p>
        </w:tc>
        <w:tc>
          <w:tcPr>
            <w:tcW w:w="640" w:type="dxa"/>
            <w:vAlign w:val="bottom"/>
            <w:tcBorders>
              <w:top w:val="single" w:sz="8" w:color="auto"/>
            </w:tcBorders>
            <w:shd w:val="clear" w:color="auto" w:fill="CCEEFF"/>
          </w:tcPr>
          <w:p>
            <w:pPr>
              <w:spacing w:after="0" w:line="20" w:lineRule="exact"/>
              <w:rPr>
                <w:sz w:val="1"/>
                <w:szCs w:val="1"/>
                <w:color w:val="auto"/>
              </w:rPr>
            </w:pPr>
          </w:p>
        </w:tc>
        <w:tc>
          <w:tcPr>
            <w:tcW w:w="20" w:type="dxa"/>
            <w:vAlign w:val="bottom"/>
            <w:tcBorders>
              <w:top w:val="single" w:sz="8" w:color="auto"/>
            </w:tcBorders>
            <w:shd w:val="clear" w:color="auto" w:fill="CCEEFF"/>
          </w:tcPr>
          <w:p>
            <w:pPr>
              <w:spacing w:after="0" w:line="20" w:lineRule="exact"/>
              <w:rPr>
                <w:sz w:val="1"/>
                <w:szCs w:val="1"/>
                <w:color w:val="auto"/>
              </w:rPr>
            </w:pPr>
          </w:p>
        </w:tc>
        <w:tc>
          <w:tcPr>
            <w:tcW w:w="960" w:type="dxa"/>
            <w:vAlign w:val="bottom"/>
            <w:tcBorders>
              <w:top w:val="single" w:sz="8" w:color="auto"/>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84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92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74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92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82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88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60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60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66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6"/>
        </w:trPr>
        <w:tc>
          <w:tcPr>
            <w:tcW w:w="1700" w:type="dxa"/>
            <w:vAlign w:val="bottom"/>
            <w:gridSpan w:val="3"/>
          </w:tcPr>
          <w:p>
            <w:pPr>
              <w:spacing w:after="0"/>
              <w:rPr>
                <w:sz w:val="20"/>
                <w:szCs w:val="20"/>
                <w:color w:val="auto"/>
              </w:rPr>
            </w:pPr>
            <w:r>
              <w:rPr>
                <w:rFonts w:ascii="Arial" w:cs="Arial" w:eastAsia="Arial" w:hAnsi="Arial"/>
                <w:sz w:val="18"/>
                <w:szCs w:val="18"/>
                <w:color w:val="auto"/>
              </w:rPr>
              <w:t>Olivier Ghesquiere</w:t>
            </w:r>
          </w:p>
        </w:tc>
        <w:tc>
          <w:tcPr>
            <w:tcW w:w="1160" w:type="dxa"/>
            <w:vAlign w:val="bottom"/>
            <w:gridSpan w:val="3"/>
          </w:tcPr>
          <w:p>
            <w:pPr>
              <w:jc w:val="right"/>
              <w:ind w:right="200"/>
              <w:spacing w:after="0"/>
              <w:rPr>
                <w:sz w:val="20"/>
                <w:szCs w:val="20"/>
                <w:color w:val="auto"/>
              </w:rPr>
            </w:pPr>
            <w:r>
              <w:rPr>
                <w:rFonts w:ascii="Arial" w:cs="Arial" w:eastAsia="Arial" w:hAnsi="Arial"/>
                <w:sz w:val="18"/>
                <w:szCs w:val="18"/>
                <w:b w:val="1"/>
                <w:bCs w:val="1"/>
                <w:color w:val="auto"/>
              </w:rPr>
              <w:t>—</w:t>
            </w:r>
          </w:p>
        </w:tc>
        <w:tc>
          <w:tcPr>
            <w:tcW w:w="940" w:type="dxa"/>
            <w:vAlign w:val="bottom"/>
            <w:gridSpan w:val="2"/>
          </w:tcPr>
          <w:p>
            <w:pPr>
              <w:jc w:val="right"/>
              <w:ind w:right="200"/>
              <w:spacing w:after="0"/>
              <w:rPr>
                <w:sz w:val="20"/>
                <w:szCs w:val="20"/>
                <w:color w:val="auto"/>
              </w:rPr>
            </w:pPr>
            <w:r>
              <w:rPr>
                <w:rFonts w:ascii="Arial" w:cs="Arial" w:eastAsia="Arial" w:hAnsi="Arial"/>
                <w:sz w:val="18"/>
                <w:szCs w:val="18"/>
                <w:b w:val="1"/>
                <w:bCs w:val="1"/>
                <w:color w:val="auto"/>
              </w:rPr>
              <w:t>—</w:t>
            </w:r>
          </w:p>
        </w:tc>
        <w:tc>
          <w:tcPr>
            <w:tcW w:w="1020" w:type="dxa"/>
            <w:vAlign w:val="bottom"/>
            <w:gridSpan w:val="2"/>
          </w:tcPr>
          <w:p>
            <w:pPr>
              <w:jc w:val="right"/>
              <w:ind w:right="180"/>
              <w:spacing w:after="0"/>
              <w:rPr>
                <w:sz w:val="20"/>
                <w:szCs w:val="20"/>
                <w:color w:val="auto"/>
              </w:rPr>
            </w:pPr>
            <w:r>
              <w:rPr>
                <w:rFonts w:ascii="Arial" w:cs="Arial" w:eastAsia="Arial" w:hAnsi="Arial"/>
                <w:sz w:val="18"/>
                <w:szCs w:val="18"/>
                <w:b w:val="1"/>
                <w:bCs w:val="1"/>
                <w:color w:val="auto"/>
              </w:rPr>
              <w:t>—</w:t>
            </w:r>
          </w:p>
        </w:tc>
        <w:tc>
          <w:tcPr>
            <w:tcW w:w="100" w:type="dxa"/>
            <w:vAlign w:val="bottom"/>
          </w:tcPr>
          <w:p>
            <w:pPr>
              <w:spacing w:after="0"/>
              <w:rPr>
                <w:sz w:val="18"/>
                <w:szCs w:val="18"/>
                <w:color w:val="auto"/>
              </w:rPr>
            </w:pPr>
          </w:p>
        </w:tc>
        <w:tc>
          <w:tcPr>
            <w:tcW w:w="800" w:type="dxa"/>
            <w:vAlign w:val="bottom"/>
            <w:gridSpan w:val="2"/>
          </w:tcPr>
          <w:p>
            <w:pPr>
              <w:ind w:left="48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040" w:type="dxa"/>
            <w:vAlign w:val="bottom"/>
            <w:gridSpan w:val="2"/>
          </w:tcPr>
          <w:p>
            <w:pPr>
              <w:jc w:val="right"/>
              <w:ind w:right="200"/>
              <w:spacing w:after="0"/>
              <w:rPr>
                <w:sz w:val="20"/>
                <w:szCs w:val="20"/>
                <w:color w:val="auto"/>
              </w:rPr>
            </w:pPr>
            <w:r>
              <w:rPr>
                <w:rFonts w:ascii="Arial" w:cs="Arial" w:eastAsia="Arial" w:hAnsi="Arial"/>
                <w:sz w:val="18"/>
                <w:szCs w:val="18"/>
                <w:b w:val="1"/>
                <w:bCs w:val="1"/>
                <w:color w:val="auto"/>
              </w:rPr>
              <w:t>—</w:t>
            </w:r>
          </w:p>
        </w:tc>
        <w:tc>
          <w:tcPr>
            <w:tcW w:w="100" w:type="dxa"/>
            <w:vAlign w:val="bottom"/>
          </w:tcPr>
          <w:p>
            <w:pPr>
              <w:spacing w:after="0"/>
              <w:rPr>
                <w:sz w:val="18"/>
                <w:szCs w:val="18"/>
                <w:color w:val="auto"/>
              </w:rPr>
            </w:pPr>
          </w:p>
        </w:tc>
        <w:tc>
          <w:tcPr>
            <w:tcW w:w="9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00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720" w:type="dxa"/>
            <w:vAlign w:val="bottom"/>
            <w:gridSpan w:val="2"/>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72,957</w:t>
            </w:r>
          </w:p>
        </w:tc>
        <w:tc>
          <w:tcPr>
            <w:tcW w:w="0" w:type="dxa"/>
            <w:vAlign w:val="bottom"/>
          </w:tcPr>
          <w:p>
            <w:pPr>
              <w:spacing w:after="0"/>
              <w:rPr>
                <w:sz w:val="1"/>
                <w:szCs w:val="1"/>
                <w:color w:val="auto"/>
              </w:rPr>
            </w:pPr>
          </w:p>
        </w:tc>
      </w:tr>
      <w:tr>
        <w:trPr>
          <w:trHeight w:val="216"/>
        </w:trPr>
        <w:tc>
          <w:tcPr>
            <w:tcW w:w="17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Michael K. Chan</w:t>
            </w:r>
          </w:p>
        </w:tc>
        <w:tc>
          <w:tcPr>
            <w:tcW w:w="116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b w:val="1"/>
                <w:bCs w:val="1"/>
                <w:color w:val="auto"/>
              </w:rPr>
              <w:t>—</w:t>
            </w: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b w:val="1"/>
                <w:bCs w:val="1"/>
                <w:color w:val="auto"/>
              </w:rPr>
              <w:t>—</w:t>
            </w:r>
          </w:p>
        </w:tc>
        <w:tc>
          <w:tcPr>
            <w:tcW w:w="10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b w:val="1"/>
                <w:bCs w:val="1"/>
                <w:color w:val="auto"/>
              </w:rPr>
              <w:t>—</w:t>
            </w:r>
          </w:p>
        </w:tc>
        <w:tc>
          <w:tcPr>
            <w:tcW w:w="1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ind w:left="48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b w:val="1"/>
                <w:bCs w:val="1"/>
                <w:color w:val="auto"/>
              </w:rPr>
              <w:t>—</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21,887</w:t>
            </w:r>
          </w:p>
        </w:tc>
        <w:tc>
          <w:tcPr>
            <w:tcW w:w="0" w:type="dxa"/>
            <w:vAlign w:val="bottom"/>
          </w:tcPr>
          <w:p>
            <w:pPr>
              <w:spacing w:after="0"/>
              <w:rPr>
                <w:sz w:val="1"/>
                <w:szCs w:val="1"/>
                <w:color w:val="auto"/>
              </w:rPr>
            </w:pPr>
          </w:p>
        </w:tc>
      </w:tr>
      <w:tr>
        <w:trPr>
          <w:trHeight w:val="175"/>
        </w:trPr>
        <w:tc>
          <w:tcPr>
            <w:tcW w:w="1700" w:type="dxa"/>
            <w:vAlign w:val="bottom"/>
            <w:gridSpan w:val="3"/>
          </w:tcPr>
          <w:p>
            <w:pPr>
              <w:spacing w:after="0" w:line="176" w:lineRule="exact"/>
              <w:rPr>
                <w:sz w:val="20"/>
                <w:szCs w:val="20"/>
                <w:color w:val="auto"/>
              </w:rPr>
            </w:pPr>
            <w:r>
              <w:rPr>
                <w:rFonts w:ascii="Arial" w:cs="Arial" w:eastAsia="Arial" w:hAnsi="Arial"/>
                <w:sz w:val="18"/>
                <w:szCs w:val="18"/>
                <w:b w:val="1"/>
                <w:bCs w:val="1"/>
                <w:color w:val="auto"/>
                <w:w w:val="88"/>
              </w:rPr>
              <w:t>Restricted share units</w:t>
            </w:r>
          </w:p>
        </w:tc>
        <w:tc>
          <w:tcPr>
            <w:tcW w:w="9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8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9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9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8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1"/>
        </w:trPr>
        <w:tc>
          <w:tcPr>
            <w:tcW w:w="1040" w:type="dxa"/>
            <w:vAlign w:val="bottom"/>
            <w:tcBorders>
              <w:top w:val="single" w:sz="8" w:color="auto"/>
            </w:tcBorders>
          </w:tcPr>
          <w:p>
            <w:pPr>
              <w:spacing w:after="0" w:line="20" w:lineRule="exact"/>
              <w:rPr>
                <w:sz w:val="1"/>
                <w:szCs w:val="1"/>
                <w:color w:val="auto"/>
              </w:rPr>
            </w:pPr>
          </w:p>
        </w:tc>
        <w:tc>
          <w:tcPr>
            <w:tcW w:w="640" w:type="dxa"/>
            <w:vAlign w:val="bottom"/>
            <w:tcBorders>
              <w:top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6"/>
        </w:trPr>
        <w:tc>
          <w:tcPr>
            <w:tcW w:w="17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John A. Maccarone</w:t>
            </w:r>
          </w:p>
        </w:tc>
        <w:tc>
          <w:tcPr>
            <w:tcW w:w="116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b w:val="1"/>
                <w:bCs w:val="1"/>
                <w:color w:val="auto"/>
              </w:rPr>
              <w:t>—</w:t>
            </w: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b w:val="1"/>
                <w:bCs w:val="1"/>
                <w:color w:val="auto"/>
              </w:rPr>
              <w:t>—</w:t>
            </w:r>
          </w:p>
        </w:tc>
        <w:tc>
          <w:tcPr>
            <w:tcW w:w="10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b w:val="1"/>
                <w:bCs w:val="1"/>
                <w:color w:val="auto"/>
              </w:rPr>
              <w:t>—</w:t>
            </w:r>
          </w:p>
        </w:tc>
        <w:tc>
          <w:tcPr>
            <w:tcW w:w="1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ind w:left="48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b w:val="1"/>
                <w:bCs w:val="1"/>
                <w:color w:val="auto"/>
              </w:rPr>
              <w:t>—</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9,604</w:t>
            </w:r>
          </w:p>
        </w:tc>
        <w:tc>
          <w:tcPr>
            <w:tcW w:w="72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ind w:left="380"/>
              <w:spacing w:after="0"/>
              <w:rPr>
                <w:sz w:val="20"/>
                <w:szCs w:val="20"/>
                <w:color w:val="auto"/>
              </w:rPr>
            </w:pPr>
            <w:r>
              <w:rPr>
                <w:rFonts w:ascii="Arial" w:cs="Arial" w:eastAsia="Arial" w:hAnsi="Arial"/>
                <w:sz w:val="18"/>
                <w:szCs w:val="18"/>
                <w:b w:val="1"/>
                <w:bCs w:val="1"/>
                <w:color w:val="auto"/>
              </w:rPr>
              <w:t>—</w:t>
            </w:r>
          </w:p>
        </w:tc>
        <w:tc>
          <w:tcPr>
            <w:tcW w:w="0" w:type="dxa"/>
            <w:vAlign w:val="bottom"/>
          </w:tcPr>
          <w:p>
            <w:pPr>
              <w:spacing w:after="0"/>
              <w:rPr>
                <w:sz w:val="1"/>
                <w:szCs w:val="1"/>
                <w:color w:val="auto"/>
              </w:rPr>
            </w:pPr>
          </w:p>
        </w:tc>
      </w:tr>
      <w:tr>
        <w:trPr>
          <w:trHeight w:val="216"/>
        </w:trPr>
        <w:tc>
          <w:tcPr>
            <w:tcW w:w="1700" w:type="dxa"/>
            <w:vAlign w:val="bottom"/>
            <w:gridSpan w:val="3"/>
          </w:tcPr>
          <w:p>
            <w:pPr>
              <w:spacing w:after="0"/>
              <w:rPr>
                <w:sz w:val="20"/>
                <w:szCs w:val="20"/>
                <w:color w:val="auto"/>
              </w:rPr>
            </w:pPr>
            <w:r>
              <w:rPr>
                <w:rFonts w:ascii="Arial" w:cs="Arial" w:eastAsia="Arial" w:hAnsi="Arial"/>
                <w:sz w:val="18"/>
                <w:szCs w:val="18"/>
                <w:color w:val="auto"/>
              </w:rPr>
              <w:t>Olivier Ghesquiere</w:t>
            </w:r>
          </w:p>
        </w:tc>
        <w:tc>
          <w:tcPr>
            <w:tcW w:w="1160" w:type="dxa"/>
            <w:vAlign w:val="bottom"/>
            <w:gridSpan w:val="3"/>
          </w:tcPr>
          <w:p>
            <w:pPr>
              <w:jc w:val="right"/>
              <w:ind w:right="200"/>
              <w:spacing w:after="0"/>
              <w:rPr>
                <w:sz w:val="20"/>
                <w:szCs w:val="20"/>
                <w:color w:val="auto"/>
              </w:rPr>
            </w:pPr>
            <w:r>
              <w:rPr>
                <w:rFonts w:ascii="Arial" w:cs="Arial" w:eastAsia="Arial" w:hAnsi="Arial"/>
                <w:sz w:val="18"/>
                <w:szCs w:val="18"/>
                <w:b w:val="1"/>
                <w:bCs w:val="1"/>
                <w:color w:val="auto"/>
              </w:rPr>
              <w:t>—</w:t>
            </w:r>
          </w:p>
        </w:tc>
        <w:tc>
          <w:tcPr>
            <w:tcW w:w="940" w:type="dxa"/>
            <w:vAlign w:val="bottom"/>
            <w:gridSpan w:val="2"/>
          </w:tcPr>
          <w:p>
            <w:pPr>
              <w:jc w:val="right"/>
              <w:ind w:right="200"/>
              <w:spacing w:after="0"/>
              <w:rPr>
                <w:sz w:val="20"/>
                <w:szCs w:val="20"/>
                <w:color w:val="auto"/>
              </w:rPr>
            </w:pPr>
            <w:r>
              <w:rPr>
                <w:rFonts w:ascii="Arial" w:cs="Arial" w:eastAsia="Arial" w:hAnsi="Arial"/>
                <w:sz w:val="18"/>
                <w:szCs w:val="18"/>
                <w:b w:val="1"/>
                <w:bCs w:val="1"/>
                <w:color w:val="auto"/>
              </w:rPr>
              <w:t>—</w:t>
            </w:r>
          </w:p>
        </w:tc>
        <w:tc>
          <w:tcPr>
            <w:tcW w:w="1020" w:type="dxa"/>
            <w:vAlign w:val="bottom"/>
            <w:gridSpan w:val="2"/>
          </w:tcPr>
          <w:p>
            <w:pPr>
              <w:jc w:val="right"/>
              <w:ind w:right="180"/>
              <w:spacing w:after="0"/>
              <w:rPr>
                <w:sz w:val="20"/>
                <w:szCs w:val="20"/>
                <w:color w:val="auto"/>
              </w:rPr>
            </w:pPr>
            <w:r>
              <w:rPr>
                <w:rFonts w:ascii="Arial" w:cs="Arial" w:eastAsia="Arial" w:hAnsi="Arial"/>
                <w:sz w:val="18"/>
                <w:szCs w:val="18"/>
                <w:b w:val="1"/>
                <w:bCs w:val="1"/>
                <w:color w:val="auto"/>
              </w:rPr>
              <w:t>—</w:t>
            </w:r>
          </w:p>
        </w:tc>
        <w:tc>
          <w:tcPr>
            <w:tcW w:w="100" w:type="dxa"/>
            <w:vAlign w:val="bottom"/>
          </w:tcPr>
          <w:p>
            <w:pPr>
              <w:spacing w:after="0"/>
              <w:rPr>
                <w:sz w:val="18"/>
                <w:szCs w:val="18"/>
                <w:color w:val="auto"/>
              </w:rPr>
            </w:pPr>
          </w:p>
        </w:tc>
        <w:tc>
          <w:tcPr>
            <w:tcW w:w="800" w:type="dxa"/>
            <w:vAlign w:val="bottom"/>
            <w:gridSpan w:val="2"/>
          </w:tcPr>
          <w:p>
            <w:pPr>
              <w:ind w:left="480"/>
              <w:spacing w:after="0"/>
              <w:rPr>
                <w:sz w:val="20"/>
                <w:szCs w:val="20"/>
                <w:color w:val="auto"/>
              </w:rPr>
            </w:pPr>
            <w:r>
              <w:rPr>
                <w:rFonts w:ascii="Arial" w:cs="Arial" w:eastAsia="Arial" w:hAnsi="Arial"/>
                <w:sz w:val="18"/>
                <w:szCs w:val="18"/>
                <w:color w:val="auto"/>
              </w:rPr>
              <w:t>—</w:t>
            </w:r>
          </w:p>
        </w:tc>
        <w:tc>
          <w:tcPr>
            <w:tcW w:w="1100" w:type="dxa"/>
            <w:vAlign w:val="bottom"/>
            <w:gridSpan w:val="3"/>
          </w:tcPr>
          <w:p>
            <w:pPr>
              <w:jc w:val="right"/>
              <w:ind w:right="120"/>
              <w:spacing w:after="0"/>
              <w:rPr>
                <w:sz w:val="20"/>
                <w:szCs w:val="20"/>
                <w:color w:val="auto"/>
              </w:rPr>
            </w:pPr>
            <w:r>
              <w:rPr>
                <w:rFonts w:ascii="Arial" w:cs="Arial" w:eastAsia="Arial" w:hAnsi="Arial"/>
                <w:sz w:val="18"/>
                <w:szCs w:val="18"/>
                <w:color w:val="auto"/>
              </w:rPr>
              <w:t>4,440</w:t>
            </w:r>
          </w:p>
        </w:tc>
        <w:tc>
          <w:tcPr>
            <w:tcW w:w="100" w:type="dxa"/>
            <w:vAlign w:val="bottom"/>
          </w:tcPr>
          <w:p>
            <w:pPr>
              <w:spacing w:after="0"/>
              <w:rPr>
                <w:sz w:val="18"/>
                <w:szCs w:val="18"/>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20,000</w:t>
            </w:r>
          </w:p>
        </w:tc>
        <w:tc>
          <w:tcPr>
            <w:tcW w:w="1000" w:type="dxa"/>
            <w:vAlign w:val="bottom"/>
            <w:gridSpan w:val="2"/>
          </w:tcPr>
          <w:p>
            <w:pPr>
              <w:jc w:val="right"/>
              <w:ind w:right="120"/>
              <w:spacing w:after="0"/>
              <w:rPr>
                <w:sz w:val="20"/>
                <w:szCs w:val="20"/>
                <w:color w:val="auto"/>
              </w:rPr>
            </w:pPr>
            <w:r>
              <w:rPr>
                <w:rFonts w:ascii="Arial" w:cs="Arial" w:eastAsia="Arial" w:hAnsi="Arial"/>
                <w:sz w:val="18"/>
                <w:szCs w:val="18"/>
                <w:color w:val="auto"/>
              </w:rPr>
              <w:t>30,000</w:t>
            </w:r>
          </w:p>
        </w:tc>
        <w:tc>
          <w:tcPr>
            <w:tcW w:w="720" w:type="dxa"/>
            <w:vAlign w:val="bottom"/>
            <w:gridSpan w:val="2"/>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22,274</w:t>
            </w:r>
          </w:p>
        </w:tc>
        <w:tc>
          <w:tcPr>
            <w:tcW w:w="0" w:type="dxa"/>
            <w:vAlign w:val="bottom"/>
          </w:tcPr>
          <w:p>
            <w:pPr>
              <w:spacing w:after="0"/>
              <w:rPr>
                <w:sz w:val="1"/>
                <w:szCs w:val="1"/>
                <w:color w:val="auto"/>
              </w:rPr>
            </w:pPr>
          </w:p>
        </w:tc>
      </w:tr>
      <w:tr>
        <w:trPr>
          <w:trHeight w:val="216"/>
        </w:trPr>
        <w:tc>
          <w:tcPr>
            <w:tcW w:w="17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Robert D. Pedersen</w:t>
            </w:r>
          </w:p>
        </w:tc>
        <w:tc>
          <w:tcPr>
            <w:tcW w:w="116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b w:val="1"/>
                <w:bCs w:val="1"/>
                <w:color w:val="auto"/>
              </w:rPr>
              <w:t>—</w:t>
            </w: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b w:val="1"/>
                <w:bCs w:val="1"/>
                <w:color w:val="auto"/>
              </w:rPr>
              <w:t>—</w:t>
            </w:r>
          </w:p>
        </w:tc>
        <w:tc>
          <w:tcPr>
            <w:tcW w:w="10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b w:val="1"/>
                <w:bCs w:val="1"/>
                <w:color w:val="auto"/>
              </w:rPr>
              <w:t>—</w:t>
            </w:r>
          </w:p>
        </w:tc>
        <w:tc>
          <w:tcPr>
            <w:tcW w:w="1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ind w:left="48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b w:val="1"/>
                <w:bCs w:val="1"/>
                <w:color w:val="auto"/>
              </w:rPr>
              <w:t>—</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9,604</w:t>
            </w:r>
          </w:p>
        </w:tc>
        <w:tc>
          <w:tcPr>
            <w:tcW w:w="72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ind w:left="380"/>
              <w:spacing w:after="0"/>
              <w:rPr>
                <w:sz w:val="20"/>
                <w:szCs w:val="20"/>
                <w:color w:val="auto"/>
              </w:rPr>
            </w:pPr>
            <w:r>
              <w:rPr>
                <w:rFonts w:ascii="Arial" w:cs="Arial" w:eastAsia="Arial" w:hAnsi="Arial"/>
                <w:sz w:val="18"/>
                <w:szCs w:val="18"/>
                <w:b w:val="1"/>
                <w:bCs w:val="1"/>
                <w:color w:val="auto"/>
              </w:rPr>
              <w:t>—</w:t>
            </w:r>
          </w:p>
        </w:tc>
        <w:tc>
          <w:tcPr>
            <w:tcW w:w="0" w:type="dxa"/>
            <w:vAlign w:val="bottom"/>
          </w:tcPr>
          <w:p>
            <w:pPr>
              <w:spacing w:after="0"/>
              <w:rPr>
                <w:sz w:val="1"/>
                <w:szCs w:val="1"/>
                <w:color w:val="auto"/>
              </w:rPr>
            </w:pPr>
          </w:p>
        </w:tc>
      </w:tr>
      <w:tr>
        <w:trPr>
          <w:trHeight w:val="216"/>
        </w:trPr>
        <w:tc>
          <w:tcPr>
            <w:tcW w:w="1700" w:type="dxa"/>
            <w:vAlign w:val="bottom"/>
            <w:gridSpan w:val="3"/>
          </w:tcPr>
          <w:p>
            <w:pPr>
              <w:spacing w:after="0"/>
              <w:rPr>
                <w:sz w:val="20"/>
                <w:szCs w:val="20"/>
                <w:color w:val="auto"/>
              </w:rPr>
            </w:pPr>
            <w:r>
              <w:rPr>
                <w:rFonts w:ascii="Arial" w:cs="Arial" w:eastAsia="Arial" w:hAnsi="Arial"/>
                <w:sz w:val="18"/>
                <w:szCs w:val="18"/>
                <w:color w:val="auto"/>
              </w:rPr>
              <w:t>Michael K. Chan</w:t>
            </w:r>
          </w:p>
        </w:tc>
        <w:tc>
          <w:tcPr>
            <w:tcW w:w="1160" w:type="dxa"/>
            <w:vAlign w:val="bottom"/>
            <w:gridSpan w:val="3"/>
          </w:tcPr>
          <w:p>
            <w:pPr>
              <w:jc w:val="right"/>
              <w:ind w:right="200"/>
              <w:spacing w:after="0"/>
              <w:rPr>
                <w:sz w:val="20"/>
                <w:szCs w:val="20"/>
                <w:color w:val="auto"/>
              </w:rPr>
            </w:pPr>
            <w:r>
              <w:rPr>
                <w:rFonts w:ascii="Arial" w:cs="Arial" w:eastAsia="Arial" w:hAnsi="Arial"/>
                <w:sz w:val="18"/>
                <w:szCs w:val="18"/>
                <w:b w:val="1"/>
                <w:bCs w:val="1"/>
                <w:color w:val="auto"/>
              </w:rPr>
              <w:t>—</w:t>
            </w:r>
          </w:p>
        </w:tc>
        <w:tc>
          <w:tcPr>
            <w:tcW w:w="940" w:type="dxa"/>
            <w:vAlign w:val="bottom"/>
            <w:gridSpan w:val="2"/>
          </w:tcPr>
          <w:p>
            <w:pPr>
              <w:jc w:val="right"/>
              <w:ind w:right="200"/>
              <w:spacing w:after="0"/>
              <w:rPr>
                <w:sz w:val="20"/>
                <w:szCs w:val="20"/>
                <w:color w:val="auto"/>
              </w:rPr>
            </w:pPr>
            <w:r>
              <w:rPr>
                <w:rFonts w:ascii="Arial" w:cs="Arial" w:eastAsia="Arial" w:hAnsi="Arial"/>
                <w:sz w:val="18"/>
                <w:szCs w:val="18"/>
                <w:b w:val="1"/>
                <w:bCs w:val="1"/>
                <w:color w:val="auto"/>
              </w:rPr>
              <w:t>—</w:t>
            </w:r>
          </w:p>
        </w:tc>
        <w:tc>
          <w:tcPr>
            <w:tcW w:w="1020" w:type="dxa"/>
            <w:vAlign w:val="bottom"/>
            <w:gridSpan w:val="2"/>
          </w:tcPr>
          <w:p>
            <w:pPr>
              <w:jc w:val="right"/>
              <w:ind w:right="180"/>
              <w:spacing w:after="0"/>
              <w:rPr>
                <w:sz w:val="20"/>
                <w:szCs w:val="20"/>
                <w:color w:val="auto"/>
              </w:rPr>
            </w:pPr>
            <w:r>
              <w:rPr>
                <w:rFonts w:ascii="Arial" w:cs="Arial" w:eastAsia="Arial" w:hAnsi="Arial"/>
                <w:sz w:val="18"/>
                <w:szCs w:val="18"/>
                <w:b w:val="1"/>
                <w:bCs w:val="1"/>
                <w:color w:val="auto"/>
              </w:rPr>
              <w:t>—</w:t>
            </w:r>
          </w:p>
        </w:tc>
        <w:tc>
          <w:tcPr>
            <w:tcW w:w="100" w:type="dxa"/>
            <w:vAlign w:val="bottom"/>
          </w:tcPr>
          <w:p>
            <w:pPr>
              <w:spacing w:after="0"/>
              <w:rPr>
                <w:sz w:val="18"/>
                <w:szCs w:val="18"/>
                <w:color w:val="auto"/>
              </w:rPr>
            </w:pPr>
          </w:p>
        </w:tc>
        <w:tc>
          <w:tcPr>
            <w:tcW w:w="800" w:type="dxa"/>
            <w:vAlign w:val="bottom"/>
            <w:gridSpan w:val="2"/>
          </w:tcPr>
          <w:p>
            <w:pPr>
              <w:ind w:left="480"/>
              <w:spacing w:after="0"/>
              <w:rPr>
                <w:sz w:val="20"/>
                <w:szCs w:val="20"/>
                <w:color w:val="auto"/>
              </w:rPr>
            </w:pPr>
            <w:r>
              <w:rPr>
                <w:rFonts w:ascii="Arial" w:cs="Arial" w:eastAsia="Arial" w:hAnsi="Arial"/>
                <w:sz w:val="18"/>
                <w:szCs w:val="18"/>
                <w:color w:val="auto"/>
                <w:w w:val="99"/>
              </w:rPr>
              <w:t>937</w:t>
            </w:r>
          </w:p>
        </w:tc>
        <w:tc>
          <w:tcPr>
            <w:tcW w:w="1100" w:type="dxa"/>
            <w:vAlign w:val="bottom"/>
            <w:gridSpan w:val="3"/>
          </w:tcPr>
          <w:p>
            <w:pPr>
              <w:jc w:val="right"/>
              <w:ind w:right="120"/>
              <w:spacing w:after="0"/>
              <w:rPr>
                <w:sz w:val="20"/>
                <w:szCs w:val="20"/>
                <w:color w:val="auto"/>
              </w:rPr>
            </w:pPr>
            <w:r>
              <w:rPr>
                <w:rFonts w:ascii="Arial" w:cs="Arial" w:eastAsia="Arial" w:hAnsi="Arial"/>
                <w:sz w:val="18"/>
                <w:szCs w:val="18"/>
                <w:color w:val="auto"/>
              </w:rPr>
              <w:t>1,187</w:t>
            </w:r>
          </w:p>
        </w:tc>
        <w:tc>
          <w:tcPr>
            <w:tcW w:w="100" w:type="dxa"/>
            <w:vAlign w:val="bottom"/>
          </w:tcPr>
          <w:p>
            <w:pPr>
              <w:spacing w:after="0"/>
              <w:rPr>
                <w:sz w:val="18"/>
                <w:szCs w:val="18"/>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10,000</w:t>
            </w:r>
          </w:p>
        </w:tc>
        <w:tc>
          <w:tcPr>
            <w:tcW w:w="1000" w:type="dxa"/>
            <w:vAlign w:val="bottom"/>
            <w:gridSpan w:val="2"/>
          </w:tcPr>
          <w:p>
            <w:pPr>
              <w:jc w:val="right"/>
              <w:ind w:right="120"/>
              <w:spacing w:after="0"/>
              <w:rPr>
                <w:sz w:val="20"/>
                <w:szCs w:val="20"/>
                <w:color w:val="auto"/>
              </w:rPr>
            </w:pPr>
            <w:r>
              <w:rPr>
                <w:rFonts w:ascii="Arial" w:cs="Arial" w:eastAsia="Arial" w:hAnsi="Arial"/>
                <w:sz w:val="18"/>
                <w:szCs w:val="18"/>
                <w:color w:val="auto"/>
              </w:rPr>
              <w:t>15,000</w:t>
            </w:r>
          </w:p>
        </w:tc>
        <w:tc>
          <w:tcPr>
            <w:tcW w:w="720" w:type="dxa"/>
            <w:vAlign w:val="bottom"/>
            <w:gridSpan w:val="2"/>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6,682</w:t>
            </w:r>
          </w:p>
        </w:tc>
        <w:tc>
          <w:tcPr>
            <w:tcW w:w="0" w:type="dxa"/>
            <w:vAlign w:val="bottom"/>
          </w:tcPr>
          <w:p>
            <w:pPr>
              <w:spacing w:after="0"/>
              <w:rPr>
                <w:sz w:val="1"/>
                <w:szCs w:val="1"/>
                <w:color w:val="auto"/>
              </w:rPr>
            </w:pPr>
          </w:p>
        </w:tc>
      </w:tr>
      <w:tr>
        <w:trPr>
          <w:trHeight w:val="216"/>
        </w:trPr>
        <w:tc>
          <w:tcPr>
            <w:tcW w:w="17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Hyman Shwiel</w:t>
            </w:r>
          </w:p>
        </w:tc>
        <w:tc>
          <w:tcPr>
            <w:tcW w:w="116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b w:val="1"/>
                <w:bCs w:val="1"/>
                <w:color w:val="auto"/>
              </w:rPr>
              <w:t>—</w:t>
            </w: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b w:val="1"/>
                <w:bCs w:val="1"/>
                <w:color w:val="auto"/>
              </w:rPr>
              <w:t>—</w:t>
            </w:r>
          </w:p>
        </w:tc>
        <w:tc>
          <w:tcPr>
            <w:tcW w:w="10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b w:val="1"/>
                <w:bCs w:val="1"/>
                <w:color w:val="auto"/>
              </w:rPr>
              <w:t>—</w:t>
            </w:r>
          </w:p>
        </w:tc>
        <w:tc>
          <w:tcPr>
            <w:tcW w:w="1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ind w:left="48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b w:val="1"/>
                <w:bCs w:val="1"/>
                <w:color w:val="auto"/>
              </w:rPr>
              <w:t>—</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9,604</w:t>
            </w:r>
          </w:p>
        </w:tc>
        <w:tc>
          <w:tcPr>
            <w:tcW w:w="72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ind w:left="380"/>
              <w:spacing w:after="0"/>
              <w:rPr>
                <w:sz w:val="20"/>
                <w:szCs w:val="20"/>
                <w:color w:val="auto"/>
              </w:rPr>
            </w:pPr>
            <w:r>
              <w:rPr>
                <w:rFonts w:ascii="Arial" w:cs="Arial" w:eastAsia="Arial" w:hAnsi="Arial"/>
                <w:sz w:val="18"/>
                <w:szCs w:val="18"/>
                <w:b w:val="1"/>
                <w:bCs w:val="1"/>
                <w:color w:val="auto"/>
              </w:rPr>
              <w:t>—</w:t>
            </w:r>
          </w:p>
        </w:tc>
        <w:tc>
          <w:tcPr>
            <w:tcW w:w="0" w:type="dxa"/>
            <w:vAlign w:val="bottom"/>
          </w:tcPr>
          <w:p>
            <w:pPr>
              <w:spacing w:after="0"/>
              <w:rPr>
                <w:sz w:val="1"/>
                <w:szCs w:val="1"/>
                <w:color w:val="auto"/>
              </w:rPr>
            </w:pPr>
          </w:p>
        </w:tc>
      </w:tr>
      <w:tr>
        <w:trPr>
          <w:trHeight w:val="216"/>
        </w:trPr>
        <w:tc>
          <w:tcPr>
            <w:tcW w:w="1700" w:type="dxa"/>
            <w:vAlign w:val="bottom"/>
            <w:gridSpan w:val="3"/>
          </w:tcPr>
          <w:p>
            <w:pPr>
              <w:spacing w:after="0"/>
              <w:rPr>
                <w:sz w:val="20"/>
                <w:szCs w:val="20"/>
                <w:color w:val="auto"/>
              </w:rPr>
            </w:pPr>
            <w:r>
              <w:rPr>
                <w:rFonts w:ascii="Arial" w:cs="Arial" w:eastAsia="Arial" w:hAnsi="Arial"/>
                <w:sz w:val="18"/>
                <w:szCs w:val="18"/>
                <w:color w:val="auto"/>
                <w:w w:val="95"/>
              </w:rPr>
              <w:t>Dudley R. Cottingham</w:t>
            </w:r>
          </w:p>
        </w:tc>
        <w:tc>
          <w:tcPr>
            <w:tcW w:w="1160" w:type="dxa"/>
            <w:vAlign w:val="bottom"/>
            <w:gridSpan w:val="3"/>
          </w:tcPr>
          <w:p>
            <w:pPr>
              <w:jc w:val="right"/>
              <w:ind w:right="200"/>
              <w:spacing w:after="0"/>
              <w:rPr>
                <w:sz w:val="20"/>
                <w:szCs w:val="20"/>
                <w:color w:val="auto"/>
              </w:rPr>
            </w:pPr>
            <w:r>
              <w:rPr>
                <w:rFonts w:ascii="Arial" w:cs="Arial" w:eastAsia="Arial" w:hAnsi="Arial"/>
                <w:sz w:val="18"/>
                <w:szCs w:val="18"/>
                <w:color w:val="auto"/>
              </w:rPr>
              <w:t>—</w:t>
            </w:r>
          </w:p>
        </w:tc>
        <w:tc>
          <w:tcPr>
            <w:tcW w:w="9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800" w:type="dxa"/>
            <w:vAlign w:val="bottom"/>
            <w:gridSpan w:val="2"/>
          </w:tcPr>
          <w:p>
            <w:pPr>
              <w:ind w:left="48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0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9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00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9,604</w:t>
            </w:r>
          </w:p>
        </w:tc>
        <w:tc>
          <w:tcPr>
            <w:tcW w:w="720" w:type="dxa"/>
            <w:vAlign w:val="bottom"/>
            <w:gridSpan w:val="2"/>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ind w:left="3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17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David M. Nurek</w:t>
            </w:r>
          </w:p>
        </w:tc>
        <w:tc>
          <w:tcPr>
            <w:tcW w:w="116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b w:val="1"/>
                <w:bCs w:val="1"/>
                <w:color w:val="auto"/>
              </w:rPr>
              <w:t>—</w:t>
            </w: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b w:val="1"/>
                <w:bCs w:val="1"/>
                <w:color w:val="auto"/>
              </w:rPr>
              <w:t>—</w:t>
            </w:r>
          </w:p>
        </w:tc>
        <w:tc>
          <w:tcPr>
            <w:tcW w:w="10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b w:val="1"/>
                <w:bCs w:val="1"/>
                <w:color w:val="auto"/>
              </w:rPr>
              <w:t>—</w:t>
            </w:r>
          </w:p>
        </w:tc>
        <w:tc>
          <w:tcPr>
            <w:tcW w:w="1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ind w:left="48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b w:val="1"/>
                <w:bCs w:val="1"/>
                <w:color w:val="auto"/>
              </w:rPr>
              <w:t>—</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9,604</w:t>
            </w:r>
          </w:p>
        </w:tc>
        <w:tc>
          <w:tcPr>
            <w:tcW w:w="72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ind w:left="380"/>
              <w:spacing w:after="0"/>
              <w:rPr>
                <w:sz w:val="20"/>
                <w:szCs w:val="20"/>
                <w:color w:val="auto"/>
              </w:rPr>
            </w:pPr>
            <w:r>
              <w:rPr>
                <w:rFonts w:ascii="Arial" w:cs="Arial" w:eastAsia="Arial" w:hAnsi="Arial"/>
                <w:sz w:val="18"/>
                <w:szCs w:val="18"/>
                <w:b w:val="1"/>
                <w:bCs w:val="1"/>
                <w:color w:val="auto"/>
              </w:rPr>
              <w:t>—</w:t>
            </w:r>
          </w:p>
        </w:tc>
        <w:tc>
          <w:tcPr>
            <w:tcW w:w="0" w:type="dxa"/>
            <w:vAlign w:val="bottom"/>
          </w:tcPr>
          <w:p>
            <w:pPr>
              <w:spacing w:after="0"/>
              <w:rPr>
                <w:sz w:val="1"/>
                <w:szCs w:val="1"/>
                <w:color w:val="auto"/>
              </w:rPr>
            </w:pPr>
          </w:p>
        </w:tc>
      </w:tr>
      <w:tr>
        <w:trPr>
          <w:trHeight w:val="202"/>
        </w:trPr>
        <w:tc>
          <w:tcPr>
            <w:tcW w:w="1700" w:type="dxa"/>
            <w:vAlign w:val="bottom"/>
            <w:gridSpan w:val="3"/>
          </w:tcPr>
          <w:p>
            <w:pPr>
              <w:spacing w:after="0" w:line="201" w:lineRule="exact"/>
              <w:rPr>
                <w:sz w:val="20"/>
                <w:szCs w:val="20"/>
                <w:color w:val="auto"/>
              </w:rPr>
            </w:pPr>
            <w:r>
              <w:rPr>
                <w:rFonts w:ascii="Arial" w:cs="Arial" w:eastAsia="Arial" w:hAnsi="Arial"/>
                <w:sz w:val="18"/>
                <w:szCs w:val="18"/>
                <w:color w:val="auto"/>
              </w:rPr>
              <w:t>Hennie Van der</w:t>
            </w:r>
          </w:p>
        </w:tc>
        <w:tc>
          <w:tcPr>
            <w:tcW w:w="9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1700" w:type="dxa"/>
            <w:vAlign w:val="bottom"/>
            <w:gridSpan w:val="3"/>
          </w:tcPr>
          <w:p>
            <w:pPr>
              <w:ind w:left="180"/>
              <w:spacing w:after="0"/>
              <w:rPr>
                <w:sz w:val="20"/>
                <w:szCs w:val="20"/>
                <w:color w:val="auto"/>
              </w:rPr>
            </w:pPr>
            <w:r>
              <w:rPr>
                <w:rFonts w:ascii="Arial" w:cs="Arial" w:eastAsia="Arial" w:hAnsi="Arial"/>
                <w:sz w:val="18"/>
                <w:szCs w:val="18"/>
                <w:color w:val="auto"/>
              </w:rPr>
              <w:t>Merwe</w:t>
            </w:r>
          </w:p>
        </w:tc>
        <w:tc>
          <w:tcPr>
            <w:tcW w:w="1160" w:type="dxa"/>
            <w:vAlign w:val="bottom"/>
            <w:gridSpan w:val="3"/>
          </w:tcPr>
          <w:p>
            <w:pPr>
              <w:jc w:val="right"/>
              <w:ind w:right="200"/>
              <w:spacing w:after="0"/>
              <w:rPr>
                <w:sz w:val="20"/>
                <w:szCs w:val="20"/>
                <w:color w:val="auto"/>
              </w:rPr>
            </w:pPr>
            <w:r>
              <w:rPr>
                <w:rFonts w:ascii="Arial" w:cs="Arial" w:eastAsia="Arial" w:hAnsi="Arial"/>
                <w:sz w:val="18"/>
                <w:szCs w:val="18"/>
                <w:color w:val="auto"/>
              </w:rPr>
              <w:t>—</w:t>
            </w:r>
          </w:p>
        </w:tc>
        <w:tc>
          <w:tcPr>
            <w:tcW w:w="9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20"/>
                <w:szCs w:val="20"/>
                <w:color w:val="auto"/>
              </w:rPr>
            </w:pPr>
          </w:p>
        </w:tc>
        <w:tc>
          <w:tcPr>
            <w:tcW w:w="800" w:type="dxa"/>
            <w:vAlign w:val="bottom"/>
            <w:gridSpan w:val="2"/>
          </w:tcPr>
          <w:p>
            <w:pPr>
              <w:ind w:left="48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20"/>
                <w:szCs w:val="20"/>
                <w:color w:val="auto"/>
              </w:rPr>
            </w:pPr>
          </w:p>
        </w:tc>
        <w:tc>
          <w:tcPr>
            <w:tcW w:w="10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20"/>
                <w:szCs w:val="20"/>
                <w:color w:val="auto"/>
              </w:rPr>
            </w:pPr>
          </w:p>
        </w:tc>
        <w:tc>
          <w:tcPr>
            <w:tcW w:w="9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00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9,604</w:t>
            </w:r>
          </w:p>
        </w:tc>
        <w:tc>
          <w:tcPr>
            <w:tcW w:w="720" w:type="dxa"/>
            <w:vAlign w:val="bottom"/>
            <w:gridSpan w:val="2"/>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ind w:left="3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17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Grace Tang</w:t>
            </w:r>
          </w:p>
        </w:tc>
        <w:tc>
          <w:tcPr>
            <w:tcW w:w="116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b w:val="1"/>
                <w:bCs w:val="1"/>
                <w:color w:val="auto"/>
              </w:rPr>
              <w:t>—</w:t>
            </w: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b w:val="1"/>
                <w:bCs w:val="1"/>
                <w:color w:val="auto"/>
              </w:rPr>
              <w:t>—</w:t>
            </w:r>
          </w:p>
        </w:tc>
        <w:tc>
          <w:tcPr>
            <w:tcW w:w="10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b w:val="1"/>
                <w:bCs w:val="1"/>
                <w:color w:val="auto"/>
              </w:rPr>
              <w:t>—</w:t>
            </w:r>
          </w:p>
        </w:tc>
        <w:tc>
          <w:tcPr>
            <w:tcW w:w="1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ind w:left="48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b w:val="1"/>
                <w:bCs w:val="1"/>
                <w:color w:val="auto"/>
              </w:rPr>
              <w:t>—</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6,944</w:t>
            </w:r>
          </w:p>
        </w:tc>
        <w:tc>
          <w:tcPr>
            <w:tcW w:w="720" w:type="dxa"/>
            <w:vAlign w:val="bottom"/>
            <w:gridSpan w:val="2"/>
            <w:shd w:val="clear" w:color="auto" w:fill="CCEEFF"/>
          </w:tcPr>
          <w:p>
            <w:pPr>
              <w:ind w:left="380"/>
              <w:spacing w:after="0"/>
              <w:rPr>
                <w:sz w:val="20"/>
                <w:szCs w:val="20"/>
                <w:color w:val="auto"/>
              </w:rPr>
            </w:pPr>
            <w:r>
              <w:rPr>
                <w:rFonts w:ascii="Arial" w:cs="Arial" w:eastAsia="Arial" w:hAnsi="Arial"/>
                <w:sz w:val="18"/>
                <w:szCs w:val="18"/>
                <w:b w:val="1"/>
                <w:bCs w:val="1"/>
                <w:color w:val="auto"/>
              </w:rPr>
              <w:t>—</w:t>
            </w:r>
          </w:p>
        </w:tc>
        <w:tc>
          <w:tcPr>
            <w:tcW w:w="0" w:type="dxa"/>
            <w:vAlign w:val="bottom"/>
          </w:tcPr>
          <w:p>
            <w:pPr>
              <w:spacing w:after="0"/>
              <w:rPr>
                <w:sz w:val="1"/>
                <w:szCs w:val="1"/>
                <w:color w:val="auto"/>
              </w:rPr>
            </w:pPr>
          </w:p>
        </w:tc>
      </w:tr>
    </w:tbl>
    <w:p>
      <w:pPr>
        <w:spacing w:after="0" w:line="229" w:lineRule="exact"/>
        <w:rPr>
          <w:sz w:val="20"/>
          <w:szCs w:val="20"/>
          <w:color w:val="auto"/>
        </w:rPr>
      </w:pPr>
    </w:p>
    <w:p>
      <w:pPr>
        <w:ind w:left="424" w:right="40" w:hanging="424"/>
        <w:spacing w:after="0" w:line="259" w:lineRule="auto"/>
        <w:tabs>
          <w:tab w:leader="none" w:pos="424" w:val="left"/>
        </w:tabs>
        <w:numPr>
          <w:ilvl w:val="0"/>
          <w:numId w:val="68"/>
        </w:numPr>
        <w:rPr>
          <w:rFonts w:ascii="Arial" w:cs="Arial" w:eastAsia="Arial" w:hAnsi="Arial"/>
          <w:sz w:val="18"/>
          <w:szCs w:val="18"/>
          <w:color w:val="auto"/>
        </w:rPr>
      </w:pPr>
      <w:r>
        <w:rPr>
          <w:rFonts w:ascii="Arial" w:cs="Arial" w:eastAsia="Arial" w:hAnsi="Arial"/>
          <w:sz w:val="18"/>
          <w:szCs w:val="18"/>
          <w:color w:val="auto"/>
        </w:rPr>
        <w:t>Robert Pedersen’s outstanding share options that were granted during 2011 to 2015 are comprised of 16,500 shares of $28.54 exercise price, 23,000 shares of $28.05 exercise price, 26,000 shares of $38.36 exercise price, 27,820 shares of $34.14 exercise price and 26,534 shares of $14.17 exercise price that were granted on 11/16/2011, 11/14/2012, 11/14/2013, 11/19/2014 and 11/12/2015, respectively. Expiration date is ten years from the respective grant date.</w:t>
      </w:r>
    </w:p>
    <w:p>
      <w:pPr>
        <w:spacing w:after="0" w:line="187" w:lineRule="exact"/>
        <w:rPr>
          <w:sz w:val="20"/>
          <w:szCs w:val="20"/>
          <w:color w:val="auto"/>
        </w:rPr>
      </w:pPr>
    </w:p>
    <w:p>
      <w:pPr>
        <w:ind w:left="4" w:right="140" w:firstLine="440"/>
        <w:spacing w:after="0" w:line="275" w:lineRule="auto"/>
        <w:rPr>
          <w:sz w:val="20"/>
          <w:szCs w:val="20"/>
          <w:color w:val="auto"/>
        </w:rPr>
      </w:pPr>
      <w:r>
        <w:rPr>
          <w:rFonts w:ascii="Arial" w:cs="Arial" w:eastAsia="Arial" w:hAnsi="Arial"/>
          <w:sz w:val="17"/>
          <w:szCs w:val="17"/>
          <w:color w:val="auto"/>
        </w:rPr>
        <w:t>As of December 31, 2020, based on information available to the Company, 32,641 of our outstanding common shares were held in Bermuda, our domicile and headquarter country, by one holder of record. An aggregate of 18,977,403 of our outstanding common shares trade under secondary, or dual, listing on the JSE. An aggregate of 31,174,310 of our outstanding common shares, which includes 31,167,773 shares held by Cede &amp; Company, were held in the United States by five holders of record. The shares held by Cede &amp; Company, a nominee of the Depository Trust Company, include common shares beneficially owned by holders in the United States and by non-U.S. beneficial owners.</w:t>
      </w:r>
    </w:p>
    <w:p>
      <w:pPr>
        <w:spacing w:after="0" w:line="321" w:lineRule="exact"/>
        <w:rPr>
          <w:sz w:val="20"/>
          <w:szCs w:val="20"/>
          <w:color w:val="auto"/>
        </w:rPr>
      </w:pPr>
    </w:p>
    <w:p>
      <w:pPr>
        <w:ind w:left="424" w:hanging="424"/>
        <w:spacing w:after="0"/>
        <w:tabs>
          <w:tab w:leader="none" w:pos="424" w:val="left"/>
        </w:tabs>
        <w:numPr>
          <w:ilvl w:val="0"/>
          <w:numId w:val="69"/>
        </w:numPr>
        <w:rPr>
          <w:rFonts w:ascii="Arial" w:cs="Arial" w:eastAsia="Arial" w:hAnsi="Arial"/>
          <w:sz w:val="18"/>
          <w:szCs w:val="18"/>
          <w:b w:val="1"/>
          <w:bCs w:val="1"/>
          <w:color w:val="auto"/>
        </w:rPr>
      </w:pPr>
      <w:r>
        <w:rPr>
          <w:rFonts w:ascii="Arial" w:cs="Arial" w:eastAsia="Arial" w:hAnsi="Arial"/>
          <w:sz w:val="18"/>
          <w:szCs w:val="18"/>
          <w:b w:val="1"/>
          <w:bCs w:val="1"/>
          <w:color w:val="auto"/>
        </w:rPr>
        <w:t>Related Party Transactions</w:t>
      </w:r>
    </w:p>
    <w:p>
      <w:pPr>
        <w:spacing w:after="0" w:line="121" w:lineRule="exact"/>
        <w:rPr>
          <w:sz w:val="20"/>
          <w:szCs w:val="20"/>
          <w:color w:val="auto"/>
        </w:rPr>
      </w:pPr>
    </w:p>
    <w:p>
      <w:pPr>
        <w:ind w:left="4" w:right="120" w:firstLine="440"/>
        <w:spacing w:after="0" w:line="259" w:lineRule="auto"/>
        <w:rPr>
          <w:sz w:val="20"/>
          <w:szCs w:val="20"/>
          <w:color w:val="auto"/>
        </w:rPr>
      </w:pPr>
      <w:r>
        <w:rPr>
          <w:rFonts w:ascii="Arial" w:cs="Arial" w:eastAsia="Arial" w:hAnsi="Arial"/>
          <w:sz w:val="18"/>
          <w:szCs w:val="18"/>
          <w:color w:val="auto"/>
        </w:rPr>
        <w:t>We do not have a corporate policy regarding related party transactions, nor are there any provisions in our memorandum of association or bye-laws regarding related party transactions, other than the provision, as permitted by Bermuda law, that we, or one of our subsidiaries, may enter into a contract in which our directors or officers are directly or indirectly interested if the director or officer discloses his interest to our board of directors at the first opportunity at a meeting of directors or in writing.</w:t>
      </w:r>
    </w:p>
    <w:p>
      <w:pPr>
        <w:spacing w:after="0" w:line="291"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Loans to Executive Officers</w:t>
      </w:r>
    </w:p>
    <w:p>
      <w:pPr>
        <w:spacing w:after="0" w:line="121" w:lineRule="exact"/>
        <w:rPr>
          <w:sz w:val="20"/>
          <w:szCs w:val="20"/>
          <w:color w:val="auto"/>
        </w:rPr>
      </w:pPr>
    </w:p>
    <w:p>
      <w:pPr>
        <w:ind w:left="4" w:right="60" w:firstLine="440"/>
        <w:spacing w:after="0" w:line="257" w:lineRule="auto"/>
        <w:rPr>
          <w:sz w:val="20"/>
          <w:szCs w:val="20"/>
          <w:color w:val="auto"/>
        </w:rPr>
      </w:pPr>
      <w:r>
        <w:rPr>
          <w:rFonts w:ascii="Arial" w:cs="Arial" w:eastAsia="Arial" w:hAnsi="Arial"/>
          <w:sz w:val="18"/>
          <w:szCs w:val="18"/>
          <w:color w:val="auto"/>
        </w:rPr>
        <w:t>As permitted by Bermuda law, in the past, we had extended loans to certain employees in connection with their acquisition of our common shares in accordance with our various employees’ share arrangements. As of December 31, 2020, and 2019, no amounts were outstanding on such loans to employees. Currently, there are no loans outstanding to our directors or executive officers, nor will we extend loans to our directors or executive officers in the future, in compliance with the requirements of Section 402 of the Sarbanes-Oxley Act of 2002 and Section 13(k) of the Securities Exchange Act of 1934, as amended.</w:t>
      </w:r>
    </w:p>
    <w:p>
      <w:pPr>
        <w:spacing w:after="0" w:line="120"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78</w:t>
      </w:r>
    </w:p>
    <w:p>
      <w:pPr>
        <w:sectPr>
          <w:pgSz w:w="11900" w:h="16838" w:orient="portrait"/>
          <w:cols w:equalWidth="0" w:num="1">
            <w:col w:w="11024"/>
          </w:cols>
          <w:pgMar w:left="436" w:top="274" w:right="439" w:bottom="1440" w:gutter="0" w:footer="0" w:header="0"/>
        </w:sectPr>
      </w:pPr>
    </w:p>
    <w:bookmarkStart w:id="92" w:name="page93"/>
    <w:bookmarkEnd w:id="92"/>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Indemnification of Officers and Directors</w:t>
      </w:r>
    </w:p>
    <w:p>
      <w:pPr>
        <w:spacing w:after="0" w:line="121" w:lineRule="exact"/>
        <w:rPr>
          <w:sz w:val="20"/>
          <w:szCs w:val="20"/>
          <w:color w:val="auto"/>
        </w:rPr>
      </w:pPr>
    </w:p>
    <w:p>
      <w:pPr>
        <w:ind w:right="40" w:firstLine="440"/>
        <w:spacing w:after="0" w:line="255" w:lineRule="auto"/>
        <w:rPr>
          <w:sz w:val="20"/>
          <w:szCs w:val="20"/>
          <w:color w:val="auto"/>
        </w:rPr>
      </w:pPr>
      <w:r>
        <w:rPr>
          <w:rFonts w:ascii="Arial" w:cs="Arial" w:eastAsia="Arial" w:hAnsi="Arial"/>
          <w:sz w:val="18"/>
          <w:szCs w:val="18"/>
          <w:color w:val="auto"/>
        </w:rPr>
        <w:t>We have entered into indemnification agreements with each of our directors and executive officers to give such directors and officers, as well as their immediate family members, additional contractual assurances regarding the scope of indemnification set forth in our bye-laws, and to provide additional procedural protections which may, in some cases, be broader than the specific indemnification provisions contained in our bye-laws. The indemnification agreements may require us, among other things, to indemnify such directors and officers, as well as their immediate family members, against liabilities that may arise by reason of their status or service as directors or officers and to advance expenses as a result of any proceeding against them as to which they could be indemnified.</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Agreements with Maccarone Container Fund, LLC</w:t>
      </w:r>
    </w:p>
    <w:p>
      <w:pPr>
        <w:spacing w:after="0" w:line="121" w:lineRule="exact"/>
        <w:rPr>
          <w:sz w:val="20"/>
          <w:szCs w:val="20"/>
          <w:color w:val="auto"/>
        </w:rPr>
      </w:pPr>
    </w:p>
    <w:p>
      <w:pPr>
        <w:ind w:right="60" w:firstLine="440"/>
        <w:spacing w:after="0" w:line="259" w:lineRule="auto"/>
        <w:rPr>
          <w:sz w:val="20"/>
          <w:szCs w:val="20"/>
          <w:color w:val="auto"/>
        </w:rPr>
      </w:pPr>
      <w:r>
        <w:rPr>
          <w:rFonts w:ascii="Arial" w:cs="Arial" w:eastAsia="Arial" w:hAnsi="Arial"/>
          <w:sz w:val="18"/>
          <w:szCs w:val="18"/>
          <w:color w:val="auto"/>
        </w:rPr>
        <w:t>TEML has entered into a management agreement with Maccarone Container Fund, LLC, related to TEML’s management of containers owned by Maccarone Container Fund, LLC effective 2016. Director John Maccarone and his family members are the beneficial owners of Maccarone Container Fund, LLC. In 2020 and 2019, we managed approximately 1,300 TEU (for which we received approximately $17 per year in management fees) for Maccarone Container Fund, LLC.</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Relationships and Agreements with Trencor Limited</w:t>
      </w:r>
    </w:p>
    <w:p>
      <w:pPr>
        <w:spacing w:after="0" w:line="121" w:lineRule="exact"/>
        <w:rPr>
          <w:sz w:val="20"/>
          <w:szCs w:val="20"/>
          <w:color w:val="auto"/>
        </w:rPr>
      </w:pPr>
    </w:p>
    <w:p>
      <w:pPr>
        <w:ind w:firstLine="440"/>
        <w:spacing w:after="0" w:line="257" w:lineRule="auto"/>
        <w:rPr>
          <w:sz w:val="20"/>
          <w:szCs w:val="20"/>
          <w:color w:val="auto"/>
        </w:rPr>
      </w:pPr>
      <w:r>
        <w:rPr>
          <w:rFonts w:ascii="Arial" w:cs="Arial" w:eastAsia="Arial" w:hAnsi="Arial"/>
          <w:sz w:val="18"/>
          <w:szCs w:val="18"/>
          <w:color w:val="auto"/>
        </w:rPr>
        <w:t>Trencor Limited, a company traded on the Johannesburg Stock Exchange (the “JSE”) in South Africa, owned approximately 47.5% of our issued and outstanding common shares as of December 31, 2018. On December 11, 2019, we commenced a secondary, or dual, listing of our common shares on the JSE in Johannesburg, South Africa under the symbol “TXT”. Promptly following our dual listing, Trencor distributed approximately 24.3 million of its shares in the Company to Trencor’s own shareholders and these shares are now trading on the JSE. As of December 31, 2019, Trencor held 5.3% or 3.0 million of the Company’s common shares.</w:t>
      </w:r>
    </w:p>
    <w:p>
      <w:pPr>
        <w:spacing w:after="0" w:line="188" w:lineRule="exact"/>
        <w:rPr>
          <w:sz w:val="20"/>
          <w:szCs w:val="20"/>
          <w:color w:val="auto"/>
        </w:rPr>
      </w:pPr>
    </w:p>
    <w:p>
      <w:pPr>
        <w:ind w:right="40" w:firstLine="440"/>
        <w:spacing w:after="0" w:line="263" w:lineRule="auto"/>
        <w:rPr>
          <w:sz w:val="20"/>
          <w:szCs w:val="20"/>
          <w:color w:val="auto"/>
        </w:rPr>
      </w:pPr>
      <w:r>
        <w:rPr>
          <w:rFonts w:ascii="Arial" w:cs="Arial" w:eastAsia="Arial" w:hAnsi="Arial"/>
          <w:sz w:val="18"/>
          <w:szCs w:val="18"/>
          <w:color w:val="auto"/>
        </w:rPr>
        <w:t>In June 2020, Trencor distributed its remaining 3.0 million of our common shares to Trencor’s own shareholders and these shares are now trading on the JSE. Following the June 2020 distribution of shares, Trencor no longer hold any shares in the Company. Hennie Van der Merwe and David M. Nurek, are members of the Company’s board of directors and the board of directors of Trencor.</w:t>
      </w:r>
    </w:p>
    <w:p>
      <w:pPr>
        <w:spacing w:after="0" w:line="184" w:lineRule="exact"/>
        <w:rPr>
          <w:sz w:val="20"/>
          <w:szCs w:val="20"/>
          <w:color w:val="auto"/>
        </w:rPr>
      </w:pPr>
    </w:p>
    <w:p>
      <w:pPr>
        <w:ind w:right="360" w:firstLine="440"/>
        <w:spacing w:after="0" w:line="277" w:lineRule="auto"/>
        <w:rPr>
          <w:sz w:val="20"/>
          <w:szCs w:val="20"/>
          <w:color w:val="auto"/>
        </w:rPr>
      </w:pPr>
      <w:r>
        <w:rPr>
          <w:rFonts w:ascii="Arial" w:cs="Arial" w:eastAsia="Arial" w:hAnsi="Arial"/>
          <w:sz w:val="18"/>
          <w:szCs w:val="18"/>
          <w:color w:val="auto"/>
        </w:rPr>
        <w:t>In September 2020, the Company received $330 from Trencor in exchange for the early distribution of escrow funds that were held under the escrow agreement in relation to our acquisition of LAPCO in December 2019.</w:t>
      </w:r>
    </w:p>
    <w:p>
      <w:pPr>
        <w:spacing w:after="0" w:line="170" w:lineRule="exact"/>
        <w:rPr>
          <w:sz w:val="20"/>
          <w:szCs w:val="20"/>
          <w:color w:val="auto"/>
        </w:rPr>
      </w:pPr>
    </w:p>
    <w:p>
      <w:pPr>
        <w:ind w:right="160" w:firstLine="440"/>
        <w:spacing w:after="0" w:line="277" w:lineRule="auto"/>
        <w:rPr>
          <w:sz w:val="20"/>
          <w:szCs w:val="20"/>
          <w:color w:val="auto"/>
        </w:rPr>
      </w:pPr>
      <w:r>
        <w:rPr>
          <w:rFonts w:ascii="Arial" w:cs="Arial" w:eastAsia="Arial" w:hAnsi="Arial"/>
          <w:sz w:val="18"/>
          <w:szCs w:val="18"/>
          <w:color w:val="auto"/>
        </w:rPr>
        <w:t>The Company’s personnel assisted Trencor with the conversion of the Company’s financial information from U.S. GAAP to IFRS. Trencor paid $145 and $432 for these accounting services in 2020 and 2019, respectively.</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Relationships and Agreements with Leased Assets Pool Company Limited</w:t>
      </w:r>
    </w:p>
    <w:p>
      <w:pPr>
        <w:spacing w:after="0" w:line="121" w:lineRule="exact"/>
        <w:rPr>
          <w:sz w:val="20"/>
          <w:szCs w:val="20"/>
          <w:color w:val="auto"/>
        </w:rPr>
      </w:pPr>
    </w:p>
    <w:p>
      <w:pPr>
        <w:ind w:right="40" w:firstLine="440"/>
        <w:spacing w:after="0" w:line="291" w:lineRule="auto"/>
        <w:rPr>
          <w:sz w:val="20"/>
          <w:szCs w:val="20"/>
          <w:color w:val="auto"/>
        </w:rPr>
      </w:pPr>
      <w:r>
        <w:rPr>
          <w:rFonts w:ascii="Arial" w:cs="Arial" w:eastAsia="Arial" w:hAnsi="Arial"/>
          <w:sz w:val="16"/>
          <w:szCs w:val="16"/>
          <w:color w:val="auto"/>
        </w:rPr>
        <w:t>On December 2, 2019, we entered into a stock purchase agreement with TAC Limited, a wholly-owned subsidiary of Trencor, to purchase LAPCO. On December 31, 2019, we completed the acquisition of LAPCO and the purchase price consideration consisted of $65,527 in cash paid to TAC Limited, cash amounts paid by the Company to fully repay LAPCO’s debt facility of $126,289 and transaction costs incurred to complete the transaction of $104. We repaid LAPCO’s existing debt at the closing date by refinancing this debt in our existing revolving credit facility. LAPCO owned a fleet of approximately 161,000 TEU of intermodal containers managed by the Company and approximately 3,000 TEU of containers managed by other container lessors. The transaction is substantially an acquisition of LAPCO’s container fleet because substantially all the fair value of the gross assets we acquired (excluding cash) was concentrated in a single identifiable asset which are containers.</w:t>
      </w:r>
    </w:p>
    <w:p>
      <w:pPr>
        <w:spacing w:after="0" w:line="166" w:lineRule="exact"/>
        <w:rPr>
          <w:sz w:val="20"/>
          <w:szCs w:val="20"/>
          <w:color w:val="auto"/>
        </w:rPr>
      </w:pPr>
    </w:p>
    <w:p>
      <w:pPr>
        <w:ind w:right="100" w:firstLine="440"/>
        <w:spacing w:after="0" w:line="257" w:lineRule="auto"/>
        <w:rPr>
          <w:sz w:val="20"/>
          <w:szCs w:val="20"/>
          <w:color w:val="auto"/>
        </w:rPr>
      </w:pPr>
      <w:r>
        <w:rPr>
          <w:rFonts w:ascii="Arial" w:cs="Arial" w:eastAsia="Arial" w:hAnsi="Arial"/>
          <w:sz w:val="18"/>
          <w:szCs w:val="18"/>
          <w:color w:val="auto"/>
        </w:rPr>
        <w:t xml:space="preserve">On December 31, 2019, the management agreement between the Company and LAPCO was terminated as a result of our acquisition of LAPCO. There were no stated contractual settlement provisions relating to the management agreement. After the acquisition, LAPCO became a wholly-owned subsidiary of the Company effective on December 31, 2019 (see Note 1 (b) “Nature of Business and Summary of Significant Accounting Policies – Principles of Consolidation and Variable Interest Entity” to our consolidated financial statements in Item 18, </w:t>
      </w:r>
      <w:r>
        <w:rPr>
          <w:rFonts w:ascii="Arial" w:cs="Arial" w:eastAsia="Arial" w:hAnsi="Arial"/>
          <w:sz w:val="18"/>
          <w:szCs w:val="18"/>
          <w:i w:val="1"/>
          <w:iCs w:val="1"/>
          <w:color w:val="auto"/>
        </w:rPr>
        <w:t>“Financial Statements”</w:t>
      </w:r>
      <w:r>
        <w:rPr>
          <w:rFonts w:ascii="Arial" w:cs="Arial" w:eastAsia="Arial" w:hAnsi="Arial"/>
          <w:sz w:val="18"/>
          <w:szCs w:val="18"/>
          <w:color w:val="auto"/>
        </w:rPr>
        <w:t xml:space="preserve"> in this Annual Report on Form 20-F for additional information).</w:t>
      </w:r>
    </w:p>
    <w:p>
      <w:pPr>
        <w:spacing w:after="0" w:line="12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79</w:t>
      </w:r>
    </w:p>
    <w:p>
      <w:pPr>
        <w:sectPr>
          <w:pgSz w:w="11900" w:h="16838" w:orient="portrait"/>
          <w:cols w:equalWidth="0" w:num="1">
            <w:col w:w="10960"/>
          </w:cols>
          <w:pgMar w:left="440" w:top="270" w:right="499" w:bottom="1440" w:gutter="0" w:footer="0" w:header="0"/>
        </w:sectPr>
      </w:pPr>
    </w:p>
    <w:bookmarkStart w:id="93" w:name="page94"/>
    <w:bookmarkEnd w:id="93"/>
    <w:p>
      <w:pPr>
        <w:ind w:left="4"/>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Transactions with Continental Management Ltd.</w:t>
      </w:r>
    </w:p>
    <w:p>
      <w:pPr>
        <w:spacing w:after="0" w:line="121" w:lineRule="exact"/>
        <w:rPr>
          <w:sz w:val="20"/>
          <w:szCs w:val="20"/>
          <w:color w:val="auto"/>
        </w:rPr>
      </w:pPr>
    </w:p>
    <w:p>
      <w:pPr>
        <w:ind w:left="4" w:right="40" w:firstLine="440"/>
        <w:spacing w:after="0" w:line="259" w:lineRule="auto"/>
        <w:rPr>
          <w:sz w:val="20"/>
          <w:szCs w:val="20"/>
          <w:color w:val="auto"/>
        </w:rPr>
      </w:pPr>
      <w:r>
        <w:rPr>
          <w:rFonts w:ascii="Arial" w:cs="Arial" w:eastAsia="Arial" w:hAnsi="Arial"/>
          <w:sz w:val="18"/>
          <w:szCs w:val="18"/>
          <w:color w:val="auto"/>
        </w:rPr>
        <w:t>A member of our board of directors, Dudley R. Cottingham, was a member of the board of directors of Continental Management Ltd (“Continental”) as of December 31, 2018 and became a consultant effective January 1, 2019. Continental is a Bermuda company that provides corporate representation, administration and management services. In 2020, 2019 and 2018, the Company paid $90, $79 and $121, respectively, to Continental primarily for Bermuda government annual fees and registered office fees.</w:t>
      </w:r>
    </w:p>
    <w:p>
      <w:pPr>
        <w:spacing w:after="0" w:line="331" w:lineRule="exact"/>
        <w:rPr>
          <w:sz w:val="20"/>
          <w:szCs w:val="20"/>
          <w:color w:val="auto"/>
        </w:rPr>
      </w:pPr>
    </w:p>
    <w:p>
      <w:pPr>
        <w:ind w:left="444" w:right="8060" w:hanging="444"/>
        <w:spacing w:after="0" w:line="407" w:lineRule="auto"/>
        <w:tabs>
          <w:tab w:leader="none" w:pos="436" w:val="left"/>
        </w:tabs>
        <w:numPr>
          <w:ilvl w:val="0"/>
          <w:numId w:val="70"/>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Interests of Experts and Counsel </w:t>
      </w:r>
      <w:r>
        <w:rPr>
          <w:rFonts w:ascii="Arial" w:cs="Arial" w:eastAsia="Arial" w:hAnsi="Arial"/>
          <w:sz w:val="18"/>
          <w:szCs w:val="18"/>
          <w:color w:val="auto"/>
        </w:rPr>
        <w:t>Not applicable.</w:t>
      </w:r>
    </w:p>
    <w:p>
      <w:pPr>
        <w:spacing w:after="0" w:line="202" w:lineRule="exact"/>
        <w:rPr>
          <w:sz w:val="20"/>
          <w:szCs w:val="20"/>
          <w:color w:val="auto"/>
        </w:rPr>
      </w:pPr>
    </w:p>
    <w:p>
      <w:pPr>
        <w:ind w:left="4"/>
        <w:spacing w:after="0"/>
        <w:tabs>
          <w:tab w:leader="none" w:pos="1064" w:val="left"/>
        </w:tabs>
        <w:rPr>
          <w:sz w:val="20"/>
          <w:szCs w:val="20"/>
          <w:color w:val="auto"/>
        </w:rPr>
      </w:pPr>
      <w:r>
        <w:rPr>
          <w:rFonts w:ascii="Arial" w:cs="Arial" w:eastAsia="Arial" w:hAnsi="Arial"/>
          <w:sz w:val="18"/>
          <w:szCs w:val="18"/>
          <w:b w:val="1"/>
          <w:bCs w:val="1"/>
          <w:color w:val="auto"/>
        </w:rPr>
        <w:t>ITEM 8.</w:t>
      </w:r>
      <w:r>
        <w:rPr>
          <w:sz w:val="20"/>
          <w:szCs w:val="20"/>
          <w:color w:val="auto"/>
        </w:rPr>
        <w:tab/>
      </w:r>
      <w:r>
        <w:rPr>
          <w:rFonts w:ascii="Arial" w:cs="Arial" w:eastAsia="Arial" w:hAnsi="Arial"/>
          <w:sz w:val="18"/>
          <w:szCs w:val="18"/>
          <w:b w:val="1"/>
          <w:bCs w:val="1"/>
          <w:color w:val="auto"/>
        </w:rPr>
        <w:t>FINANCIAL INFORMATION</w:t>
      </w:r>
    </w:p>
    <w:p>
      <w:pPr>
        <w:spacing w:after="0" w:line="131" w:lineRule="exact"/>
        <w:rPr>
          <w:sz w:val="20"/>
          <w:szCs w:val="20"/>
          <w:color w:val="auto"/>
        </w:rPr>
      </w:pPr>
    </w:p>
    <w:p>
      <w:pPr>
        <w:ind w:left="4" w:right="6080" w:hanging="4"/>
        <w:spacing w:after="0" w:line="378" w:lineRule="auto"/>
        <w:tabs>
          <w:tab w:leader="none" w:pos="436" w:val="left"/>
        </w:tabs>
        <w:numPr>
          <w:ilvl w:val="0"/>
          <w:numId w:val="71"/>
        </w:numPr>
        <w:rPr>
          <w:rFonts w:ascii="Arial" w:cs="Arial" w:eastAsia="Arial" w:hAnsi="Arial"/>
          <w:sz w:val="18"/>
          <w:szCs w:val="18"/>
          <w:b w:val="1"/>
          <w:bCs w:val="1"/>
          <w:color w:val="auto"/>
        </w:rPr>
      </w:pPr>
      <w:r>
        <w:rPr>
          <w:rFonts w:ascii="Arial" w:cs="Arial" w:eastAsia="Arial" w:hAnsi="Arial"/>
          <w:sz w:val="18"/>
          <w:szCs w:val="18"/>
          <w:b w:val="1"/>
          <w:bCs w:val="1"/>
          <w:color w:val="auto"/>
        </w:rPr>
        <w:t>Consolidated Statements and Other Financial Information Financial Statements</w:t>
      </w:r>
    </w:p>
    <w:p>
      <w:pPr>
        <w:ind w:left="4" w:firstLine="440"/>
        <w:spacing w:after="0" w:line="257" w:lineRule="auto"/>
        <w:rPr>
          <w:sz w:val="20"/>
          <w:szCs w:val="20"/>
          <w:color w:val="auto"/>
        </w:rPr>
      </w:pPr>
      <w:r>
        <w:rPr>
          <w:rFonts w:ascii="Arial" w:cs="Arial" w:eastAsia="Arial" w:hAnsi="Arial"/>
          <w:sz w:val="18"/>
          <w:szCs w:val="18"/>
          <w:color w:val="auto"/>
        </w:rPr>
        <w:t xml:space="preserve">Our audited consolidated financial statements which are comprised of our consolidated balance sheets as of December 31, 2020 and 2019 and the related consolidated statements of operations, comprehensive income, shareholders’ equity and cash flows for each of the years in the three-year period ended December 31, 2020 and the notes to those statements and the report of independent registered public accounting firm thereon, are included under Item 18, </w:t>
      </w:r>
      <w:r>
        <w:rPr>
          <w:rFonts w:ascii="Arial" w:cs="Arial" w:eastAsia="Arial" w:hAnsi="Arial"/>
          <w:sz w:val="18"/>
          <w:szCs w:val="18"/>
          <w:i w:val="1"/>
          <w:iCs w:val="1"/>
          <w:color w:val="auto"/>
        </w:rPr>
        <w:t>“Financial Statements”</w:t>
      </w:r>
      <w:r>
        <w:rPr>
          <w:rFonts w:ascii="Arial" w:cs="Arial" w:eastAsia="Arial" w:hAnsi="Arial"/>
          <w:sz w:val="18"/>
          <w:szCs w:val="18"/>
          <w:color w:val="auto"/>
        </w:rPr>
        <w:t xml:space="preserve"> of this Annual Report on Form 20-F. Also, see Item 5, </w:t>
      </w:r>
      <w:r>
        <w:rPr>
          <w:rFonts w:ascii="Arial" w:cs="Arial" w:eastAsia="Arial" w:hAnsi="Arial"/>
          <w:sz w:val="18"/>
          <w:szCs w:val="18"/>
          <w:i w:val="1"/>
          <w:iCs w:val="1"/>
          <w:color w:val="auto"/>
        </w:rPr>
        <w:t>“Operating and Financial Review and Prospects”</w:t>
      </w:r>
      <w:r>
        <w:rPr>
          <w:rFonts w:ascii="Arial" w:cs="Arial" w:eastAsia="Arial" w:hAnsi="Arial"/>
          <w:sz w:val="18"/>
          <w:szCs w:val="18"/>
          <w:color w:val="auto"/>
        </w:rPr>
        <w:t xml:space="preserve"> for additional financial information.</w:t>
      </w:r>
    </w:p>
    <w:p>
      <w:pPr>
        <w:spacing w:after="0" w:line="292"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Legal Proceedings</w:t>
      </w:r>
    </w:p>
    <w:p>
      <w:pPr>
        <w:spacing w:after="0" w:line="121" w:lineRule="exact"/>
        <w:rPr>
          <w:sz w:val="20"/>
          <w:szCs w:val="20"/>
          <w:color w:val="auto"/>
        </w:rPr>
      </w:pPr>
    </w:p>
    <w:p>
      <w:pPr>
        <w:ind w:left="4" w:right="60" w:firstLine="440"/>
        <w:spacing w:after="0" w:line="277" w:lineRule="auto"/>
        <w:rPr>
          <w:sz w:val="20"/>
          <w:szCs w:val="20"/>
          <w:color w:val="auto"/>
        </w:rPr>
      </w:pPr>
      <w:r>
        <w:rPr>
          <w:rFonts w:ascii="Arial" w:cs="Arial" w:eastAsia="Arial" w:hAnsi="Arial"/>
          <w:sz w:val="18"/>
          <w:szCs w:val="18"/>
          <w:color w:val="auto"/>
        </w:rPr>
        <w:t xml:space="preserve">See Item 4, </w:t>
      </w:r>
      <w:r>
        <w:rPr>
          <w:rFonts w:ascii="Arial" w:cs="Arial" w:eastAsia="Arial" w:hAnsi="Arial"/>
          <w:sz w:val="18"/>
          <w:szCs w:val="18"/>
          <w:i w:val="1"/>
          <w:iCs w:val="1"/>
          <w:color w:val="auto"/>
        </w:rPr>
        <w:t>“Information on the Company — Business Overview—Legal Proceedings”</w:t>
      </w:r>
      <w:r>
        <w:rPr>
          <w:rFonts w:ascii="Arial" w:cs="Arial" w:eastAsia="Arial" w:hAnsi="Arial"/>
          <w:sz w:val="18"/>
          <w:szCs w:val="18"/>
          <w:color w:val="auto"/>
        </w:rPr>
        <w:t xml:space="preserve"> for information on our legal proceedings which may have, or have had in the recent past, significant effects on our financial position or profitability.</w:t>
      </w:r>
    </w:p>
    <w:p>
      <w:pPr>
        <w:spacing w:after="0" w:line="274"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Dividend Policy</w:t>
      </w:r>
    </w:p>
    <w:p>
      <w:pPr>
        <w:spacing w:after="0" w:line="121" w:lineRule="exact"/>
        <w:rPr>
          <w:sz w:val="20"/>
          <w:szCs w:val="20"/>
          <w:color w:val="auto"/>
        </w:rPr>
      </w:pPr>
    </w:p>
    <w:p>
      <w:pPr>
        <w:ind w:left="4" w:right="20" w:firstLine="440"/>
        <w:spacing w:after="0" w:line="296" w:lineRule="auto"/>
        <w:rPr>
          <w:sz w:val="20"/>
          <w:szCs w:val="20"/>
          <w:color w:val="auto"/>
        </w:rPr>
      </w:pPr>
      <w:r>
        <w:rPr>
          <w:rFonts w:ascii="Arial" w:cs="Arial" w:eastAsia="Arial" w:hAnsi="Arial"/>
          <w:sz w:val="16"/>
          <w:szCs w:val="16"/>
          <w:color w:val="auto"/>
        </w:rPr>
        <w:t xml:space="preserve">We are not required to pay dividends, and our shareholders do not have contractual or other rights, to receive dividends. The timing and amount of future dividends will be at the discretion of our board of directors and will be dependent on our future operating results and the cash requirements of our business. There are a number of factors that can affect our ability to pay dividends and there is no guarantee that we will pay dividends in any given year. See Item 3, </w:t>
      </w:r>
      <w:r>
        <w:rPr>
          <w:rFonts w:ascii="Arial" w:cs="Arial" w:eastAsia="Arial" w:hAnsi="Arial"/>
          <w:sz w:val="16"/>
          <w:szCs w:val="16"/>
          <w:i w:val="1"/>
          <w:iCs w:val="1"/>
          <w:color w:val="auto"/>
        </w:rPr>
        <w:t>“Key Information — Risk Factors,”</w:t>
      </w:r>
      <w:r>
        <w:rPr>
          <w:rFonts w:ascii="Arial" w:cs="Arial" w:eastAsia="Arial" w:hAnsi="Arial"/>
          <w:sz w:val="16"/>
          <w:szCs w:val="16"/>
          <w:color w:val="auto"/>
        </w:rPr>
        <w:t xml:space="preserve"> for a discussion of these factors. Our board of directors may decide, in its discretion, at any time, to decrease the amount of dividends, otherwise modify or repeal the dividend policy or discontinue entirely the payment of dividends.</w:t>
      </w:r>
    </w:p>
    <w:p>
      <w:pPr>
        <w:spacing w:after="0" w:line="161" w:lineRule="exact"/>
        <w:rPr>
          <w:sz w:val="20"/>
          <w:szCs w:val="20"/>
          <w:color w:val="auto"/>
        </w:rPr>
      </w:pPr>
    </w:p>
    <w:p>
      <w:pPr>
        <w:ind w:left="4" w:right="140" w:firstLine="440"/>
        <w:spacing w:after="0" w:line="290" w:lineRule="auto"/>
        <w:rPr>
          <w:sz w:val="20"/>
          <w:szCs w:val="20"/>
          <w:color w:val="auto"/>
        </w:rPr>
      </w:pPr>
      <w:r>
        <w:rPr>
          <w:rFonts w:ascii="Arial" w:cs="Arial" w:eastAsia="Arial" w:hAnsi="Arial"/>
          <w:sz w:val="16"/>
          <w:szCs w:val="16"/>
          <w:color w:val="auto"/>
        </w:rPr>
        <w:t xml:space="preserve">In addition, we will not pay dividends in the event we are not allowed to do so under Bermuda law, are in default under (or such payment would cause a default under) the revolving credit facility of TL, or if such payment would cause us to breach any of our covenants. These covenants include certain financial covenants, which would be directly affected by the payment of dividends, such as a minimum tangible net worth level (which level would decrease by the amount of any dividend paid) and a maximum ratio of consolidated funded debt to consolidated tangible net worth (which amount would decrease by the amount of any dividend paid). Please see Item 5, </w:t>
      </w:r>
      <w:r>
        <w:rPr>
          <w:rFonts w:ascii="Arial" w:cs="Arial" w:eastAsia="Arial" w:hAnsi="Arial"/>
          <w:sz w:val="16"/>
          <w:szCs w:val="16"/>
          <w:i w:val="1"/>
          <w:iCs w:val="1"/>
          <w:color w:val="auto"/>
        </w:rPr>
        <w:t>“Operating and Financial Review and Prospects—Liquidity and</w:t>
      </w:r>
      <w:r>
        <w:rPr>
          <w:rFonts w:ascii="Arial" w:cs="Arial" w:eastAsia="Arial" w:hAnsi="Arial"/>
          <w:sz w:val="16"/>
          <w:szCs w:val="16"/>
          <w:color w:val="auto"/>
        </w:rPr>
        <w:t xml:space="preserve"> </w:t>
      </w:r>
      <w:r>
        <w:rPr>
          <w:rFonts w:ascii="Arial" w:cs="Arial" w:eastAsia="Arial" w:hAnsi="Arial"/>
          <w:sz w:val="16"/>
          <w:szCs w:val="16"/>
          <w:i w:val="1"/>
          <w:iCs w:val="1"/>
          <w:color w:val="auto"/>
        </w:rPr>
        <w:t xml:space="preserve">Capital Resources” </w:t>
      </w:r>
      <w:r>
        <w:rPr>
          <w:rFonts w:ascii="Arial" w:cs="Arial" w:eastAsia="Arial" w:hAnsi="Arial"/>
          <w:sz w:val="16"/>
          <w:szCs w:val="16"/>
          <w:color w:val="auto"/>
        </w:rPr>
        <w:t>for a description of these covenants. Furthermore, since we are a holding company, substantially all of the assets shown on our</w:t>
      </w:r>
      <w:r>
        <w:rPr>
          <w:rFonts w:ascii="Arial" w:cs="Arial" w:eastAsia="Arial" w:hAnsi="Arial"/>
          <w:sz w:val="16"/>
          <w:szCs w:val="16"/>
          <w:i w:val="1"/>
          <w:iCs w:val="1"/>
          <w:color w:val="auto"/>
        </w:rPr>
        <w:t xml:space="preserve"> </w:t>
      </w:r>
      <w:r>
        <w:rPr>
          <w:rFonts w:ascii="Arial" w:cs="Arial" w:eastAsia="Arial" w:hAnsi="Arial"/>
          <w:sz w:val="16"/>
          <w:szCs w:val="16"/>
          <w:color w:val="auto"/>
        </w:rPr>
        <w:t>consolidated balance sheet are held by our subsidiaries. Accordingly, our earnings and cash flow and our ability to pay dividends are largely dependent upon the earnings and cash flows of our subsidiaries and the distribution or other payment of such earnings to us in the form of dividends.</w:t>
      </w:r>
    </w:p>
    <w:p>
      <w:pPr>
        <w:spacing w:after="0" w:line="98"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80</w:t>
      </w:r>
    </w:p>
    <w:p>
      <w:pPr>
        <w:sectPr>
          <w:pgSz w:w="11900" w:h="16838" w:orient="portrait"/>
          <w:cols w:equalWidth="0" w:num="1">
            <w:col w:w="11004"/>
          </w:cols>
          <w:pgMar w:left="436" w:top="270" w:right="459" w:bottom="1440" w:gutter="0" w:footer="0" w:header="0"/>
        </w:sectPr>
      </w:pPr>
    </w:p>
    <w:bookmarkStart w:id="94" w:name="page95"/>
    <w:bookmarkEnd w:id="94"/>
    <w:p>
      <w:pPr>
        <w:ind w:left="4" w:right="40" w:firstLine="44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In 2014, we began calculating our earnings and profits under U.S. federal income tax principles for purposes of determining whether distributions exceed our current and accumulated earnings and profits. We believe that some or all of our distributions will be treated as a return of capital to our U.S. shareholders and we report each quarter on our website at </w:t>
      </w:r>
      <w:r>
        <w:rPr>
          <w:rFonts w:ascii="Arial" w:cs="Arial" w:eastAsia="Arial" w:hAnsi="Arial"/>
          <w:sz w:val="18"/>
          <w:szCs w:val="18"/>
          <w:u w:val="single" w:color="auto"/>
          <w:color w:val="auto"/>
        </w:rPr>
        <w:t>www.textainer.com</w:t>
      </w:r>
      <w:r>
        <w:rPr>
          <w:rFonts w:ascii="Arial" w:cs="Arial" w:eastAsia="Arial" w:hAnsi="Arial"/>
          <w:sz w:val="18"/>
          <w:szCs w:val="18"/>
          <w:color w:val="auto"/>
        </w:rPr>
        <w:t xml:space="preserve"> whether that quarter’s distribution exceeds our current accumulated earnings and profits. The taxability of the dividends does not impact our corporate tax position. You should consult with a tax advisor to determine the proper tax treatment of these distributions.</w:t>
      </w:r>
    </w:p>
    <w:p>
      <w:pPr>
        <w:spacing w:after="0" w:line="332" w:lineRule="exact"/>
        <w:rPr>
          <w:sz w:val="20"/>
          <w:szCs w:val="20"/>
          <w:color w:val="auto"/>
        </w:rPr>
      </w:pPr>
    </w:p>
    <w:p>
      <w:pPr>
        <w:ind w:left="424" w:hanging="424"/>
        <w:spacing w:after="0"/>
        <w:tabs>
          <w:tab w:leader="none" w:pos="424" w:val="left"/>
        </w:tabs>
        <w:numPr>
          <w:ilvl w:val="0"/>
          <w:numId w:val="72"/>
        </w:numPr>
        <w:rPr>
          <w:rFonts w:ascii="Arial" w:cs="Arial" w:eastAsia="Arial" w:hAnsi="Arial"/>
          <w:sz w:val="18"/>
          <w:szCs w:val="18"/>
          <w:b w:val="1"/>
          <w:bCs w:val="1"/>
          <w:color w:val="auto"/>
        </w:rPr>
      </w:pPr>
      <w:r>
        <w:rPr>
          <w:rFonts w:ascii="Arial" w:cs="Arial" w:eastAsia="Arial" w:hAnsi="Arial"/>
          <w:sz w:val="18"/>
          <w:szCs w:val="18"/>
          <w:b w:val="1"/>
          <w:bCs w:val="1"/>
          <w:color w:val="auto"/>
        </w:rPr>
        <w:t>Significant Changes</w:t>
      </w:r>
    </w:p>
    <w:p>
      <w:pPr>
        <w:spacing w:after="0" w:line="121" w:lineRule="exact"/>
        <w:rPr>
          <w:sz w:val="20"/>
          <w:szCs w:val="20"/>
          <w:color w:val="auto"/>
        </w:rPr>
      </w:pPr>
    </w:p>
    <w:p>
      <w:pPr>
        <w:ind w:left="4" w:right="140" w:firstLine="440"/>
        <w:spacing w:after="0" w:line="277" w:lineRule="auto"/>
        <w:rPr>
          <w:sz w:val="20"/>
          <w:szCs w:val="20"/>
          <w:color w:val="auto"/>
        </w:rPr>
      </w:pPr>
      <w:r>
        <w:rPr>
          <w:rFonts w:ascii="Arial" w:cs="Arial" w:eastAsia="Arial" w:hAnsi="Arial"/>
          <w:sz w:val="18"/>
          <w:szCs w:val="18"/>
          <w:color w:val="auto"/>
        </w:rPr>
        <w:t>Except as disclosed in the Annual Report on Form 20-F, no significant changes have occurred since December 31, 2020, which is the date of our audited consolidated financial statements included in this Annual Report on Form 20-F.</w:t>
      </w:r>
    </w:p>
    <w:p>
      <w:pPr>
        <w:spacing w:after="0" w:line="315" w:lineRule="exact"/>
        <w:rPr>
          <w:sz w:val="20"/>
          <w:szCs w:val="20"/>
          <w:color w:val="auto"/>
        </w:rPr>
      </w:pPr>
    </w:p>
    <w:p>
      <w:pPr>
        <w:ind w:left="4"/>
        <w:spacing w:after="0"/>
        <w:tabs>
          <w:tab w:leader="none" w:pos="1064" w:val="left"/>
        </w:tabs>
        <w:rPr>
          <w:sz w:val="20"/>
          <w:szCs w:val="20"/>
          <w:color w:val="auto"/>
        </w:rPr>
      </w:pPr>
      <w:r>
        <w:rPr>
          <w:rFonts w:ascii="Arial" w:cs="Arial" w:eastAsia="Arial" w:hAnsi="Arial"/>
          <w:sz w:val="18"/>
          <w:szCs w:val="18"/>
          <w:b w:val="1"/>
          <w:bCs w:val="1"/>
          <w:color w:val="auto"/>
        </w:rPr>
        <w:t>ITEM 9.</w:t>
      </w:r>
      <w:r>
        <w:rPr>
          <w:sz w:val="20"/>
          <w:szCs w:val="20"/>
          <w:color w:val="auto"/>
        </w:rPr>
        <w:tab/>
      </w:r>
      <w:r>
        <w:rPr>
          <w:rFonts w:ascii="Arial" w:cs="Arial" w:eastAsia="Arial" w:hAnsi="Arial"/>
          <w:sz w:val="18"/>
          <w:szCs w:val="18"/>
          <w:b w:val="1"/>
          <w:bCs w:val="1"/>
          <w:color w:val="auto"/>
        </w:rPr>
        <w:t>THE OFFER AND LISTING</w:t>
      </w:r>
    </w:p>
    <w:p>
      <w:pPr>
        <w:spacing w:after="0" w:line="131" w:lineRule="exact"/>
        <w:rPr>
          <w:sz w:val="20"/>
          <w:szCs w:val="20"/>
          <w:color w:val="auto"/>
        </w:rPr>
      </w:pPr>
    </w:p>
    <w:p>
      <w:pPr>
        <w:ind w:left="4" w:right="8280" w:hanging="4"/>
        <w:spacing w:after="0" w:line="425" w:lineRule="auto"/>
        <w:tabs>
          <w:tab w:leader="none" w:pos="436" w:val="left"/>
        </w:tabs>
        <w:numPr>
          <w:ilvl w:val="0"/>
          <w:numId w:val="73"/>
        </w:numPr>
        <w:rPr>
          <w:rFonts w:ascii="Arial" w:cs="Arial" w:eastAsia="Arial" w:hAnsi="Arial"/>
          <w:sz w:val="16"/>
          <w:szCs w:val="16"/>
          <w:b w:val="1"/>
          <w:bCs w:val="1"/>
          <w:color w:val="auto"/>
        </w:rPr>
      </w:pPr>
      <w:r>
        <w:rPr>
          <w:rFonts w:ascii="Arial" w:cs="Arial" w:eastAsia="Arial" w:hAnsi="Arial"/>
          <w:sz w:val="16"/>
          <w:szCs w:val="16"/>
          <w:b w:val="1"/>
          <w:bCs w:val="1"/>
          <w:color w:val="auto"/>
        </w:rPr>
        <w:t>Offer and Listing Details Trading Markets and Price History</w:t>
      </w:r>
    </w:p>
    <w:p>
      <w:pPr>
        <w:ind w:left="4" w:right="200" w:firstLine="440"/>
        <w:spacing w:after="0" w:line="259" w:lineRule="auto"/>
        <w:rPr>
          <w:sz w:val="20"/>
          <w:szCs w:val="20"/>
          <w:color w:val="auto"/>
        </w:rPr>
      </w:pPr>
      <w:r>
        <w:rPr>
          <w:rFonts w:ascii="Arial" w:cs="Arial" w:eastAsia="Arial" w:hAnsi="Arial"/>
          <w:sz w:val="18"/>
          <w:szCs w:val="18"/>
          <w:color w:val="auto"/>
        </w:rPr>
        <w:t>Our common shares have been primary listed on the NYSE under the symbol “TGH” since October 10, 2007. Prior to that time, there was no public market for our common shares. Our common shares are secondary or dual listed on the JSE in Johannesburg, South Africa under the symbol “TXT” since December 2019. The following table sets forth the high and low closing sale prices, as reported on the NYSE for our common shares for the periods indicated:</w:t>
      </w:r>
    </w:p>
    <w:p>
      <w:pPr>
        <w:spacing w:after="0" w:line="205" w:lineRule="exact"/>
        <w:rPr>
          <w:sz w:val="20"/>
          <w:szCs w:val="20"/>
          <w:color w:val="auto"/>
        </w:rPr>
      </w:pPr>
    </w:p>
    <w:tbl>
      <w:tblPr>
        <w:tblLayout w:type="fixed"/>
        <w:tblInd w:w="1324" w:type="dxa"/>
        <w:tblCellMar>
          <w:top w:w="0" w:type="dxa"/>
          <w:left w:w="0" w:type="dxa"/>
          <w:bottom w:w="0" w:type="dxa"/>
          <w:right w:w="0" w:type="dxa"/>
        </w:tblCellMar>
      </w:tblPr>
      <w:tr>
        <w:trPr>
          <w:trHeight w:val="171"/>
        </w:trPr>
        <w:tc>
          <w:tcPr>
            <w:tcW w:w="69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80" w:type="dxa"/>
            <w:vAlign w:val="bottom"/>
            <w:gridSpan w:val="2"/>
          </w:tcPr>
          <w:p>
            <w:pPr>
              <w:spacing w:after="0"/>
              <w:rPr>
                <w:sz w:val="20"/>
                <w:szCs w:val="20"/>
                <w:color w:val="auto"/>
              </w:rPr>
            </w:pPr>
            <w:r>
              <w:rPr>
                <w:rFonts w:ascii="Arial" w:cs="Arial" w:eastAsia="Arial" w:hAnsi="Arial"/>
                <w:sz w:val="14"/>
                <w:szCs w:val="14"/>
                <w:b w:val="1"/>
                <w:bCs w:val="1"/>
                <w:color w:val="auto"/>
              </w:rPr>
              <w:t>High</w:t>
            </w:r>
          </w:p>
        </w:tc>
        <w:tc>
          <w:tcPr>
            <w:tcW w:w="2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60" w:type="dxa"/>
            <w:vAlign w:val="bottom"/>
            <w:gridSpan w:val="2"/>
          </w:tcPr>
          <w:p>
            <w:pPr>
              <w:ind w:left="20"/>
              <w:spacing w:after="0"/>
              <w:rPr>
                <w:sz w:val="20"/>
                <w:szCs w:val="20"/>
                <w:color w:val="auto"/>
              </w:rPr>
            </w:pPr>
            <w:r>
              <w:rPr>
                <w:rFonts w:ascii="Arial" w:cs="Arial" w:eastAsia="Arial" w:hAnsi="Arial"/>
                <w:sz w:val="14"/>
                <w:szCs w:val="14"/>
                <w:b w:val="1"/>
                <w:bCs w:val="1"/>
                <w:color w:val="auto"/>
              </w:rPr>
              <w:t>Low</w:t>
            </w:r>
          </w:p>
        </w:tc>
      </w:tr>
      <w:tr>
        <w:trPr>
          <w:trHeight w:val="196"/>
        </w:trPr>
        <w:tc>
          <w:tcPr>
            <w:tcW w:w="694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Annual Highs and Lows:</w:t>
            </w:r>
          </w:p>
        </w:tc>
        <w:tc>
          <w:tcPr>
            <w:tcW w:w="100" w:type="dxa"/>
            <w:vAlign w:val="bottom"/>
            <w:tcBorders>
              <w:top w:val="single" w:sz="8" w:color="auto"/>
            </w:tcBorders>
            <w:shd w:val="clear" w:color="auto" w:fill="CCEEFF"/>
          </w:tcPr>
          <w:p>
            <w:pPr>
              <w:spacing w:after="0"/>
              <w:rPr>
                <w:sz w:val="17"/>
                <w:szCs w:val="17"/>
                <w:color w:val="auto"/>
              </w:rPr>
            </w:pPr>
          </w:p>
        </w:tc>
        <w:tc>
          <w:tcPr>
            <w:tcW w:w="400" w:type="dxa"/>
            <w:vAlign w:val="bottom"/>
            <w:tcBorders>
              <w:top w:val="single" w:sz="8" w:color="auto"/>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420" w:type="dxa"/>
            <w:vAlign w:val="bottom"/>
            <w:tcBorders>
              <w:top w:val="single" w:sz="8" w:color="auto"/>
            </w:tcBorders>
            <w:shd w:val="clear" w:color="auto" w:fill="CCEEFF"/>
          </w:tcPr>
          <w:p>
            <w:pPr>
              <w:spacing w:after="0"/>
              <w:rPr>
                <w:sz w:val="17"/>
                <w:szCs w:val="17"/>
                <w:color w:val="auto"/>
              </w:rPr>
            </w:pPr>
          </w:p>
        </w:tc>
        <w:tc>
          <w:tcPr>
            <w:tcW w:w="40" w:type="dxa"/>
            <w:vAlign w:val="bottom"/>
            <w:tcBorders>
              <w:top w:val="single" w:sz="8" w:color="CCEEFF"/>
            </w:tcBorders>
            <w:shd w:val="clear" w:color="auto" w:fill="CCEEFF"/>
          </w:tcPr>
          <w:p>
            <w:pPr>
              <w:spacing w:after="0"/>
              <w:rPr>
                <w:sz w:val="17"/>
                <w:szCs w:val="17"/>
                <w:color w:val="auto"/>
              </w:rPr>
            </w:pP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2020</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gridSpan w:val="2"/>
          </w:tcPr>
          <w:p>
            <w:pPr>
              <w:jc w:val="right"/>
              <w:ind w:right="180"/>
              <w:spacing w:after="0"/>
              <w:rPr>
                <w:sz w:val="20"/>
                <w:szCs w:val="20"/>
                <w:color w:val="auto"/>
              </w:rPr>
            </w:pPr>
            <w:r>
              <w:rPr>
                <w:rFonts w:ascii="Arial" w:cs="Arial" w:eastAsia="Arial" w:hAnsi="Arial"/>
                <w:sz w:val="18"/>
                <w:szCs w:val="18"/>
                <w:color w:val="auto"/>
                <w:w w:val="84"/>
              </w:rPr>
              <w:t>19.82</w:t>
            </w:r>
          </w:p>
        </w:tc>
        <w:tc>
          <w:tcPr>
            <w:tcW w:w="2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tcPr>
          <w:p>
            <w:pPr>
              <w:jc w:val="right"/>
              <w:ind w:right="40"/>
              <w:spacing w:after="0"/>
              <w:rPr>
                <w:sz w:val="20"/>
                <w:szCs w:val="20"/>
                <w:color w:val="auto"/>
              </w:rPr>
            </w:pPr>
            <w:r>
              <w:rPr>
                <w:rFonts w:ascii="Arial" w:cs="Arial" w:eastAsia="Arial" w:hAnsi="Arial"/>
                <w:sz w:val="18"/>
                <w:szCs w:val="18"/>
                <w:color w:val="auto"/>
              </w:rPr>
              <w:t>6.51</w:t>
            </w:r>
          </w:p>
        </w:tc>
      </w:tr>
      <w:tr>
        <w:trPr>
          <w:trHeight w:val="216"/>
        </w:trPr>
        <w:tc>
          <w:tcPr>
            <w:tcW w:w="6940" w:type="dxa"/>
            <w:vAlign w:val="bottom"/>
            <w:shd w:val="clear" w:color="auto" w:fill="CCEEFF"/>
          </w:tcPr>
          <w:p>
            <w:pPr>
              <w:spacing w:after="0"/>
              <w:rPr>
                <w:sz w:val="20"/>
                <w:szCs w:val="20"/>
                <w:color w:val="auto"/>
              </w:rPr>
            </w:pPr>
            <w:r>
              <w:rPr>
                <w:rFonts w:ascii="Arial" w:cs="Arial" w:eastAsia="Arial" w:hAnsi="Arial"/>
                <w:sz w:val="18"/>
                <w:szCs w:val="18"/>
                <w:color w:val="auto"/>
              </w:rPr>
              <w:t>2019</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84"/>
              </w:rPr>
              <w:t>13.95</w:t>
            </w:r>
          </w:p>
        </w:tc>
        <w:tc>
          <w:tcPr>
            <w:tcW w:w="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6.74</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2018</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gridSpan w:val="2"/>
          </w:tcPr>
          <w:p>
            <w:pPr>
              <w:jc w:val="right"/>
              <w:ind w:right="180"/>
              <w:spacing w:after="0"/>
              <w:rPr>
                <w:sz w:val="20"/>
                <w:szCs w:val="20"/>
                <w:color w:val="auto"/>
              </w:rPr>
            </w:pPr>
            <w:r>
              <w:rPr>
                <w:rFonts w:ascii="Arial" w:cs="Arial" w:eastAsia="Arial" w:hAnsi="Arial"/>
                <w:sz w:val="18"/>
                <w:szCs w:val="18"/>
                <w:color w:val="auto"/>
                <w:w w:val="84"/>
              </w:rPr>
              <w:t>25.85</w:t>
            </w:r>
          </w:p>
        </w:tc>
        <w:tc>
          <w:tcPr>
            <w:tcW w:w="2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tcPr>
          <w:p>
            <w:pPr>
              <w:jc w:val="right"/>
              <w:ind w:right="40"/>
              <w:spacing w:after="0"/>
              <w:rPr>
                <w:sz w:val="20"/>
                <w:szCs w:val="20"/>
                <w:color w:val="auto"/>
              </w:rPr>
            </w:pPr>
            <w:r>
              <w:rPr>
                <w:rFonts w:ascii="Arial" w:cs="Arial" w:eastAsia="Arial" w:hAnsi="Arial"/>
                <w:sz w:val="18"/>
                <w:szCs w:val="18"/>
                <w:color w:val="auto"/>
              </w:rPr>
              <w:t>9.30</w:t>
            </w:r>
          </w:p>
        </w:tc>
      </w:tr>
      <w:tr>
        <w:trPr>
          <w:trHeight w:val="216"/>
        </w:trPr>
        <w:tc>
          <w:tcPr>
            <w:tcW w:w="6940" w:type="dxa"/>
            <w:vAlign w:val="bottom"/>
            <w:shd w:val="clear" w:color="auto" w:fill="CCEEFF"/>
          </w:tcPr>
          <w:p>
            <w:pPr>
              <w:spacing w:after="0"/>
              <w:rPr>
                <w:sz w:val="20"/>
                <w:szCs w:val="20"/>
                <w:color w:val="auto"/>
              </w:rPr>
            </w:pPr>
            <w:r>
              <w:rPr>
                <w:rFonts w:ascii="Arial" w:cs="Arial" w:eastAsia="Arial" w:hAnsi="Arial"/>
                <w:sz w:val="18"/>
                <w:szCs w:val="18"/>
                <w:color w:val="auto"/>
              </w:rPr>
              <w:t>2017</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84"/>
              </w:rPr>
              <w:t>23.55</w:t>
            </w:r>
          </w:p>
        </w:tc>
        <w:tc>
          <w:tcPr>
            <w:tcW w:w="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8.50</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2016</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gridSpan w:val="2"/>
          </w:tcPr>
          <w:p>
            <w:pPr>
              <w:jc w:val="right"/>
              <w:ind w:right="180"/>
              <w:spacing w:after="0"/>
              <w:rPr>
                <w:sz w:val="20"/>
                <w:szCs w:val="20"/>
                <w:color w:val="auto"/>
              </w:rPr>
            </w:pPr>
            <w:r>
              <w:rPr>
                <w:rFonts w:ascii="Arial" w:cs="Arial" w:eastAsia="Arial" w:hAnsi="Arial"/>
                <w:sz w:val="18"/>
                <w:szCs w:val="18"/>
                <w:color w:val="auto"/>
                <w:w w:val="84"/>
              </w:rPr>
              <w:t>15.72</w:t>
            </w:r>
          </w:p>
        </w:tc>
        <w:tc>
          <w:tcPr>
            <w:tcW w:w="2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tcPr>
          <w:p>
            <w:pPr>
              <w:jc w:val="right"/>
              <w:ind w:right="40"/>
              <w:spacing w:after="0"/>
              <w:rPr>
                <w:sz w:val="20"/>
                <w:szCs w:val="20"/>
                <w:color w:val="auto"/>
              </w:rPr>
            </w:pPr>
            <w:r>
              <w:rPr>
                <w:rFonts w:ascii="Arial" w:cs="Arial" w:eastAsia="Arial" w:hAnsi="Arial"/>
                <w:sz w:val="18"/>
                <w:szCs w:val="18"/>
                <w:color w:val="auto"/>
              </w:rPr>
              <w:t>7.05</w:t>
            </w:r>
          </w:p>
        </w:tc>
      </w:tr>
      <w:tr>
        <w:trPr>
          <w:trHeight w:val="216"/>
        </w:trPr>
        <w:tc>
          <w:tcPr>
            <w:tcW w:w="69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Quarterly Highs and Lows (two most recent full financial years):</w:t>
            </w:r>
          </w:p>
        </w:tc>
        <w:tc>
          <w:tcPr>
            <w:tcW w:w="1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Fourth quarter 2020</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gridSpan w:val="2"/>
          </w:tcPr>
          <w:p>
            <w:pPr>
              <w:jc w:val="right"/>
              <w:ind w:right="180"/>
              <w:spacing w:after="0"/>
              <w:rPr>
                <w:sz w:val="20"/>
                <w:szCs w:val="20"/>
                <w:color w:val="auto"/>
              </w:rPr>
            </w:pPr>
            <w:r>
              <w:rPr>
                <w:rFonts w:ascii="Arial" w:cs="Arial" w:eastAsia="Arial" w:hAnsi="Arial"/>
                <w:sz w:val="18"/>
                <w:szCs w:val="18"/>
                <w:color w:val="auto"/>
                <w:w w:val="84"/>
              </w:rPr>
              <w:t>19.82</w:t>
            </w:r>
          </w:p>
        </w:tc>
        <w:tc>
          <w:tcPr>
            <w:tcW w:w="2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tcPr>
          <w:p>
            <w:pPr>
              <w:jc w:val="right"/>
              <w:ind w:right="40"/>
              <w:spacing w:after="0"/>
              <w:rPr>
                <w:sz w:val="20"/>
                <w:szCs w:val="20"/>
                <w:color w:val="auto"/>
              </w:rPr>
            </w:pPr>
            <w:r>
              <w:rPr>
                <w:rFonts w:ascii="Arial" w:cs="Arial" w:eastAsia="Arial" w:hAnsi="Arial"/>
                <w:sz w:val="18"/>
                <w:szCs w:val="18"/>
                <w:color w:val="auto"/>
                <w:w w:val="88"/>
              </w:rPr>
              <w:t>13.96</w:t>
            </w:r>
          </w:p>
        </w:tc>
      </w:tr>
      <w:tr>
        <w:trPr>
          <w:trHeight w:val="216"/>
        </w:trPr>
        <w:tc>
          <w:tcPr>
            <w:tcW w:w="6940" w:type="dxa"/>
            <w:vAlign w:val="bottom"/>
            <w:shd w:val="clear" w:color="auto" w:fill="CCEEFF"/>
          </w:tcPr>
          <w:p>
            <w:pPr>
              <w:spacing w:after="0"/>
              <w:rPr>
                <w:sz w:val="20"/>
                <w:szCs w:val="20"/>
                <w:color w:val="auto"/>
              </w:rPr>
            </w:pPr>
            <w:r>
              <w:rPr>
                <w:rFonts w:ascii="Arial" w:cs="Arial" w:eastAsia="Arial" w:hAnsi="Arial"/>
                <w:sz w:val="18"/>
                <w:szCs w:val="18"/>
                <w:color w:val="auto"/>
              </w:rPr>
              <w:t>Third quarter 2020</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84"/>
              </w:rPr>
              <w:t>14.87</w:t>
            </w:r>
          </w:p>
        </w:tc>
        <w:tc>
          <w:tcPr>
            <w:tcW w:w="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7.70</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Second quarter 2020</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gridSpan w:val="2"/>
          </w:tcPr>
          <w:p>
            <w:pPr>
              <w:jc w:val="right"/>
              <w:ind w:right="180"/>
              <w:spacing w:after="0"/>
              <w:rPr>
                <w:sz w:val="20"/>
                <w:szCs w:val="20"/>
                <w:color w:val="auto"/>
              </w:rPr>
            </w:pPr>
            <w:r>
              <w:rPr>
                <w:rFonts w:ascii="Arial" w:cs="Arial" w:eastAsia="Arial" w:hAnsi="Arial"/>
                <w:sz w:val="18"/>
                <w:szCs w:val="18"/>
                <w:color w:val="auto"/>
              </w:rPr>
              <w:t>9.54</w:t>
            </w:r>
          </w:p>
        </w:tc>
        <w:tc>
          <w:tcPr>
            <w:tcW w:w="2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tcPr>
          <w:p>
            <w:pPr>
              <w:jc w:val="right"/>
              <w:ind w:right="40"/>
              <w:spacing w:after="0"/>
              <w:rPr>
                <w:sz w:val="20"/>
                <w:szCs w:val="20"/>
                <w:color w:val="auto"/>
              </w:rPr>
            </w:pPr>
            <w:r>
              <w:rPr>
                <w:rFonts w:ascii="Arial" w:cs="Arial" w:eastAsia="Arial" w:hAnsi="Arial"/>
                <w:sz w:val="18"/>
                <w:szCs w:val="18"/>
                <w:color w:val="auto"/>
              </w:rPr>
              <w:t>6.88</w:t>
            </w:r>
          </w:p>
        </w:tc>
      </w:tr>
      <w:tr>
        <w:trPr>
          <w:trHeight w:val="216"/>
        </w:trPr>
        <w:tc>
          <w:tcPr>
            <w:tcW w:w="6940" w:type="dxa"/>
            <w:vAlign w:val="bottom"/>
            <w:shd w:val="clear" w:color="auto" w:fill="CCEEFF"/>
          </w:tcPr>
          <w:p>
            <w:pPr>
              <w:spacing w:after="0"/>
              <w:rPr>
                <w:sz w:val="20"/>
                <w:szCs w:val="20"/>
                <w:color w:val="auto"/>
              </w:rPr>
            </w:pPr>
            <w:r>
              <w:rPr>
                <w:rFonts w:ascii="Arial" w:cs="Arial" w:eastAsia="Arial" w:hAnsi="Arial"/>
                <w:sz w:val="18"/>
                <w:szCs w:val="18"/>
                <w:color w:val="auto"/>
              </w:rPr>
              <w:t>First quarter 2020</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84"/>
              </w:rPr>
              <w:t>10.95</w:t>
            </w:r>
          </w:p>
        </w:tc>
        <w:tc>
          <w:tcPr>
            <w:tcW w:w="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6.51</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Fourth quarter 2019</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gridSpan w:val="2"/>
          </w:tcPr>
          <w:p>
            <w:pPr>
              <w:jc w:val="right"/>
              <w:ind w:right="180"/>
              <w:spacing w:after="0"/>
              <w:rPr>
                <w:sz w:val="20"/>
                <w:szCs w:val="20"/>
                <w:color w:val="auto"/>
              </w:rPr>
            </w:pPr>
            <w:r>
              <w:rPr>
                <w:rFonts w:ascii="Arial" w:cs="Arial" w:eastAsia="Arial" w:hAnsi="Arial"/>
                <w:sz w:val="18"/>
                <w:szCs w:val="18"/>
                <w:color w:val="auto"/>
                <w:w w:val="84"/>
              </w:rPr>
              <w:t>11.40</w:t>
            </w:r>
          </w:p>
        </w:tc>
        <w:tc>
          <w:tcPr>
            <w:tcW w:w="2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tcPr>
          <w:p>
            <w:pPr>
              <w:jc w:val="right"/>
              <w:ind w:right="40"/>
              <w:spacing w:after="0"/>
              <w:rPr>
                <w:sz w:val="20"/>
                <w:szCs w:val="20"/>
                <w:color w:val="auto"/>
              </w:rPr>
            </w:pPr>
            <w:r>
              <w:rPr>
                <w:rFonts w:ascii="Arial" w:cs="Arial" w:eastAsia="Arial" w:hAnsi="Arial"/>
                <w:sz w:val="18"/>
                <w:szCs w:val="18"/>
                <w:color w:val="auto"/>
              </w:rPr>
              <w:t>8.68</w:t>
            </w:r>
          </w:p>
        </w:tc>
      </w:tr>
      <w:tr>
        <w:trPr>
          <w:trHeight w:val="216"/>
        </w:trPr>
        <w:tc>
          <w:tcPr>
            <w:tcW w:w="6940" w:type="dxa"/>
            <w:vAlign w:val="bottom"/>
            <w:shd w:val="clear" w:color="auto" w:fill="CCEEFF"/>
          </w:tcPr>
          <w:p>
            <w:pPr>
              <w:spacing w:after="0"/>
              <w:rPr>
                <w:sz w:val="20"/>
                <w:szCs w:val="20"/>
                <w:color w:val="auto"/>
              </w:rPr>
            </w:pPr>
            <w:r>
              <w:rPr>
                <w:rFonts w:ascii="Arial" w:cs="Arial" w:eastAsia="Arial" w:hAnsi="Arial"/>
                <w:sz w:val="18"/>
                <w:szCs w:val="18"/>
                <w:color w:val="auto"/>
              </w:rPr>
              <w:t>Third quarter 2019</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84"/>
              </w:rPr>
              <w:t>11.05</w:t>
            </w:r>
          </w:p>
        </w:tc>
        <w:tc>
          <w:tcPr>
            <w:tcW w:w="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6.74</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Second quarter 2019</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gridSpan w:val="2"/>
          </w:tcPr>
          <w:p>
            <w:pPr>
              <w:jc w:val="right"/>
              <w:ind w:right="180"/>
              <w:spacing w:after="0"/>
              <w:rPr>
                <w:sz w:val="20"/>
                <w:szCs w:val="20"/>
                <w:color w:val="auto"/>
              </w:rPr>
            </w:pPr>
            <w:r>
              <w:rPr>
                <w:rFonts w:ascii="Arial" w:cs="Arial" w:eastAsia="Arial" w:hAnsi="Arial"/>
                <w:sz w:val="18"/>
                <w:szCs w:val="18"/>
                <w:color w:val="auto"/>
                <w:w w:val="84"/>
              </w:rPr>
              <w:t>10.76</w:t>
            </w:r>
          </w:p>
        </w:tc>
        <w:tc>
          <w:tcPr>
            <w:tcW w:w="2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tcPr>
          <w:p>
            <w:pPr>
              <w:jc w:val="right"/>
              <w:ind w:right="40"/>
              <w:spacing w:after="0"/>
              <w:rPr>
                <w:sz w:val="20"/>
                <w:szCs w:val="20"/>
                <w:color w:val="auto"/>
              </w:rPr>
            </w:pPr>
            <w:r>
              <w:rPr>
                <w:rFonts w:ascii="Arial" w:cs="Arial" w:eastAsia="Arial" w:hAnsi="Arial"/>
                <w:sz w:val="18"/>
                <w:szCs w:val="18"/>
                <w:color w:val="auto"/>
              </w:rPr>
              <w:t>9.26</w:t>
            </w:r>
          </w:p>
        </w:tc>
      </w:tr>
      <w:tr>
        <w:trPr>
          <w:trHeight w:val="216"/>
        </w:trPr>
        <w:tc>
          <w:tcPr>
            <w:tcW w:w="6940" w:type="dxa"/>
            <w:vAlign w:val="bottom"/>
            <w:shd w:val="clear" w:color="auto" w:fill="CCEEFF"/>
          </w:tcPr>
          <w:p>
            <w:pPr>
              <w:spacing w:after="0"/>
              <w:rPr>
                <w:sz w:val="20"/>
                <w:szCs w:val="20"/>
                <w:color w:val="auto"/>
              </w:rPr>
            </w:pPr>
            <w:r>
              <w:rPr>
                <w:rFonts w:ascii="Arial" w:cs="Arial" w:eastAsia="Arial" w:hAnsi="Arial"/>
                <w:sz w:val="18"/>
                <w:szCs w:val="18"/>
                <w:color w:val="auto"/>
              </w:rPr>
              <w:t>First quarter 2019</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84"/>
              </w:rPr>
              <w:t>13.95</w:t>
            </w:r>
          </w:p>
        </w:tc>
        <w:tc>
          <w:tcPr>
            <w:tcW w:w="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9.65</w:t>
            </w:r>
          </w:p>
        </w:tc>
      </w:tr>
      <w:tr>
        <w:trPr>
          <w:trHeight w:val="216"/>
        </w:trPr>
        <w:tc>
          <w:tcPr>
            <w:tcW w:w="6940" w:type="dxa"/>
            <w:vAlign w:val="bottom"/>
          </w:tcPr>
          <w:p>
            <w:pPr>
              <w:spacing w:after="0"/>
              <w:rPr>
                <w:sz w:val="20"/>
                <w:szCs w:val="20"/>
                <w:color w:val="auto"/>
              </w:rPr>
            </w:pPr>
            <w:r>
              <w:rPr>
                <w:rFonts w:ascii="Arial" w:cs="Arial" w:eastAsia="Arial" w:hAnsi="Arial"/>
                <w:sz w:val="18"/>
                <w:szCs w:val="18"/>
                <w:b w:val="1"/>
                <w:bCs w:val="1"/>
                <w:color w:val="auto"/>
              </w:rPr>
              <w:t>Monthly Highs and Lows (over the most recent six month period):</w:t>
            </w: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40" w:type="dxa"/>
            <w:vAlign w:val="bottom"/>
          </w:tcPr>
          <w:p>
            <w:pPr>
              <w:spacing w:after="0"/>
              <w:rPr>
                <w:sz w:val="18"/>
                <w:szCs w:val="18"/>
                <w:color w:val="auto"/>
              </w:rPr>
            </w:pPr>
          </w:p>
        </w:tc>
      </w:tr>
      <w:tr>
        <w:trPr>
          <w:trHeight w:val="216"/>
        </w:trPr>
        <w:tc>
          <w:tcPr>
            <w:tcW w:w="6940" w:type="dxa"/>
            <w:vAlign w:val="bottom"/>
            <w:shd w:val="clear" w:color="auto" w:fill="CCEEFF"/>
          </w:tcPr>
          <w:p>
            <w:pPr>
              <w:spacing w:after="0"/>
              <w:rPr>
                <w:sz w:val="20"/>
                <w:szCs w:val="20"/>
                <w:color w:val="auto"/>
              </w:rPr>
            </w:pPr>
            <w:r>
              <w:rPr>
                <w:rFonts w:ascii="Arial" w:cs="Arial" w:eastAsia="Arial" w:hAnsi="Arial"/>
                <w:sz w:val="18"/>
                <w:szCs w:val="18"/>
                <w:color w:val="auto"/>
              </w:rPr>
              <w:t>February 2021</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84"/>
              </w:rPr>
              <w:t>28.82</w:t>
            </w:r>
          </w:p>
        </w:tc>
        <w:tc>
          <w:tcPr>
            <w:tcW w:w="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88"/>
              </w:rPr>
              <w:t>17.94</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January 2021</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gridSpan w:val="2"/>
          </w:tcPr>
          <w:p>
            <w:pPr>
              <w:jc w:val="right"/>
              <w:ind w:right="180"/>
              <w:spacing w:after="0"/>
              <w:rPr>
                <w:sz w:val="20"/>
                <w:szCs w:val="20"/>
                <w:color w:val="auto"/>
              </w:rPr>
            </w:pPr>
            <w:r>
              <w:rPr>
                <w:rFonts w:ascii="Arial" w:cs="Arial" w:eastAsia="Arial" w:hAnsi="Arial"/>
                <w:sz w:val="18"/>
                <w:szCs w:val="18"/>
                <w:color w:val="auto"/>
                <w:w w:val="84"/>
              </w:rPr>
              <w:t>20.97</w:t>
            </w:r>
          </w:p>
        </w:tc>
        <w:tc>
          <w:tcPr>
            <w:tcW w:w="2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tcPr>
          <w:p>
            <w:pPr>
              <w:jc w:val="right"/>
              <w:ind w:right="40"/>
              <w:spacing w:after="0"/>
              <w:rPr>
                <w:sz w:val="20"/>
                <w:szCs w:val="20"/>
                <w:color w:val="auto"/>
              </w:rPr>
            </w:pPr>
            <w:r>
              <w:rPr>
                <w:rFonts w:ascii="Arial" w:cs="Arial" w:eastAsia="Arial" w:hAnsi="Arial"/>
                <w:sz w:val="18"/>
                <w:szCs w:val="18"/>
                <w:color w:val="auto"/>
                <w:w w:val="88"/>
              </w:rPr>
              <w:t>17.73</w:t>
            </w:r>
          </w:p>
        </w:tc>
      </w:tr>
      <w:tr>
        <w:trPr>
          <w:trHeight w:val="216"/>
        </w:trPr>
        <w:tc>
          <w:tcPr>
            <w:tcW w:w="6940" w:type="dxa"/>
            <w:vAlign w:val="bottom"/>
            <w:shd w:val="clear" w:color="auto" w:fill="CCEEFF"/>
          </w:tcPr>
          <w:p>
            <w:pPr>
              <w:spacing w:after="0"/>
              <w:rPr>
                <w:sz w:val="20"/>
                <w:szCs w:val="20"/>
                <w:color w:val="auto"/>
              </w:rPr>
            </w:pPr>
            <w:r>
              <w:rPr>
                <w:rFonts w:ascii="Arial" w:cs="Arial" w:eastAsia="Arial" w:hAnsi="Arial"/>
                <w:sz w:val="18"/>
                <w:szCs w:val="18"/>
                <w:color w:val="auto"/>
              </w:rPr>
              <w:t>December 2020</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84"/>
              </w:rPr>
              <w:t>19.82</w:t>
            </w:r>
          </w:p>
        </w:tc>
        <w:tc>
          <w:tcPr>
            <w:tcW w:w="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88"/>
              </w:rPr>
              <w:t>17.60</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November 2020</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gridSpan w:val="2"/>
          </w:tcPr>
          <w:p>
            <w:pPr>
              <w:jc w:val="right"/>
              <w:ind w:right="180"/>
              <w:spacing w:after="0"/>
              <w:rPr>
                <w:sz w:val="20"/>
                <w:szCs w:val="20"/>
                <w:color w:val="auto"/>
              </w:rPr>
            </w:pPr>
            <w:r>
              <w:rPr>
                <w:rFonts w:ascii="Arial" w:cs="Arial" w:eastAsia="Arial" w:hAnsi="Arial"/>
                <w:sz w:val="18"/>
                <w:szCs w:val="18"/>
                <w:color w:val="auto"/>
                <w:w w:val="84"/>
              </w:rPr>
              <w:t>19.25</w:t>
            </w:r>
          </w:p>
        </w:tc>
        <w:tc>
          <w:tcPr>
            <w:tcW w:w="2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tcPr>
          <w:p>
            <w:pPr>
              <w:jc w:val="right"/>
              <w:ind w:right="40"/>
              <w:spacing w:after="0"/>
              <w:rPr>
                <w:sz w:val="20"/>
                <w:szCs w:val="20"/>
                <w:color w:val="auto"/>
              </w:rPr>
            </w:pPr>
            <w:r>
              <w:rPr>
                <w:rFonts w:ascii="Arial" w:cs="Arial" w:eastAsia="Arial" w:hAnsi="Arial"/>
                <w:sz w:val="18"/>
                <w:szCs w:val="18"/>
                <w:color w:val="auto"/>
                <w:w w:val="88"/>
              </w:rPr>
              <w:t>14.74</w:t>
            </w:r>
          </w:p>
        </w:tc>
      </w:tr>
      <w:tr>
        <w:trPr>
          <w:trHeight w:val="216"/>
        </w:trPr>
        <w:tc>
          <w:tcPr>
            <w:tcW w:w="6940" w:type="dxa"/>
            <w:vAlign w:val="bottom"/>
            <w:shd w:val="clear" w:color="auto" w:fill="CCEEFF"/>
          </w:tcPr>
          <w:p>
            <w:pPr>
              <w:spacing w:after="0"/>
              <w:rPr>
                <w:sz w:val="20"/>
                <w:szCs w:val="20"/>
                <w:color w:val="auto"/>
              </w:rPr>
            </w:pPr>
            <w:r>
              <w:rPr>
                <w:rFonts w:ascii="Arial" w:cs="Arial" w:eastAsia="Arial" w:hAnsi="Arial"/>
                <w:sz w:val="18"/>
                <w:szCs w:val="18"/>
                <w:color w:val="auto"/>
              </w:rPr>
              <w:t>October 2020</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84"/>
              </w:rPr>
              <w:t>17.20</w:t>
            </w:r>
          </w:p>
        </w:tc>
        <w:tc>
          <w:tcPr>
            <w:tcW w:w="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88"/>
              </w:rPr>
              <w:t>13.96</w:t>
            </w:r>
          </w:p>
        </w:tc>
      </w:tr>
      <w:tr>
        <w:trPr>
          <w:trHeight w:val="230"/>
        </w:trPr>
        <w:tc>
          <w:tcPr>
            <w:tcW w:w="6940" w:type="dxa"/>
            <w:vAlign w:val="bottom"/>
          </w:tcPr>
          <w:p>
            <w:pPr>
              <w:spacing w:after="0"/>
              <w:rPr>
                <w:sz w:val="20"/>
                <w:szCs w:val="20"/>
                <w:color w:val="auto"/>
              </w:rPr>
            </w:pPr>
            <w:r>
              <w:rPr>
                <w:rFonts w:ascii="Arial" w:cs="Arial" w:eastAsia="Arial" w:hAnsi="Arial"/>
                <w:sz w:val="18"/>
                <w:szCs w:val="18"/>
                <w:color w:val="auto"/>
              </w:rPr>
              <w:t>September 2020</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gridSpan w:val="2"/>
          </w:tcPr>
          <w:p>
            <w:pPr>
              <w:jc w:val="right"/>
              <w:ind w:right="180"/>
              <w:spacing w:after="0"/>
              <w:rPr>
                <w:sz w:val="20"/>
                <w:szCs w:val="20"/>
                <w:color w:val="auto"/>
              </w:rPr>
            </w:pPr>
            <w:r>
              <w:rPr>
                <w:rFonts w:ascii="Arial" w:cs="Arial" w:eastAsia="Arial" w:hAnsi="Arial"/>
                <w:sz w:val="18"/>
                <w:szCs w:val="18"/>
                <w:color w:val="auto"/>
                <w:w w:val="84"/>
              </w:rPr>
              <w:t>14.87</w:t>
            </w:r>
          </w:p>
        </w:tc>
        <w:tc>
          <w:tcPr>
            <w:tcW w:w="2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tcPr>
          <w:p>
            <w:pPr>
              <w:jc w:val="right"/>
              <w:ind w:right="40"/>
              <w:spacing w:after="0"/>
              <w:rPr>
                <w:sz w:val="20"/>
                <w:szCs w:val="20"/>
                <w:color w:val="auto"/>
              </w:rPr>
            </w:pPr>
            <w:r>
              <w:rPr>
                <w:rFonts w:ascii="Arial" w:cs="Arial" w:eastAsia="Arial" w:hAnsi="Arial"/>
                <w:sz w:val="18"/>
                <w:szCs w:val="18"/>
                <w:color w:val="auto"/>
                <w:w w:val="88"/>
              </w:rPr>
              <w:t>11.66</w:t>
            </w:r>
          </w:p>
        </w:tc>
      </w:tr>
    </w:tbl>
    <w:p>
      <w:pPr>
        <w:spacing w:after="0" w:line="291"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Transfer Agent</w:t>
      </w:r>
    </w:p>
    <w:p>
      <w:pPr>
        <w:spacing w:after="0" w:line="121" w:lineRule="exact"/>
        <w:rPr>
          <w:sz w:val="20"/>
          <w:szCs w:val="20"/>
          <w:color w:val="auto"/>
        </w:rPr>
      </w:pPr>
    </w:p>
    <w:p>
      <w:pPr>
        <w:ind w:left="4" w:firstLine="440"/>
        <w:spacing w:after="0" w:line="301" w:lineRule="auto"/>
        <w:rPr>
          <w:sz w:val="20"/>
          <w:szCs w:val="20"/>
          <w:color w:val="auto"/>
        </w:rPr>
      </w:pPr>
      <w:r>
        <w:rPr>
          <w:rFonts w:ascii="Arial" w:cs="Arial" w:eastAsia="Arial" w:hAnsi="Arial"/>
          <w:sz w:val="16"/>
          <w:szCs w:val="16"/>
          <w:color w:val="auto"/>
        </w:rPr>
        <w:t>The transfer agent and registrar for our common shares is Computershare Shareholder Services, Inc. and its fully owned subsidiary Computershare Trust Company, N.A., having its principal office at 250 Royall Street, Canton, MA 02021. Computershare Investor Services (PTY) LTD and Computershare (PTY) LTD provide administration services and act as the nominee registrar for the common shares traded on the JSE. The address of Computershare Investor Services (PTY) LTD and Computershare (PTY) LTD is 15 Biermann Avenue, Rosebank 2196, South Africa.</w:t>
      </w:r>
    </w:p>
    <w:p>
      <w:pPr>
        <w:spacing w:after="0" w:line="90"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81</w:t>
      </w:r>
    </w:p>
    <w:p>
      <w:pPr>
        <w:sectPr>
          <w:pgSz w:w="11900" w:h="16838" w:orient="portrait"/>
          <w:cols w:equalWidth="0" w:num="1">
            <w:col w:w="11004"/>
          </w:cols>
          <w:pgMar w:left="436" w:top="274" w:right="459" w:bottom="1440" w:gutter="0" w:footer="0" w:header="0"/>
        </w:sectPr>
      </w:pPr>
    </w:p>
    <w:bookmarkStart w:id="95" w:name="page96"/>
    <w:bookmarkEnd w:id="95"/>
    <w:p>
      <w:pPr>
        <w:ind w:left="444" w:right="9000" w:hanging="444"/>
        <w:spacing w:after="0" w:line="488" w:lineRule="auto"/>
        <w:tabs>
          <w:tab w:leader="none" w:pos="436" w:val="left"/>
        </w:tabs>
        <w:numPr>
          <w:ilvl w:val="0"/>
          <w:numId w:val="74"/>
        </w:numPr>
        <w:rPr>
          <w:rFonts w:ascii="Arial" w:cs="Arial" w:eastAsia="Arial" w:hAnsi="Arial"/>
          <w:sz w:val="16"/>
          <w:szCs w:val="16"/>
          <w:b w:val="1"/>
          <w:bCs w:val="1"/>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Plan of Distribution </w:t>
      </w:r>
      <w:r>
        <w:rPr>
          <w:rFonts w:ascii="Arial" w:cs="Arial" w:eastAsia="Arial" w:hAnsi="Arial"/>
          <w:sz w:val="16"/>
          <w:szCs w:val="16"/>
          <w:color w:val="auto"/>
        </w:rPr>
        <w:t>Not applicable.</w:t>
      </w:r>
    </w:p>
    <w:p>
      <w:pPr>
        <w:spacing w:after="0" w:line="156" w:lineRule="exact"/>
        <w:rPr>
          <w:rFonts w:ascii="Arial" w:cs="Arial" w:eastAsia="Arial" w:hAnsi="Arial"/>
          <w:sz w:val="16"/>
          <w:szCs w:val="16"/>
          <w:b w:val="1"/>
          <w:bCs w:val="1"/>
          <w:color w:val="auto"/>
        </w:rPr>
      </w:pPr>
    </w:p>
    <w:p>
      <w:pPr>
        <w:ind w:left="424" w:hanging="424"/>
        <w:spacing w:after="0"/>
        <w:tabs>
          <w:tab w:leader="none" w:pos="424" w:val="left"/>
        </w:tabs>
        <w:numPr>
          <w:ilvl w:val="0"/>
          <w:numId w:val="74"/>
        </w:numPr>
        <w:rPr>
          <w:rFonts w:ascii="Arial" w:cs="Arial" w:eastAsia="Arial" w:hAnsi="Arial"/>
          <w:sz w:val="18"/>
          <w:szCs w:val="18"/>
          <w:b w:val="1"/>
          <w:bCs w:val="1"/>
          <w:color w:val="auto"/>
        </w:rPr>
      </w:pPr>
      <w:r>
        <w:rPr>
          <w:rFonts w:ascii="Arial" w:cs="Arial" w:eastAsia="Arial" w:hAnsi="Arial"/>
          <w:sz w:val="18"/>
          <w:szCs w:val="18"/>
          <w:b w:val="1"/>
          <w:bCs w:val="1"/>
          <w:color w:val="auto"/>
        </w:rPr>
        <w:t>Markets</w:t>
      </w:r>
    </w:p>
    <w:p>
      <w:pPr>
        <w:spacing w:after="0" w:line="121" w:lineRule="exact"/>
        <w:rPr>
          <w:rFonts w:ascii="Arial" w:cs="Arial" w:eastAsia="Arial" w:hAnsi="Arial"/>
          <w:sz w:val="18"/>
          <w:szCs w:val="18"/>
          <w:b w:val="1"/>
          <w:bCs w:val="1"/>
          <w:color w:val="auto"/>
        </w:rPr>
      </w:pPr>
    </w:p>
    <w:p>
      <w:pPr>
        <w:ind w:left="444"/>
        <w:spacing w:after="0"/>
        <w:rPr>
          <w:rFonts w:ascii="Arial" w:cs="Arial" w:eastAsia="Arial" w:hAnsi="Arial"/>
          <w:sz w:val="18"/>
          <w:szCs w:val="18"/>
          <w:b w:val="1"/>
          <w:bCs w:val="1"/>
          <w:color w:val="auto"/>
        </w:rPr>
      </w:pPr>
      <w:r>
        <w:rPr>
          <w:rFonts w:ascii="Arial" w:cs="Arial" w:eastAsia="Arial" w:hAnsi="Arial"/>
          <w:sz w:val="18"/>
          <w:szCs w:val="18"/>
          <w:color w:val="auto"/>
        </w:rPr>
        <w:t xml:space="preserve">See Item 9, </w:t>
      </w:r>
      <w:r>
        <w:rPr>
          <w:rFonts w:ascii="Arial" w:cs="Arial" w:eastAsia="Arial" w:hAnsi="Arial"/>
          <w:sz w:val="18"/>
          <w:szCs w:val="18"/>
          <w:i w:val="1"/>
          <w:iCs w:val="1"/>
          <w:color w:val="auto"/>
        </w:rPr>
        <w:t>“Offer and Listing Details – Trading Markets”</w:t>
      </w:r>
      <w:r>
        <w:rPr>
          <w:rFonts w:ascii="Arial" w:cs="Arial" w:eastAsia="Arial" w:hAnsi="Arial"/>
          <w:sz w:val="18"/>
          <w:szCs w:val="18"/>
          <w:color w:val="auto"/>
        </w:rPr>
        <w:t xml:space="preserve"> above.</w:t>
      </w:r>
    </w:p>
    <w:p>
      <w:pPr>
        <w:spacing w:after="0" w:line="369" w:lineRule="exact"/>
        <w:rPr>
          <w:rFonts w:ascii="Arial" w:cs="Arial" w:eastAsia="Arial" w:hAnsi="Arial"/>
          <w:sz w:val="18"/>
          <w:szCs w:val="18"/>
          <w:b w:val="1"/>
          <w:bCs w:val="1"/>
          <w:color w:val="auto"/>
        </w:rPr>
      </w:pPr>
    </w:p>
    <w:p>
      <w:pPr>
        <w:ind w:left="444" w:right="8960" w:hanging="444"/>
        <w:spacing w:after="0" w:line="536" w:lineRule="auto"/>
        <w:tabs>
          <w:tab w:leader="none" w:pos="436" w:val="left"/>
        </w:tabs>
        <w:numPr>
          <w:ilvl w:val="0"/>
          <w:numId w:val="74"/>
        </w:numPr>
        <w:rPr>
          <w:rFonts w:ascii="Arial" w:cs="Arial" w:eastAsia="Arial" w:hAnsi="Arial"/>
          <w:sz w:val="15"/>
          <w:szCs w:val="15"/>
          <w:b w:val="1"/>
          <w:bCs w:val="1"/>
          <w:color w:val="auto"/>
        </w:rPr>
      </w:pPr>
      <w:r>
        <w:rPr>
          <w:rFonts w:ascii="Arial" w:cs="Arial" w:eastAsia="Arial" w:hAnsi="Arial"/>
          <w:sz w:val="15"/>
          <w:szCs w:val="15"/>
          <w:b w:val="1"/>
          <w:bCs w:val="1"/>
          <w:color w:val="auto"/>
        </w:rPr>
        <w:t xml:space="preserve">Selling Shareholders </w:t>
      </w:r>
      <w:r>
        <w:rPr>
          <w:rFonts w:ascii="Arial" w:cs="Arial" w:eastAsia="Arial" w:hAnsi="Arial"/>
          <w:sz w:val="15"/>
          <w:szCs w:val="15"/>
          <w:color w:val="auto"/>
        </w:rPr>
        <w:t>Not applicable.</w:t>
      </w:r>
    </w:p>
    <w:p>
      <w:pPr>
        <w:spacing w:after="0" w:line="134" w:lineRule="exact"/>
        <w:rPr>
          <w:rFonts w:ascii="Arial" w:cs="Arial" w:eastAsia="Arial" w:hAnsi="Arial"/>
          <w:sz w:val="15"/>
          <w:szCs w:val="15"/>
          <w:b w:val="1"/>
          <w:bCs w:val="1"/>
          <w:color w:val="auto"/>
        </w:rPr>
      </w:pPr>
    </w:p>
    <w:p>
      <w:pPr>
        <w:ind w:left="424" w:hanging="424"/>
        <w:spacing w:after="0"/>
        <w:tabs>
          <w:tab w:leader="none" w:pos="424" w:val="left"/>
        </w:tabs>
        <w:numPr>
          <w:ilvl w:val="0"/>
          <w:numId w:val="74"/>
        </w:numPr>
        <w:rPr>
          <w:rFonts w:ascii="Arial" w:cs="Arial" w:eastAsia="Arial" w:hAnsi="Arial"/>
          <w:sz w:val="18"/>
          <w:szCs w:val="18"/>
          <w:b w:val="1"/>
          <w:bCs w:val="1"/>
          <w:color w:val="auto"/>
        </w:rPr>
      </w:pPr>
      <w:r>
        <w:rPr>
          <w:rFonts w:ascii="Arial" w:cs="Arial" w:eastAsia="Arial" w:hAnsi="Arial"/>
          <w:sz w:val="18"/>
          <w:szCs w:val="18"/>
          <w:b w:val="1"/>
          <w:bCs w:val="1"/>
          <w:color w:val="auto"/>
        </w:rPr>
        <w:t>Dilution</w:t>
      </w:r>
    </w:p>
    <w:p>
      <w:pPr>
        <w:spacing w:after="0" w:line="121" w:lineRule="exact"/>
        <w:rPr>
          <w:rFonts w:ascii="Arial" w:cs="Arial" w:eastAsia="Arial" w:hAnsi="Arial"/>
          <w:sz w:val="18"/>
          <w:szCs w:val="18"/>
          <w:b w:val="1"/>
          <w:bCs w:val="1"/>
          <w:color w:val="auto"/>
        </w:rPr>
      </w:pPr>
    </w:p>
    <w:p>
      <w:pPr>
        <w:ind w:left="444"/>
        <w:spacing w:after="0"/>
        <w:rPr>
          <w:rFonts w:ascii="Arial" w:cs="Arial" w:eastAsia="Arial" w:hAnsi="Arial"/>
          <w:sz w:val="18"/>
          <w:szCs w:val="18"/>
          <w:b w:val="1"/>
          <w:bCs w:val="1"/>
          <w:color w:val="auto"/>
        </w:rPr>
      </w:pPr>
      <w:r>
        <w:rPr>
          <w:rFonts w:ascii="Arial" w:cs="Arial" w:eastAsia="Arial" w:hAnsi="Arial"/>
          <w:sz w:val="18"/>
          <w:szCs w:val="18"/>
          <w:color w:val="auto"/>
        </w:rPr>
        <w:t>Not applicable.</w:t>
      </w:r>
    </w:p>
    <w:p>
      <w:pPr>
        <w:spacing w:after="0" w:line="369" w:lineRule="exact"/>
        <w:rPr>
          <w:rFonts w:ascii="Arial" w:cs="Arial" w:eastAsia="Arial" w:hAnsi="Arial"/>
          <w:sz w:val="18"/>
          <w:szCs w:val="18"/>
          <w:b w:val="1"/>
          <w:bCs w:val="1"/>
          <w:color w:val="auto"/>
        </w:rPr>
      </w:pPr>
    </w:p>
    <w:p>
      <w:pPr>
        <w:ind w:left="444" w:right="8900" w:hanging="444"/>
        <w:spacing w:after="0" w:line="445" w:lineRule="auto"/>
        <w:tabs>
          <w:tab w:leader="none" w:pos="436" w:val="left"/>
        </w:tabs>
        <w:numPr>
          <w:ilvl w:val="0"/>
          <w:numId w:val="74"/>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Expenses of the Issue </w:t>
      </w:r>
      <w:r>
        <w:rPr>
          <w:rFonts w:ascii="Arial" w:cs="Arial" w:eastAsia="Arial" w:hAnsi="Arial"/>
          <w:sz w:val="17"/>
          <w:szCs w:val="17"/>
          <w:color w:val="auto"/>
        </w:rPr>
        <w:t>Not applicable.</w:t>
      </w:r>
    </w:p>
    <w:p>
      <w:pPr>
        <w:spacing w:after="0" w:line="180" w:lineRule="exact"/>
        <w:rPr>
          <w:sz w:val="20"/>
          <w:szCs w:val="20"/>
          <w:color w:val="auto"/>
        </w:rPr>
      </w:pPr>
    </w:p>
    <w:p>
      <w:pPr>
        <w:ind w:left="4"/>
        <w:spacing w:after="0"/>
        <w:tabs>
          <w:tab w:leader="none" w:pos="1064" w:val="left"/>
        </w:tabs>
        <w:rPr>
          <w:sz w:val="20"/>
          <w:szCs w:val="20"/>
          <w:color w:val="auto"/>
        </w:rPr>
      </w:pPr>
      <w:r>
        <w:rPr>
          <w:rFonts w:ascii="Arial" w:cs="Arial" w:eastAsia="Arial" w:hAnsi="Arial"/>
          <w:sz w:val="18"/>
          <w:szCs w:val="18"/>
          <w:b w:val="1"/>
          <w:bCs w:val="1"/>
          <w:color w:val="auto"/>
        </w:rPr>
        <w:t>ITEM 10.</w:t>
      </w:r>
      <w:r>
        <w:rPr>
          <w:sz w:val="20"/>
          <w:szCs w:val="20"/>
          <w:color w:val="auto"/>
        </w:rPr>
        <w:tab/>
      </w:r>
      <w:r>
        <w:rPr>
          <w:rFonts w:ascii="Arial" w:cs="Arial" w:eastAsia="Arial" w:hAnsi="Arial"/>
          <w:sz w:val="18"/>
          <w:szCs w:val="18"/>
          <w:b w:val="1"/>
          <w:bCs w:val="1"/>
          <w:color w:val="auto"/>
        </w:rPr>
        <w:t>ADDITIONAL INFORMATION</w:t>
      </w:r>
    </w:p>
    <w:p>
      <w:pPr>
        <w:spacing w:after="0" w:line="131" w:lineRule="exact"/>
        <w:rPr>
          <w:sz w:val="20"/>
          <w:szCs w:val="20"/>
          <w:color w:val="auto"/>
        </w:rPr>
      </w:pPr>
    </w:p>
    <w:p>
      <w:pPr>
        <w:jc w:val="both"/>
        <w:ind w:left="444" w:right="9420" w:hanging="444"/>
        <w:spacing w:after="0" w:line="488" w:lineRule="auto"/>
        <w:tabs>
          <w:tab w:leader="none" w:pos="436" w:val="left"/>
        </w:tabs>
        <w:numPr>
          <w:ilvl w:val="0"/>
          <w:numId w:val="75"/>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Share Capital </w:t>
      </w:r>
      <w:r>
        <w:rPr>
          <w:rFonts w:ascii="Arial" w:cs="Arial" w:eastAsia="Arial" w:hAnsi="Arial"/>
          <w:sz w:val="16"/>
          <w:szCs w:val="16"/>
          <w:color w:val="auto"/>
        </w:rPr>
        <w:t>Not applicable.</w:t>
      </w:r>
    </w:p>
    <w:p>
      <w:pPr>
        <w:spacing w:after="0" w:line="156" w:lineRule="exact"/>
        <w:rPr>
          <w:rFonts w:ascii="Arial" w:cs="Arial" w:eastAsia="Arial" w:hAnsi="Arial"/>
          <w:sz w:val="16"/>
          <w:szCs w:val="16"/>
          <w:b w:val="1"/>
          <w:bCs w:val="1"/>
          <w:color w:val="auto"/>
        </w:rPr>
      </w:pPr>
    </w:p>
    <w:p>
      <w:pPr>
        <w:ind w:left="424" w:hanging="424"/>
        <w:spacing w:after="0"/>
        <w:tabs>
          <w:tab w:leader="none" w:pos="424" w:val="left"/>
        </w:tabs>
        <w:numPr>
          <w:ilvl w:val="0"/>
          <w:numId w:val="75"/>
        </w:numPr>
        <w:rPr>
          <w:rFonts w:ascii="Arial" w:cs="Arial" w:eastAsia="Arial" w:hAnsi="Arial"/>
          <w:sz w:val="18"/>
          <w:szCs w:val="18"/>
          <w:b w:val="1"/>
          <w:bCs w:val="1"/>
          <w:color w:val="auto"/>
        </w:rPr>
      </w:pPr>
      <w:r>
        <w:rPr>
          <w:rFonts w:ascii="Arial" w:cs="Arial" w:eastAsia="Arial" w:hAnsi="Arial"/>
          <w:sz w:val="18"/>
          <w:szCs w:val="18"/>
          <w:b w:val="1"/>
          <w:bCs w:val="1"/>
          <w:color w:val="auto"/>
        </w:rPr>
        <w:t>Memorandum and Articles of Association</w:t>
      </w:r>
    </w:p>
    <w:p>
      <w:pPr>
        <w:spacing w:after="0" w:line="121" w:lineRule="exact"/>
        <w:rPr>
          <w:sz w:val="20"/>
          <w:szCs w:val="20"/>
          <w:color w:val="auto"/>
        </w:rPr>
      </w:pPr>
    </w:p>
    <w:p>
      <w:pPr>
        <w:jc w:val="both"/>
        <w:ind w:left="4" w:right="260" w:firstLine="440"/>
        <w:spacing w:after="0" w:line="286" w:lineRule="auto"/>
        <w:rPr>
          <w:sz w:val="20"/>
          <w:szCs w:val="20"/>
          <w:color w:val="auto"/>
        </w:rPr>
      </w:pPr>
      <w:r>
        <w:rPr>
          <w:rFonts w:ascii="Arial" w:cs="Arial" w:eastAsia="Arial" w:hAnsi="Arial"/>
          <w:sz w:val="17"/>
          <w:szCs w:val="17"/>
          <w:color w:val="auto"/>
        </w:rPr>
        <w:t>We are an exempted company incorporated under the laws of Bermuda. We are registered with the Registrar of Companies in Bermuda under registration number EC18896. We were incorporated on December 3, 1993 under the name Textainer Group Holdings Limited, prior to that time our business was based in Panama. Our headquarters office is located at 16 Par-La-Ville Road, Hamilton HM 08 Bermuda.</w:t>
      </w:r>
    </w:p>
    <w:p>
      <w:pPr>
        <w:spacing w:after="0" w:line="165" w:lineRule="exact"/>
        <w:rPr>
          <w:sz w:val="20"/>
          <w:szCs w:val="20"/>
          <w:color w:val="auto"/>
        </w:rPr>
      </w:pPr>
    </w:p>
    <w:p>
      <w:pPr>
        <w:jc w:val="both"/>
        <w:ind w:left="4" w:firstLine="440"/>
        <w:spacing w:after="0" w:line="259" w:lineRule="auto"/>
        <w:rPr>
          <w:sz w:val="20"/>
          <w:szCs w:val="20"/>
          <w:color w:val="auto"/>
        </w:rPr>
      </w:pPr>
      <w:r>
        <w:rPr>
          <w:rFonts w:ascii="Arial" w:cs="Arial" w:eastAsia="Arial" w:hAnsi="Arial"/>
          <w:sz w:val="18"/>
          <w:szCs w:val="18"/>
          <w:color w:val="auto"/>
        </w:rPr>
        <w:t>We incorporate by reference into this Annual Report on Form 20-F the description of our memorandum of association and our bye-laws contained in “Description of Share Capital” of our Registration Statement on Form F-1 filed with the SEC on September 26, 2007. Such information is a summary which does not purport to be complete and is qualified in its entirety by reference to our memorandum of association and our bye-laws, copies of which have been filed as Exhibits 3.1 and 3.2, respectively, to such Registration Statement.</w:t>
      </w:r>
    </w:p>
    <w:p>
      <w:pPr>
        <w:spacing w:after="0" w:line="331" w:lineRule="exact"/>
        <w:rPr>
          <w:sz w:val="20"/>
          <w:szCs w:val="20"/>
          <w:color w:val="auto"/>
        </w:rPr>
      </w:pPr>
    </w:p>
    <w:p>
      <w:pPr>
        <w:ind w:left="424" w:hanging="424"/>
        <w:spacing w:after="0"/>
        <w:tabs>
          <w:tab w:leader="none" w:pos="424" w:val="left"/>
        </w:tabs>
        <w:numPr>
          <w:ilvl w:val="0"/>
          <w:numId w:val="76"/>
        </w:numPr>
        <w:rPr>
          <w:rFonts w:ascii="Arial" w:cs="Arial" w:eastAsia="Arial" w:hAnsi="Arial"/>
          <w:sz w:val="18"/>
          <w:szCs w:val="18"/>
          <w:b w:val="1"/>
          <w:bCs w:val="1"/>
          <w:color w:val="auto"/>
        </w:rPr>
      </w:pPr>
      <w:r>
        <w:rPr>
          <w:rFonts w:ascii="Arial" w:cs="Arial" w:eastAsia="Arial" w:hAnsi="Arial"/>
          <w:sz w:val="18"/>
          <w:szCs w:val="18"/>
          <w:b w:val="1"/>
          <w:bCs w:val="1"/>
          <w:color w:val="auto"/>
        </w:rPr>
        <w:t>Material Contracts</w:t>
      </w:r>
    </w:p>
    <w:p>
      <w:pPr>
        <w:spacing w:after="0" w:line="121" w:lineRule="exact"/>
        <w:rPr>
          <w:sz w:val="20"/>
          <w:szCs w:val="20"/>
          <w:color w:val="auto"/>
        </w:rPr>
      </w:pPr>
    </w:p>
    <w:p>
      <w:pPr>
        <w:ind w:left="4" w:right="200" w:firstLine="440"/>
        <w:spacing w:after="0" w:line="263" w:lineRule="auto"/>
        <w:rPr>
          <w:sz w:val="20"/>
          <w:szCs w:val="20"/>
          <w:color w:val="auto"/>
        </w:rPr>
      </w:pPr>
      <w:r>
        <w:rPr>
          <w:rFonts w:ascii="Arial" w:cs="Arial" w:eastAsia="Arial" w:hAnsi="Arial"/>
          <w:sz w:val="18"/>
          <w:szCs w:val="18"/>
          <w:color w:val="auto"/>
        </w:rPr>
        <w:t xml:space="preserve">We have not entered into any material contracts during the two years immediately preceding the date of this Annual Report on Form 20-F other than contracts entered into in the ordinary course of business and other than those described in Item 4, </w:t>
      </w:r>
      <w:r>
        <w:rPr>
          <w:rFonts w:ascii="Arial" w:cs="Arial" w:eastAsia="Arial" w:hAnsi="Arial"/>
          <w:sz w:val="18"/>
          <w:szCs w:val="18"/>
          <w:i w:val="1"/>
          <w:iCs w:val="1"/>
          <w:color w:val="auto"/>
        </w:rPr>
        <w:t>“Information on the Company—History and</w:t>
      </w:r>
      <w:r>
        <w:rPr>
          <w:rFonts w:ascii="Arial" w:cs="Arial" w:eastAsia="Arial" w:hAnsi="Arial"/>
          <w:sz w:val="18"/>
          <w:szCs w:val="18"/>
          <w:color w:val="auto"/>
        </w:rPr>
        <w:t xml:space="preserve"> </w:t>
      </w:r>
      <w:r>
        <w:rPr>
          <w:rFonts w:ascii="Arial" w:cs="Arial" w:eastAsia="Arial" w:hAnsi="Arial"/>
          <w:sz w:val="18"/>
          <w:szCs w:val="18"/>
          <w:i w:val="1"/>
          <w:iCs w:val="1"/>
          <w:color w:val="auto"/>
        </w:rPr>
        <w:t xml:space="preserve">Development of the Company—Significant Events” </w:t>
      </w:r>
      <w:r>
        <w:rPr>
          <w:rFonts w:ascii="Arial" w:cs="Arial" w:eastAsia="Arial" w:hAnsi="Arial"/>
          <w:sz w:val="18"/>
          <w:szCs w:val="18"/>
          <w:color w:val="auto"/>
        </w:rPr>
        <w:t>or elsewhere in this Annual Report on Form 20-F.</w:t>
      </w:r>
    </w:p>
    <w:p>
      <w:pPr>
        <w:spacing w:after="0" w:line="116"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82</w:t>
      </w:r>
    </w:p>
    <w:p>
      <w:pPr>
        <w:sectPr>
          <w:pgSz w:w="11900" w:h="16838" w:orient="portrait"/>
          <w:cols w:equalWidth="0" w:num="1">
            <w:col w:w="10964"/>
          </w:cols>
          <w:pgMar w:left="436" w:top="270" w:right="499" w:bottom="1440" w:gutter="0" w:footer="0" w:header="0"/>
        </w:sectPr>
      </w:pPr>
    </w:p>
    <w:bookmarkStart w:id="96" w:name="page97"/>
    <w:bookmarkEnd w:id="96"/>
    <w:p>
      <w:pPr>
        <w:ind w:left="424" w:hanging="424"/>
        <w:spacing w:after="0"/>
        <w:tabs>
          <w:tab w:leader="none" w:pos="424" w:val="left"/>
        </w:tabs>
        <w:numPr>
          <w:ilvl w:val="0"/>
          <w:numId w:val="77"/>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Exchange Controls</w:t>
      </w:r>
    </w:p>
    <w:p>
      <w:pPr>
        <w:spacing w:after="0" w:line="121" w:lineRule="exact"/>
        <w:rPr>
          <w:sz w:val="20"/>
          <w:szCs w:val="20"/>
          <w:color w:val="auto"/>
        </w:rPr>
      </w:pPr>
    </w:p>
    <w:p>
      <w:pPr>
        <w:ind w:left="4" w:right="40" w:firstLine="440"/>
        <w:spacing w:after="0" w:line="272" w:lineRule="auto"/>
        <w:rPr>
          <w:sz w:val="20"/>
          <w:szCs w:val="20"/>
          <w:color w:val="auto"/>
        </w:rPr>
      </w:pPr>
      <w:r>
        <w:rPr>
          <w:rFonts w:ascii="Arial" w:cs="Arial" w:eastAsia="Arial" w:hAnsi="Arial"/>
          <w:sz w:val="17"/>
          <w:szCs w:val="17"/>
          <w:color w:val="auto"/>
        </w:rPr>
        <w:t>Trencor, a South African company listed on the JSE, had 5.3% and 0% of our issued and outstanding shares as of December 31, 2019 and 2020, respectively. South Africa’s exchange control regulations provide for restrictions on exporting capital from South Africa and transactions between South African residents (including corporations) and non-residents are subject to these exchange controls. These restrictions required Trencor to obtain approval from South African exchange control authorities before engaging in transactions that resulted in dilution of their share interest in us through their sale of their own shareholdings. While the South African government has, to some extent, relaxed exchange controls in recent years, it is difficult to predict whether or how it will further relax or abolish exchange control measures in the future. In addition, Trencor was required to comply with JSE Listings Requirements in connection with its holding or sale of our common shares.</w:t>
      </w:r>
    </w:p>
    <w:p>
      <w:pPr>
        <w:spacing w:after="0" w:line="322" w:lineRule="exact"/>
        <w:rPr>
          <w:sz w:val="20"/>
          <w:szCs w:val="20"/>
          <w:color w:val="auto"/>
        </w:rPr>
      </w:pPr>
    </w:p>
    <w:p>
      <w:pPr>
        <w:ind w:left="424" w:hanging="424"/>
        <w:spacing w:after="0"/>
        <w:tabs>
          <w:tab w:leader="none" w:pos="424" w:val="left"/>
        </w:tabs>
        <w:numPr>
          <w:ilvl w:val="0"/>
          <w:numId w:val="78"/>
        </w:numPr>
        <w:rPr>
          <w:rFonts w:ascii="Arial" w:cs="Arial" w:eastAsia="Arial" w:hAnsi="Arial"/>
          <w:sz w:val="18"/>
          <w:szCs w:val="18"/>
          <w:b w:val="1"/>
          <w:bCs w:val="1"/>
          <w:color w:val="auto"/>
        </w:rPr>
      </w:pPr>
      <w:r>
        <w:rPr>
          <w:rFonts w:ascii="Arial" w:cs="Arial" w:eastAsia="Arial" w:hAnsi="Arial"/>
          <w:sz w:val="18"/>
          <w:szCs w:val="18"/>
          <w:b w:val="1"/>
          <w:bCs w:val="1"/>
          <w:color w:val="auto"/>
        </w:rPr>
        <w:t>Taxation</w:t>
      </w:r>
    </w:p>
    <w:p>
      <w:pPr>
        <w:spacing w:after="0" w:line="121" w:lineRule="exact"/>
        <w:rPr>
          <w:sz w:val="20"/>
          <w:szCs w:val="20"/>
          <w:color w:val="auto"/>
        </w:rPr>
      </w:pPr>
    </w:p>
    <w:p>
      <w:pPr>
        <w:ind w:left="4" w:right="220" w:firstLine="440"/>
        <w:spacing w:after="0" w:line="296" w:lineRule="auto"/>
        <w:rPr>
          <w:sz w:val="20"/>
          <w:szCs w:val="20"/>
          <w:color w:val="auto"/>
        </w:rPr>
      </w:pPr>
      <w:r>
        <w:rPr>
          <w:rFonts w:ascii="Arial" w:cs="Arial" w:eastAsia="Arial" w:hAnsi="Arial"/>
          <w:sz w:val="16"/>
          <w:szCs w:val="16"/>
          <w:color w:val="auto"/>
        </w:rPr>
        <w:t>The following discussion is a summary of the material Bermuda and U.S. federal income tax consequences of an investment in our common shares. This discussion is not exhaustive of all possible tax considerations. In particular, this discussion does not address the tax consequences under state, local, and other national (e.g., non-Bermuda and non-U.S.) tax laws. Accordingly, we urge you to consult your own tax advisor regarding your particular tax circumstances and the tax consequences under state, local, and other national tax laws. The following discussion is based upon laws and relevant interpretations thereof in effect as of the date hereof, all of which are subject to change, possibly with retroactive effect.</w:t>
      </w:r>
    </w:p>
    <w:p>
      <w:pPr>
        <w:spacing w:after="0" w:line="373"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Bermuda Tax Consequences</w:t>
      </w:r>
    </w:p>
    <w:p>
      <w:pPr>
        <w:spacing w:after="0" w:line="229" w:lineRule="exact"/>
        <w:rPr>
          <w:sz w:val="20"/>
          <w:szCs w:val="20"/>
          <w:color w:val="auto"/>
        </w:rPr>
      </w:pPr>
    </w:p>
    <w:p>
      <w:pPr>
        <w:ind w:left="4" w:right="220" w:firstLine="440"/>
        <w:spacing w:after="0" w:line="308" w:lineRule="auto"/>
        <w:rPr>
          <w:sz w:val="20"/>
          <w:szCs w:val="20"/>
          <w:color w:val="auto"/>
        </w:rPr>
      </w:pPr>
      <w:r>
        <w:rPr>
          <w:rFonts w:ascii="Arial" w:cs="Arial" w:eastAsia="Arial" w:hAnsi="Arial"/>
          <w:sz w:val="17"/>
          <w:szCs w:val="17"/>
          <w:color w:val="auto"/>
        </w:rPr>
        <w:t>The following is a summary of the material Bermuda tax consequences of an investment in our common shares. The following discussion is not exhaustive of all possible tax considerations. We urge you to consult your own tax advisor regarding your particular tax circumstances.</w:t>
      </w:r>
    </w:p>
    <w:p>
      <w:pPr>
        <w:spacing w:after="0" w:line="250" w:lineRule="exact"/>
        <w:rPr>
          <w:sz w:val="20"/>
          <w:szCs w:val="20"/>
          <w:color w:val="auto"/>
        </w:rPr>
      </w:pPr>
    </w:p>
    <w:p>
      <w:pPr>
        <w:ind w:left="444"/>
        <w:spacing w:after="0"/>
        <w:rPr>
          <w:sz w:val="20"/>
          <w:szCs w:val="20"/>
          <w:color w:val="auto"/>
        </w:rPr>
      </w:pPr>
      <w:r>
        <w:rPr>
          <w:rFonts w:ascii="Arial" w:cs="Arial" w:eastAsia="Arial" w:hAnsi="Arial"/>
          <w:sz w:val="18"/>
          <w:szCs w:val="18"/>
          <w:b w:val="1"/>
          <w:bCs w:val="1"/>
          <w:color w:val="auto"/>
        </w:rPr>
        <w:t>Taxation of the Companies</w:t>
      </w:r>
    </w:p>
    <w:p>
      <w:pPr>
        <w:spacing w:after="0" w:line="121" w:lineRule="exact"/>
        <w:rPr>
          <w:sz w:val="20"/>
          <w:szCs w:val="20"/>
          <w:color w:val="auto"/>
        </w:rPr>
      </w:pPr>
    </w:p>
    <w:p>
      <w:pPr>
        <w:ind w:left="4" w:right="20" w:firstLine="440"/>
        <w:spacing w:after="0" w:line="255" w:lineRule="auto"/>
        <w:rPr>
          <w:sz w:val="20"/>
          <w:szCs w:val="20"/>
          <w:color w:val="auto"/>
        </w:rPr>
      </w:pPr>
      <w:r>
        <w:rPr>
          <w:rFonts w:ascii="Arial" w:cs="Arial" w:eastAsia="Arial" w:hAnsi="Arial"/>
          <w:sz w:val="18"/>
          <w:szCs w:val="18"/>
          <w:color w:val="auto"/>
        </w:rPr>
        <w:t>We and our Bermuda subsidiaries have obtained an assurance from the Bermuda Minister of Finance under the Exempted Undertakings Tax Protection Act 1966 that, if any legislation is enacted in Bermuda imposing any tax computed on profits or income, or computed on any capital asset, gain, or appreciation, or any tax in the nature of estate duty or inheritance tax, then such tax will not until March 31, 2035 be applicable to us or any of our operations, or to any of our shares, debentures, or other obligations, except insofar as such tax applies to persons ordinarily resident in Bermuda or is payable by us in respect of real property owned or leased by us in Bermuda. As an exempted company, we are required to pay an annual Bermuda government fee based on our assessable capital.</w:t>
      </w:r>
    </w:p>
    <w:p>
      <w:pPr>
        <w:spacing w:after="0" w:line="296" w:lineRule="exact"/>
        <w:rPr>
          <w:sz w:val="20"/>
          <w:szCs w:val="20"/>
          <w:color w:val="auto"/>
        </w:rPr>
      </w:pPr>
    </w:p>
    <w:p>
      <w:pPr>
        <w:ind w:left="444"/>
        <w:spacing w:after="0"/>
        <w:rPr>
          <w:sz w:val="20"/>
          <w:szCs w:val="20"/>
          <w:color w:val="auto"/>
        </w:rPr>
      </w:pPr>
      <w:r>
        <w:rPr>
          <w:rFonts w:ascii="Arial" w:cs="Arial" w:eastAsia="Arial" w:hAnsi="Arial"/>
          <w:sz w:val="18"/>
          <w:szCs w:val="18"/>
          <w:b w:val="1"/>
          <w:bCs w:val="1"/>
          <w:color w:val="auto"/>
        </w:rPr>
        <w:t>Taxation of Holders</w:t>
      </w:r>
    </w:p>
    <w:p>
      <w:pPr>
        <w:spacing w:after="0" w:line="121" w:lineRule="exact"/>
        <w:rPr>
          <w:sz w:val="20"/>
          <w:szCs w:val="20"/>
          <w:color w:val="auto"/>
        </w:rPr>
      </w:pPr>
    </w:p>
    <w:p>
      <w:pPr>
        <w:ind w:left="4" w:right="120" w:firstLine="440"/>
        <w:spacing w:after="0" w:line="342" w:lineRule="auto"/>
        <w:rPr>
          <w:sz w:val="20"/>
          <w:szCs w:val="20"/>
          <w:color w:val="auto"/>
        </w:rPr>
      </w:pPr>
      <w:r>
        <w:rPr>
          <w:rFonts w:ascii="Arial" w:cs="Arial" w:eastAsia="Arial" w:hAnsi="Arial"/>
          <w:sz w:val="16"/>
          <w:szCs w:val="16"/>
          <w:color w:val="auto"/>
        </w:rPr>
        <w:t>Currently, there is no Bermuda income or profits tax, withholding tax, capital gains tax, capital transfer tax, estate duty or inheritance tax payable by our shareholders in respect of our common shares. The issue, transfer, or redemption of our common shares is not currently subject to stamp duty.</w:t>
      </w:r>
    </w:p>
    <w:p>
      <w:pPr>
        <w:spacing w:after="0" w:line="336"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United States Federal Income Tax Consequences</w:t>
      </w:r>
    </w:p>
    <w:p>
      <w:pPr>
        <w:spacing w:after="0" w:line="229" w:lineRule="exact"/>
        <w:rPr>
          <w:sz w:val="20"/>
          <w:szCs w:val="20"/>
          <w:color w:val="auto"/>
        </w:rPr>
      </w:pPr>
    </w:p>
    <w:p>
      <w:pPr>
        <w:ind w:left="4" w:firstLine="440"/>
        <w:spacing w:after="0" w:line="273" w:lineRule="auto"/>
        <w:rPr>
          <w:sz w:val="20"/>
          <w:szCs w:val="20"/>
          <w:color w:val="auto"/>
        </w:rPr>
      </w:pPr>
      <w:r>
        <w:rPr>
          <w:rFonts w:ascii="Arial" w:cs="Arial" w:eastAsia="Arial" w:hAnsi="Arial"/>
          <w:sz w:val="17"/>
          <w:szCs w:val="17"/>
          <w:color w:val="auto"/>
        </w:rPr>
        <w:t>The following is a summary of the material U.S. federal income tax consequences of an investment in our common shares. The following discussion is not exhaustive of all possible tax considerations. This summary is based upon the Code, regulations promulgated under the Code by the U.S. Treasury Department (including proposed and temporary regulations), rulings, current administrative interpretations and official pronouncements of the IRS, and judicial decisions, all as currently available and all of which are subject to differing interpretations or to change, possibly with retroactive effect. Any such change could materially and adversely affect the tax consequences described below. No assurance can be given that the IRS will not assert, or that a court will not sustain, a position contrary to any of the tax consequences described below.</w:t>
      </w:r>
    </w:p>
    <w:p>
      <w:pPr>
        <w:spacing w:after="0" w:line="110"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83</w:t>
      </w:r>
    </w:p>
    <w:p>
      <w:pPr>
        <w:sectPr>
          <w:pgSz w:w="11900" w:h="16838" w:orient="portrait"/>
          <w:cols w:equalWidth="0" w:num="1">
            <w:col w:w="11024"/>
          </w:cols>
          <w:pgMar w:left="436" w:top="270" w:right="439" w:bottom="1440" w:gutter="0" w:footer="0" w:header="0"/>
        </w:sectPr>
      </w:pPr>
    </w:p>
    <w:bookmarkStart w:id="97" w:name="page98"/>
    <w:bookmarkEnd w:id="97"/>
    <w:p>
      <w:pPr>
        <w:ind w:right="20" w:firstLine="440"/>
        <w:spacing w:after="0" w:line="290"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This summary does not address all aspects of U.S. federal income taxation that may be important to a particular holder in light of its investment or tax circumstances or to holders subject to special tax rules, such as banks; financial institutions; insurance companies; dealers in stocks, securities, or currencies; traders in securities that elect to use a mark-to-market method of accounting for their securities holdings; tax-exempt organizations; real estate investment trusts; regulated investment companies; qualified retirement plans, individual retirement accounts, and other tax-deferred accounts; certain former citizens or long-term residents of the U.S.; persons subject to the alternative minimum tax; persons holding common shares as part of a straddle, hedge, conversion transaction, or other integrated transaction; persons who acquired common shares pursuant to the exercise of any employee share option or otherwise as compensation for services; persons actually or constructively holding 10% or more of our voting shares; and U.S. Holders (as defined below) whose functional currency is other than the U.S. dollar.</w:t>
      </w:r>
    </w:p>
    <w:p>
      <w:pPr>
        <w:spacing w:after="0" w:line="161" w:lineRule="exact"/>
        <w:rPr>
          <w:sz w:val="20"/>
          <w:szCs w:val="20"/>
          <w:color w:val="auto"/>
        </w:rPr>
      </w:pPr>
    </w:p>
    <w:p>
      <w:pPr>
        <w:ind w:right="180" w:firstLine="440"/>
        <w:spacing w:after="0" w:line="303" w:lineRule="auto"/>
        <w:rPr>
          <w:sz w:val="20"/>
          <w:szCs w:val="20"/>
          <w:color w:val="auto"/>
        </w:rPr>
      </w:pPr>
      <w:r>
        <w:rPr>
          <w:rFonts w:ascii="Arial" w:cs="Arial" w:eastAsia="Arial" w:hAnsi="Arial"/>
          <w:sz w:val="16"/>
          <w:szCs w:val="16"/>
          <w:b w:val="1"/>
          <w:bCs w:val="1"/>
          <w:color w:val="auto"/>
        </w:rPr>
        <w:t>This discussion is not a comprehensive description of all of the U.S. federal tax consequences that may be relevant with respect to an investment in common shares. We urge you to consult your own tax advisor regarding your particular circumstances and the U.S. federal income and estate tax consequences to you of owning and disposing of common shares, as well as any tax consequences arising under the laws of any state, local, foreign or other tax jurisdiction and the possible effects of changes in U.S. federal or other tax laws.</w:t>
      </w:r>
    </w:p>
    <w:p>
      <w:pPr>
        <w:spacing w:after="0" w:line="155" w:lineRule="exact"/>
        <w:rPr>
          <w:sz w:val="20"/>
          <w:szCs w:val="20"/>
          <w:color w:val="auto"/>
        </w:rPr>
      </w:pPr>
    </w:p>
    <w:p>
      <w:pPr>
        <w:jc w:val="both"/>
        <w:ind w:firstLine="440"/>
        <w:spacing w:after="0" w:line="263" w:lineRule="auto"/>
        <w:rPr>
          <w:sz w:val="20"/>
          <w:szCs w:val="20"/>
          <w:color w:val="auto"/>
        </w:rPr>
      </w:pPr>
      <w:r>
        <w:rPr>
          <w:rFonts w:ascii="Arial" w:cs="Arial" w:eastAsia="Arial" w:hAnsi="Arial"/>
          <w:sz w:val="18"/>
          <w:szCs w:val="18"/>
          <w:color w:val="auto"/>
        </w:rPr>
        <w:t>This summary is directed solely to persons who hold their common shares as capital assets within the meaning of Section 1221 of the Code, which includes property held for investment. For purposes of this discussion, the term “U.S. Holder” means a beneficial owner of common shares that is any of the following:</w:t>
      </w:r>
    </w:p>
    <w:p>
      <w:pPr>
        <w:spacing w:after="0" w:line="89" w:lineRule="exact"/>
        <w:rPr>
          <w:sz w:val="20"/>
          <w:szCs w:val="20"/>
          <w:color w:val="auto"/>
        </w:rPr>
      </w:pPr>
    </w:p>
    <w:p>
      <w:pPr>
        <w:ind w:left="960" w:hanging="532"/>
        <w:spacing w:after="0"/>
        <w:tabs>
          <w:tab w:leader="none" w:pos="960" w:val="left"/>
        </w:tabs>
        <w:numPr>
          <w:ilvl w:val="0"/>
          <w:numId w:val="79"/>
        </w:numPr>
        <w:rPr>
          <w:rFonts w:ascii="Arial" w:cs="Arial" w:eastAsia="Arial" w:hAnsi="Arial"/>
          <w:sz w:val="18"/>
          <w:szCs w:val="18"/>
          <w:color w:val="auto"/>
        </w:rPr>
      </w:pPr>
      <w:r>
        <w:rPr>
          <w:rFonts w:ascii="Arial" w:cs="Arial" w:eastAsia="Arial" w:hAnsi="Arial"/>
          <w:sz w:val="18"/>
          <w:szCs w:val="18"/>
          <w:color w:val="auto"/>
        </w:rPr>
        <w:t>a citizen or resident of the U.S. or someone treated as a U.S. citizen or resident for U.S. federal income tax purposes;</w:t>
      </w:r>
    </w:p>
    <w:p>
      <w:pPr>
        <w:spacing w:after="0" w:line="130" w:lineRule="exact"/>
        <w:rPr>
          <w:rFonts w:ascii="Arial" w:cs="Arial" w:eastAsia="Arial" w:hAnsi="Arial"/>
          <w:sz w:val="18"/>
          <w:szCs w:val="18"/>
          <w:color w:val="auto"/>
        </w:rPr>
      </w:pPr>
    </w:p>
    <w:p>
      <w:pPr>
        <w:ind w:left="960" w:hanging="532"/>
        <w:spacing w:after="0" w:line="277" w:lineRule="auto"/>
        <w:tabs>
          <w:tab w:leader="none" w:pos="960" w:val="left"/>
        </w:tabs>
        <w:numPr>
          <w:ilvl w:val="0"/>
          <w:numId w:val="79"/>
        </w:numPr>
        <w:rPr>
          <w:rFonts w:ascii="Arial" w:cs="Arial" w:eastAsia="Arial" w:hAnsi="Arial"/>
          <w:sz w:val="18"/>
          <w:szCs w:val="18"/>
          <w:color w:val="auto"/>
        </w:rPr>
      </w:pPr>
      <w:r>
        <w:rPr>
          <w:rFonts w:ascii="Arial" w:cs="Arial" w:eastAsia="Arial" w:hAnsi="Arial"/>
          <w:sz w:val="18"/>
          <w:szCs w:val="18"/>
          <w:color w:val="auto"/>
        </w:rPr>
        <w:t>a corporation (or other entity taxable as a corporation for U.S. federal income tax purposes) created or organized in or under the laws of the U.S., any state thereof, or the District of Columbia;</w:t>
      </w:r>
    </w:p>
    <w:p>
      <w:pPr>
        <w:spacing w:after="0" w:line="75" w:lineRule="exact"/>
        <w:rPr>
          <w:rFonts w:ascii="Arial" w:cs="Arial" w:eastAsia="Arial" w:hAnsi="Arial"/>
          <w:sz w:val="18"/>
          <w:szCs w:val="18"/>
          <w:color w:val="auto"/>
        </w:rPr>
      </w:pPr>
    </w:p>
    <w:p>
      <w:pPr>
        <w:ind w:left="960" w:hanging="532"/>
        <w:spacing w:after="0"/>
        <w:tabs>
          <w:tab w:leader="none" w:pos="960" w:val="left"/>
        </w:tabs>
        <w:numPr>
          <w:ilvl w:val="0"/>
          <w:numId w:val="79"/>
        </w:numPr>
        <w:rPr>
          <w:rFonts w:ascii="Arial" w:cs="Arial" w:eastAsia="Arial" w:hAnsi="Arial"/>
          <w:sz w:val="18"/>
          <w:szCs w:val="18"/>
          <w:color w:val="auto"/>
        </w:rPr>
      </w:pPr>
      <w:r>
        <w:rPr>
          <w:rFonts w:ascii="Arial" w:cs="Arial" w:eastAsia="Arial" w:hAnsi="Arial"/>
          <w:sz w:val="18"/>
          <w:szCs w:val="18"/>
          <w:color w:val="auto"/>
        </w:rPr>
        <w:t>an estate, the income of which is subject to U.S. federal income taxation regardless of its source;</w:t>
      </w:r>
    </w:p>
    <w:p>
      <w:pPr>
        <w:spacing w:after="0" w:line="130" w:lineRule="exact"/>
        <w:rPr>
          <w:rFonts w:ascii="Arial" w:cs="Arial" w:eastAsia="Arial" w:hAnsi="Arial"/>
          <w:sz w:val="18"/>
          <w:szCs w:val="18"/>
          <w:color w:val="auto"/>
        </w:rPr>
      </w:pPr>
    </w:p>
    <w:p>
      <w:pPr>
        <w:ind w:left="960" w:right="200" w:hanging="532"/>
        <w:spacing w:after="0" w:line="277" w:lineRule="auto"/>
        <w:tabs>
          <w:tab w:leader="none" w:pos="960" w:val="left"/>
        </w:tabs>
        <w:numPr>
          <w:ilvl w:val="0"/>
          <w:numId w:val="79"/>
        </w:numPr>
        <w:rPr>
          <w:rFonts w:ascii="Arial" w:cs="Arial" w:eastAsia="Arial" w:hAnsi="Arial"/>
          <w:sz w:val="18"/>
          <w:szCs w:val="18"/>
          <w:color w:val="auto"/>
        </w:rPr>
      </w:pPr>
      <w:r>
        <w:rPr>
          <w:rFonts w:ascii="Arial" w:cs="Arial" w:eastAsia="Arial" w:hAnsi="Arial"/>
          <w:sz w:val="18"/>
          <w:szCs w:val="18"/>
          <w:color w:val="auto"/>
        </w:rPr>
        <w:t>a trust if a U.S. court can exercise primary supervision over the trust’s administration and one or more U.S. persons have the authority to control all substantial decisions of the trust; or</w:t>
      </w:r>
    </w:p>
    <w:p>
      <w:pPr>
        <w:spacing w:after="0" w:line="75" w:lineRule="exact"/>
        <w:rPr>
          <w:rFonts w:ascii="Arial" w:cs="Arial" w:eastAsia="Arial" w:hAnsi="Arial"/>
          <w:sz w:val="18"/>
          <w:szCs w:val="18"/>
          <w:color w:val="auto"/>
        </w:rPr>
      </w:pPr>
    </w:p>
    <w:p>
      <w:pPr>
        <w:ind w:left="960" w:right="400" w:hanging="532"/>
        <w:spacing w:after="0" w:line="277" w:lineRule="auto"/>
        <w:tabs>
          <w:tab w:leader="none" w:pos="960" w:val="left"/>
        </w:tabs>
        <w:numPr>
          <w:ilvl w:val="0"/>
          <w:numId w:val="79"/>
        </w:numPr>
        <w:rPr>
          <w:rFonts w:ascii="Arial" w:cs="Arial" w:eastAsia="Arial" w:hAnsi="Arial"/>
          <w:sz w:val="18"/>
          <w:szCs w:val="18"/>
          <w:color w:val="auto"/>
        </w:rPr>
      </w:pPr>
      <w:r>
        <w:rPr>
          <w:rFonts w:ascii="Arial" w:cs="Arial" w:eastAsia="Arial" w:hAnsi="Arial"/>
          <w:sz w:val="18"/>
          <w:szCs w:val="18"/>
          <w:color w:val="auto"/>
        </w:rPr>
        <w:t>a trust in existence on August 20, 1996 that has a valid election in effect under applicable Treasury Regulations to be treated as a U.S. person.</w:t>
      </w:r>
    </w:p>
    <w:p>
      <w:pPr>
        <w:spacing w:after="0" w:line="170" w:lineRule="exact"/>
        <w:rPr>
          <w:sz w:val="20"/>
          <w:szCs w:val="20"/>
          <w:color w:val="auto"/>
        </w:rPr>
      </w:pPr>
    </w:p>
    <w:p>
      <w:pPr>
        <w:ind w:right="240" w:firstLine="440"/>
        <w:spacing w:after="0" w:line="263" w:lineRule="auto"/>
        <w:rPr>
          <w:sz w:val="20"/>
          <w:szCs w:val="20"/>
          <w:color w:val="auto"/>
        </w:rPr>
      </w:pPr>
      <w:r>
        <w:rPr>
          <w:rFonts w:ascii="Arial" w:cs="Arial" w:eastAsia="Arial" w:hAnsi="Arial"/>
          <w:sz w:val="18"/>
          <w:szCs w:val="18"/>
          <w:color w:val="auto"/>
        </w:rPr>
        <w:t>The term “Non-U.S. Holder” means a beneficial owner of common shares that is not a U.S. Holder or an entity treated as a partnership for U.S. federal income tax purposes. As described in “—Taxation of Non-U.S. Holders” below, the tax consequences to a Non-U.S. Holder may differ substantially from the tax consequences to a U.S. Holder.</w:t>
      </w:r>
    </w:p>
    <w:p>
      <w:pPr>
        <w:spacing w:after="0" w:line="184" w:lineRule="exact"/>
        <w:rPr>
          <w:sz w:val="20"/>
          <w:szCs w:val="20"/>
          <w:color w:val="auto"/>
        </w:rPr>
      </w:pPr>
    </w:p>
    <w:p>
      <w:pPr>
        <w:ind w:right="40" w:firstLine="440"/>
        <w:spacing w:after="0" w:line="259" w:lineRule="auto"/>
        <w:rPr>
          <w:sz w:val="20"/>
          <w:szCs w:val="20"/>
          <w:color w:val="auto"/>
        </w:rPr>
      </w:pPr>
      <w:r>
        <w:rPr>
          <w:rFonts w:ascii="Arial" w:cs="Arial" w:eastAsia="Arial" w:hAnsi="Arial"/>
          <w:sz w:val="18"/>
          <w:szCs w:val="18"/>
          <w:color w:val="auto"/>
        </w:rPr>
        <w:t>If a partnership (including for this purpose any entity treated as a partnership for U.S. federal income tax purposes) is a beneficial owner of common shares, the U.S. federal income tax consequences to a partner in the partnership will depend on the status of the partner and the activities of the partnership. A holder of common shares that is a partnership and the partners in such partnership should consult their own tax advisors regarding the U.S. federal income tax consequences of an investment in common shares.</w:t>
      </w:r>
    </w:p>
    <w:p>
      <w:pPr>
        <w:spacing w:after="0" w:line="291" w:lineRule="exact"/>
        <w:rPr>
          <w:sz w:val="20"/>
          <w:szCs w:val="20"/>
          <w:color w:val="auto"/>
        </w:rPr>
      </w:pPr>
    </w:p>
    <w:p>
      <w:pPr>
        <w:ind w:left="440"/>
        <w:spacing w:after="0"/>
        <w:rPr>
          <w:sz w:val="20"/>
          <w:szCs w:val="20"/>
          <w:color w:val="auto"/>
        </w:rPr>
      </w:pPr>
      <w:r>
        <w:rPr>
          <w:rFonts w:ascii="Arial" w:cs="Arial" w:eastAsia="Arial" w:hAnsi="Arial"/>
          <w:sz w:val="18"/>
          <w:szCs w:val="18"/>
          <w:b w:val="1"/>
          <w:bCs w:val="1"/>
          <w:color w:val="auto"/>
        </w:rPr>
        <w:t>Taxation of the Companies</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Textainer and Non-U.S. Subsidiaries</w:t>
      </w:r>
    </w:p>
    <w:p>
      <w:pPr>
        <w:spacing w:after="0" w:line="117" w:lineRule="exact"/>
        <w:rPr>
          <w:sz w:val="20"/>
          <w:szCs w:val="20"/>
          <w:color w:val="auto"/>
        </w:rPr>
      </w:pPr>
    </w:p>
    <w:p>
      <w:pPr>
        <w:ind w:right="40" w:firstLine="440"/>
        <w:spacing w:after="0" w:line="254" w:lineRule="auto"/>
        <w:rPr>
          <w:sz w:val="20"/>
          <w:szCs w:val="20"/>
          <w:color w:val="auto"/>
        </w:rPr>
      </w:pPr>
      <w:r>
        <w:rPr>
          <w:rFonts w:ascii="Arial" w:cs="Arial" w:eastAsia="Arial" w:hAnsi="Arial"/>
          <w:sz w:val="18"/>
          <w:szCs w:val="18"/>
          <w:color w:val="auto"/>
        </w:rPr>
        <w:t>A non-U.S. corporation deemed to be engaged in a trade or business within the U.S. is subject to U.S. federal income tax on income which is treated as effectively connected with the conduct of that trade or business. Such income tax, if imposed, is based on effectively connected income computed in a manner similar to the manner in which the income of a domestic corporation is computed, except that a foreign corporation will be entitled to deductions and credits for a taxable year only if it timely files a U.S. federal income tax return for that year. In addition, a non-U.S. corporation may be subject to the U.S. federal branch profits tax on the portion of its effectively connected earnings and profits, with certain adjustments, deemed repatriated out of the U.S. Currently, the maximum U.S. federal income tax rates are 21% for a corporation’s effectively connected income and 30% for the branch profits tax.</w:t>
      </w:r>
    </w:p>
    <w:p>
      <w:pPr>
        <w:spacing w:after="0" w:line="12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84</w:t>
      </w:r>
    </w:p>
    <w:p>
      <w:pPr>
        <w:sectPr>
          <w:pgSz w:w="11900" w:h="16838" w:orient="portrait"/>
          <w:cols w:equalWidth="0" w:num="1">
            <w:col w:w="11000"/>
          </w:cols>
          <w:pgMar w:left="440" w:top="274" w:right="459" w:bottom="1440" w:gutter="0" w:footer="0" w:header="0"/>
        </w:sectPr>
      </w:pPr>
    </w:p>
    <w:bookmarkStart w:id="98" w:name="page99"/>
    <w:bookmarkEnd w:id="98"/>
    <w:p>
      <w:pPr>
        <w:ind w:right="60" w:firstLine="440"/>
        <w:spacing w:after="0" w:line="34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 portion of our income is treated as effectively connected with the conduct of a trade or business within the U.S., and such effectively connected income is subject to U.S. federal income tax. U.S. federal income tax returns have been filed declaring such effectively connected income.</w:t>
      </w:r>
    </w:p>
    <w:p>
      <w:pPr>
        <w:spacing w:after="0" w:line="124" w:lineRule="exact"/>
        <w:rPr>
          <w:sz w:val="20"/>
          <w:szCs w:val="20"/>
          <w:color w:val="auto"/>
        </w:rPr>
      </w:pPr>
    </w:p>
    <w:p>
      <w:pPr>
        <w:ind w:firstLine="440"/>
        <w:spacing w:after="0" w:line="257" w:lineRule="auto"/>
        <w:rPr>
          <w:sz w:val="20"/>
          <w:szCs w:val="20"/>
          <w:color w:val="auto"/>
        </w:rPr>
      </w:pPr>
      <w:r>
        <w:rPr>
          <w:rFonts w:ascii="Arial" w:cs="Arial" w:eastAsia="Arial" w:hAnsi="Arial"/>
          <w:sz w:val="18"/>
          <w:szCs w:val="18"/>
          <w:color w:val="auto"/>
        </w:rPr>
        <w:t>The determination of whether a person is engaged in a U.S. trade or business is based on a highly factual analysis. In general, there is no clear test as to the nature and scope of activities that constitute being engaged in a U.S. trade or business, and it is unclear how a court would construe the existing authorities with respect to our activities. Accordingly, it is possible that the IRS could assert that a significantly greater portion of our income than we currently report is derived from the conduct of a U.S. trade or business and therefore, is effectively connected income that is subject to U.S. federal income tax.</w:t>
      </w:r>
    </w:p>
    <w:p>
      <w:pPr>
        <w:spacing w:after="0" w:line="188" w:lineRule="exact"/>
        <w:rPr>
          <w:sz w:val="20"/>
          <w:szCs w:val="20"/>
          <w:color w:val="auto"/>
        </w:rPr>
      </w:pPr>
    </w:p>
    <w:p>
      <w:pPr>
        <w:ind w:right="40" w:firstLine="440"/>
        <w:spacing w:after="0" w:line="301" w:lineRule="auto"/>
        <w:rPr>
          <w:sz w:val="20"/>
          <w:szCs w:val="20"/>
          <w:color w:val="auto"/>
        </w:rPr>
      </w:pPr>
      <w:r>
        <w:rPr>
          <w:rFonts w:ascii="Arial" w:cs="Arial" w:eastAsia="Arial" w:hAnsi="Arial"/>
          <w:sz w:val="16"/>
          <w:szCs w:val="16"/>
          <w:color w:val="auto"/>
        </w:rPr>
        <w:t>In addition to U.S. federal income tax on income associated with a U.S. trade or business, we are also subject to a 30% U.S. withholding tax imposed on the gross amount of certain “fixed or determinable annual or periodic gains, profits and income” derived from sources within the U.S. (such as rents, dividends and interest on investments), to the extent such amounts are not effectively connected income. This 30% U.S. withholding tax is subject to reduction by applicable treaties. Distributions by our U.S. subsidiaries to us are expected to be subject to this 30% U.S. withholding tax.</w:t>
      </w:r>
    </w:p>
    <w:p>
      <w:pPr>
        <w:spacing w:after="0" w:line="265"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U.S. Subsidiaries</w:t>
      </w:r>
    </w:p>
    <w:p>
      <w:pPr>
        <w:spacing w:after="0" w:line="117" w:lineRule="exact"/>
        <w:rPr>
          <w:sz w:val="20"/>
          <w:szCs w:val="20"/>
          <w:color w:val="auto"/>
        </w:rPr>
      </w:pPr>
    </w:p>
    <w:p>
      <w:pPr>
        <w:ind w:left="440"/>
        <w:spacing w:after="0"/>
        <w:rPr>
          <w:sz w:val="20"/>
          <w:szCs w:val="20"/>
          <w:color w:val="auto"/>
        </w:rPr>
      </w:pPr>
      <w:r>
        <w:rPr>
          <w:rFonts w:ascii="Arial" w:cs="Arial" w:eastAsia="Arial" w:hAnsi="Arial"/>
          <w:sz w:val="17"/>
          <w:szCs w:val="17"/>
          <w:color w:val="auto"/>
        </w:rPr>
        <w:t>Our U.S. subsidiaries are subject to U.S. federal income tax on their worldwide income subject to reduction by allowable foreign tax credits.</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Certain foreign sourced income earned by the U.S. subsidiaries may be taxed at a rate lower than 21%.</w:t>
      </w:r>
    </w:p>
    <w:p>
      <w:pPr>
        <w:spacing w:after="0" w:line="319"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Transfer Pricing</w:t>
      </w:r>
    </w:p>
    <w:p>
      <w:pPr>
        <w:spacing w:after="0" w:line="117" w:lineRule="exact"/>
        <w:rPr>
          <w:sz w:val="20"/>
          <w:szCs w:val="20"/>
          <w:color w:val="auto"/>
        </w:rPr>
      </w:pPr>
    </w:p>
    <w:p>
      <w:pPr>
        <w:ind w:right="20" w:firstLine="440"/>
        <w:spacing w:after="0" w:line="291" w:lineRule="auto"/>
        <w:rPr>
          <w:sz w:val="20"/>
          <w:szCs w:val="20"/>
          <w:color w:val="auto"/>
        </w:rPr>
      </w:pPr>
      <w:r>
        <w:rPr>
          <w:rFonts w:ascii="Arial" w:cs="Arial" w:eastAsia="Arial" w:hAnsi="Arial"/>
          <w:sz w:val="16"/>
          <w:szCs w:val="16"/>
          <w:color w:val="auto"/>
        </w:rPr>
        <w:t>Under U.S. federal income tax laws, transactions among taxpayers that are owned or controlled directly or indirectly by the same interests generally must be at arm’s-length terms. The IRS may distribute, apportion, or allocate gross income, deductions, credits, or allowances between or among such taxpayers if it determines that such transactions are not at arm’s-length terms and that such distribution, apportionment, or allocation is necessary in order to clearly reflect the income of any of such taxpayers. Additionally, if we have not met the requirements of the new CBC Regulations (effective for our taxable years beginning on or after June 30, 2016), we may become subject to penalties and the IRS may pursue a further investigation or audit of our operations, which may result in an adjustment to our transfer pricing policies as described in the immediately preceding sentence. In such a situation, we may incur increased tax liability, possibly materially, thereby reducing our profitability and cash flows.</w:t>
      </w:r>
    </w:p>
    <w:p>
      <w:pPr>
        <w:spacing w:after="0" w:line="270" w:lineRule="exact"/>
        <w:rPr>
          <w:sz w:val="20"/>
          <w:szCs w:val="20"/>
          <w:color w:val="auto"/>
        </w:rPr>
      </w:pPr>
    </w:p>
    <w:p>
      <w:pPr>
        <w:ind w:left="440"/>
        <w:spacing w:after="0"/>
        <w:rPr>
          <w:sz w:val="20"/>
          <w:szCs w:val="20"/>
          <w:color w:val="auto"/>
        </w:rPr>
      </w:pPr>
      <w:r>
        <w:rPr>
          <w:rFonts w:ascii="Arial" w:cs="Arial" w:eastAsia="Arial" w:hAnsi="Arial"/>
          <w:sz w:val="18"/>
          <w:szCs w:val="18"/>
          <w:b w:val="1"/>
          <w:bCs w:val="1"/>
          <w:color w:val="auto"/>
        </w:rPr>
        <w:t>Taxation of U.S. Holders</w:t>
      </w:r>
    </w:p>
    <w:p>
      <w:pPr>
        <w:spacing w:after="0" w:line="121" w:lineRule="exact"/>
        <w:rPr>
          <w:sz w:val="20"/>
          <w:szCs w:val="20"/>
          <w:color w:val="auto"/>
        </w:rPr>
      </w:pPr>
    </w:p>
    <w:p>
      <w:pPr>
        <w:jc w:val="both"/>
        <w:ind w:right="80" w:firstLine="440"/>
        <w:spacing w:after="0" w:line="263" w:lineRule="auto"/>
        <w:rPr>
          <w:sz w:val="20"/>
          <w:szCs w:val="20"/>
          <w:color w:val="auto"/>
        </w:rPr>
      </w:pPr>
      <w:r>
        <w:rPr>
          <w:rFonts w:ascii="Arial" w:cs="Arial" w:eastAsia="Arial" w:hAnsi="Arial"/>
          <w:sz w:val="18"/>
          <w:szCs w:val="18"/>
          <w:color w:val="auto"/>
        </w:rPr>
        <w:t>The discussion in “—Distributions on Common Shares” and “—Dispositions of Common Shares” below assumes that we will not be treated as a passive foreign investment company (“PFIC”) for U.S. federal income tax purposes. For a discussion of the rules that apply if we are treated as a PFIC, see “—Passive Foreign Investment Company” below.</w:t>
      </w:r>
    </w:p>
    <w:p>
      <w:pPr>
        <w:spacing w:after="0" w:line="292"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Distributions on Common Shares</w:t>
      </w:r>
    </w:p>
    <w:p>
      <w:pPr>
        <w:spacing w:after="0" w:line="117" w:lineRule="exact"/>
        <w:rPr>
          <w:sz w:val="20"/>
          <w:szCs w:val="20"/>
          <w:color w:val="auto"/>
        </w:rPr>
      </w:pPr>
    </w:p>
    <w:p>
      <w:pPr>
        <w:ind w:right="20" w:firstLine="440"/>
        <w:spacing w:after="0" w:line="272" w:lineRule="auto"/>
        <w:rPr>
          <w:sz w:val="20"/>
          <w:szCs w:val="20"/>
          <w:color w:val="auto"/>
        </w:rPr>
      </w:pPr>
      <w:r>
        <w:rPr>
          <w:rFonts w:ascii="Arial" w:cs="Arial" w:eastAsia="Arial" w:hAnsi="Arial"/>
          <w:sz w:val="17"/>
          <w:szCs w:val="17"/>
          <w:i w:val="1"/>
          <w:iCs w:val="1"/>
          <w:color w:val="auto"/>
        </w:rPr>
        <w:t xml:space="preserve">General. </w:t>
      </w:r>
      <w:r>
        <w:rPr>
          <w:rFonts w:ascii="Arial" w:cs="Arial" w:eastAsia="Arial" w:hAnsi="Arial"/>
          <w:sz w:val="17"/>
          <w:szCs w:val="17"/>
          <w:color w:val="auto"/>
        </w:rPr>
        <w:t>Subject to the discussion in “—Passive Foreign Investment Company” below, if you actually or constructively receive a distribution on</w:t>
      </w:r>
      <w:r>
        <w:rPr>
          <w:rFonts w:ascii="Arial" w:cs="Arial" w:eastAsia="Arial" w:hAnsi="Arial"/>
          <w:sz w:val="17"/>
          <w:szCs w:val="17"/>
          <w:i w:val="1"/>
          <w:iCs w:val="1"/>
          <w:color w:val="auto"/>
        </w:rPr>
        <w:t xml:space="preserve"> </w:t>
      </w:r>
      <w:r>
        <w:rPr>
          <w:rFonts w:ascii="Arial" w:cs="Arial" w:eastAsia="Arial" w:hAnsi="Arial"/>
          <w:sz w:val="17"/>
          <w:szCs w:val="17"/>
          <w:color w:val="auto"/>
        </w:rPr>
        <w:t>common shares, you must include the distribution in gross income as a taxable dividend on the date of your receipt of the distribution, but only to the extent of our current or accumulated earnings and profits, as calculated under U.S. federal income tax principles. Such amount must be included without reduction for any foreign taxes withheld. Dividends paid by us will not be eligible for the dividends received deduction allowed to corporations with respect to dividends received from certain domestic corporations. Dividends paid by us may or may not be eligible for preferential rates applicable to qualified dividend income, as described below. In addition, certain non-corporate U.S. Holders may be subject to an additional 3.8% Medicare tax on dividend income whether or not it is “qualified dividend income.” See “—Medicare Tax” below.</w:t>
      </w:r>
    </w:p>
    <w:p>
      <w:pPr>
        <w:spacing w:after="0" w:line="11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85</w:t>
      </w:r>
    </w:p>
    <w:p>
      <w:pPr>
        <w:sectPr>
          <w:pgSz w:w="11900" w:h="16838" w:orient="portrait"/>
          <w:cols w:equalWidth="0" w:num="1">
            <w:col w:w="10980"/>
          </w:cols>
          <w:pgMar w:left="440" w:top="274" w:right="479" w:bottom="1440" w:gutter="0" w:footer="0" w:header="0"/>
        </w:sectPr>
      </w:pPr>
    </w:p>
    <w:bookmarkStart w:id="99" w:name="page100"/>
    <w:bookmarkEnd w:id="99"/>
    <w:p>
      <w:pPr>
        <w:ind w:right="120" w:firstLine="44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To the extent a distribution exceeds our current and accumulated earnings and profits, it will be treated first as a non-taxable return of capital to the extent of your adjusted tax basis in the common shares, and thereafter as capital gain. Preferential tax rates for long-term capital gain may be applicable to non-corporate U.S. Holders. In addition, certain non-corporate U.S. Holders may be subject to an additional 3.8% Medicare tax on capital gain. See “— Medicare Tax” below.</w:t>
      </w:r>
    </w:p>
    <w:p>
      <w:pPr>
        <w:spacing w:after="0" w:line="187" w:lineRule="exact"/>
        <w:rPr>
          <w:sz w:val="20"/>
          <w:szCs w:val="20"/>
          <w:color w:val="auto"/>
        </w:rPr>
      </w:pPr>
    </w:p>
    <w:p>
      <w:pPr>
        <w:ind w:firstLine="440"/>
        <w:spacing w:after="0" w:line="291" w:lineRule="auto"/>
        <w:rPr>
          <w:sz w:val="20"/>
          <w:szCs w:val="20"/>
          <w:color w:val="auto"/>
        </w:rPr>
      </w:pPr>
      <w:r>
        <w:rPr>
          <w:rFonts w:ascii="Arial" w:cs="Arial" w:eastAsia="Arial" w:hAnsi="Arial"/>
          <w:sz w:val="16"/>
          <w:szCs w:val="16"/>
          <w:i w:val="1"/>
          <w:iCs w:val="1"/>
          <w:color w:val="auto"/>
        </w:rPr>
        <w:t xml:space="preserve">Qualified Dividend Income. </w:t>
      </w:r>
      <w:r>
        <w:rPr>
          <w:rFonts w:ascii="Arial" w:cs="Arial" w:eastAsia="Arial" w:hAnsi="Arial"/>
          <w:sz w:val="16"/>
          <w:szCs w:val="16"/>
          <w:color w:val="auto"/>
        </w:rPr>
        <w:t>With respect to non-corporate U.S. Holders (i.e., individuals, trusts, and estates), the maximum individual U.S. federal</w:t>
      </w:r>
      <w:r>
        <w:rPr>
          <w:rFonts w:ascii="Arial" w:cs="Arial" w:eastAsia="Arial" w:hAnsi="Arial"/>
          <w:sz w:val="16"/>
          <w:szCs w:val="16"/>
          <w:i w:val="1"/>
          <w:iCs w:val="1"/>
          <w:color w:val="auto"/>
        </w:rPr>
        <w:t xml:space="preserve"> </w:t>
      </w:r>
      <w:r>
        <w:rPr>
          <w:rFonts w:ascii="Arial" w:cs="Arial" w:eastAsia="Arial" w:hAnsi="Arial"/>
          <w:sz w:val="16"/>
          <w:szCs w:val="16"/>
          <w:color w:val="auto"/>
        </w:rPr>
        <w:t>income tax rate applicable to “qualified dividend income” (“QDI”) generally is 20%. Among other requirements, dividends will be treated as QDI if either (i) our common shares are readily tradable on an established securities market in the U.S., or (ii) we are eligible for the benefits of a comprehensive income tax treaty with the U.S. which includes an information exchange program and which is determined to be satisfactory by the Secretary of the U.S. Treasury. The income tax treaty between the U.S. and Bermuda (the jurisdiction of our incorporation) does not qualify for these purposes. However, subject to the discussion below, under “—</w:t>
      </w:r>
      <w:r>
        <w:rPr>
          <w:rFonts w:ascii="Arial" w:cs="Arial" w:eastAsia="Arial" w:hAnsi="Arial"/>
          <w:sz w:val="16"/>
          <w:szCs w:val="16"/>
          <w:i w:val="1"/>
          <w:iCs w:val="1"/>
          <w:color w:val="auto"/>
        </w:rPr>
        <w:t>Passive Foreign Investment Company—Mark-to-Market Election,</w:t>
      </w:r>
      <w:r>
        <w:rPr>
          <w:rFonts w:ascii="Arial" w:cs="Arial" w:eastAsia="Arial" w:hAnsi="Arial"/>
          <w:sz w:val="16"/>
          <w:szCs w:val="16"/>
          <w:color w:val="auto"/>
        </w:rPr>
        <w:t>” we expect that under current administrative guidance, our common shares are “readily tradable” on an established securities market as a result of being listed on the NYSE.</w:t>
      </w:r>
    </w:p>
    <w:p>
      <w:pPr>
        <w:spacing w:after="0" w:line="166" w:lineRule="exact"/>
        <w:rPr>
          <w:sz w:val="20"/>
          <w:szCs w:val="20"/>
          <w:color w:val="auto"/>
        </w:rPr>
      </w:pPr>
    </w:p>
    <w:p>
      <w:pPr>
        <w:ind w:right="40" w:firstLine="440"/>
        <w:spacing w:after="0" w:line="272" w:lineRule="auto"/>
        <w:rPr>
          <w:sz w:val="20"/>
          <w:szCs w:val="20"/>
          <w:color w:val="auto"/>
        </w:rPr>
      </w:pPr>
      <w:r>
        <w:rPr>
          <w:rFonts w:ascii="Arial" w:cs="Arial" w:eastAsia="Arial" w:hAnsi="Arial"/>
          <w:sz w:val="17"/>
          <w:szCs w:val="17"/>
          <w:color w:val="auto"/>
        </w:rPr>
        <w:t>In addition, for dividends to be treated as QDI, we must not be a PFIC (as discussed below) for either the taxable year in which the dividend was paid or the preceding taxable year. We do not believe that we were a PFIC for our prior taxable year and we intend to conduct our business so that we should not be treated as a PFIC for our current taxable year or any future taxable year. However, because the PFIC determination is highly fact intensive and made at the end of each taxable year, it is possible that we may be a PFIC for the current or any future taxable year. Please see the discussion under “—Passive Foreign Investment Company” below. Additionally, in order to qualify for QDI treatment, you generally must have held the common shares for more than 60 days during the 121-day period beginning 60 days prior to the ex-dividend date. However, your holding period will be reduced for any period during which the risk of loss is diminished.</w:t>
      </w:r>
    </w:p>
    <w:p>
      <w:pPr>
        <w:spacing w:after="0" w:line="177" w:lineRule="exact"/>
        <w:rPr>
          <w:sz w:val="20"/>
          <w:szCs w:val="20"/>
          <w:color w:val="auto"/>
        </w:rPr>
      </w:pPr>
    </w:p>
    <w:p>
      <w:pPr>
        <w:ind w:firstLine="440"/>
        <w:spacing w:after="0" w:line="277" w:lineRule="auto"/>
        <w:rPr>
          <w:sz w:val="20"/>
          <w:szCs w:val="20"/>
          <w:color w:val="auto"/>
        </w:rPr>
      </w:pPr>
      <w:r>
        <w:rPr>
          <w:rFonts w:ascii="Arial" w:cs="Arial" w:eastAsia="Arial" w:hAnsi="Arial"/>
          <w:sz w:val="18"/>
          <w:szCs w:val="18"/>
          <w:color w:val="auto"/>
        </w:rPr>
        <w:t>Since the QDI rules are complex, you should consult your own tax advisor regarding the availability of the preferential tax rates for dividends paid on common shares.</w:t>
      </w:r>
    </w:p>
    <w:p>
      <w:pPr>
        <w:spacing w:after="0" w:line="170" w:lineRule="exact"/>
        <w:rPr>
          <w:sz w:val="20"/>
          <w:szCs w:val="20"/>
          <w:color w:val="auto"/>
        </w:rPr>
      </w:pPr>
    </w:p>
    <w:p>
      <w:pPr>
        <w:ind w:firstLine="440"/>
        <w:spacing w:after="0" w:line="254" w:lineRule="auto"/>
        <w:rPr>
          <w:sz w:val="20"/>
          <w:szCs w:val="20"/>
          <w:color w:val="auto"/>
        </w:rPr>
      </w:pPr>
      <w:r>
        <w:rPr>
          <w:rFonts w:ascii="Arial" w:cs="Arial" w:eastAsia="Arial" w:hAnsi="Arial"/>
          <w:sz w:val="18"/>
          <w:szCs w:val="18"/>
          <w:i w:val="1"/>
          <w:iCs w:val="1"/>
          <w:color w:val="auto"/>
        </w:rPr>
        <w:t xml:space="preserve">In-Kind Distributions. </w:t>
      </w:r>
      <w:r>
        <w:rPr>
          <w:rFonts w:ascii="Arial" w:cs="Arial" w:eastAsia="Arial" w:hAnsi="Arial"/>
          <w:sz w:val="18"/>
          <w:szCs w:val="18"/>
          <w:color w:val="auto"/>
        </w:rPr>
        <w:t>Generally, distributions to you of new common shares or rights to subscribe for new common shares that are received as</w:t>
      </w:r>
      <w:r>
        <w:rPr>
          <w:rFonts w:ascii="Arial" w:cs="Arial" w:eastAsia="Arial" w:hAnsi="Arial"/>
          <w:sz w:val="18"/>
          <w:szCs w:val="18"/>
          <w:i w:val="1"/>
          <w:iCs w:val="1"/>
          <w:color w:val="auto"/>
        </w:rPr>
        <w:t xml:space="preserve"> </w:t>
      </w:r>
      <w:r>
        <w:rPr>
          <w:rFonts w:ascii="Arial" w:cs="Arial" w:eastAsia="Arial" w:hAnsi="Arial"/>
          <w:sz w:val="18"/>
          <w:szCs w:val="18"/>
          <w:color w:val="auto"/>
        </w:rPr>
        <w:t>part of a pro rata distribution to all of our shareholders will not be subject to U.S. federal income tax. The adjusted tax basis of the new common shares or rights so received will be determined by allocating your adjusted tax basis in the old common shares between the old common shares and the new common shares or rights received, based on their relative fair market values on the date of distribution. However, in the case of a distribution of rights to subscribe for common shares, the adjusted tax basis of the rights will be zero if the fair market value of the rights is less than 15% of the fair market value of the old common shares on the date of distribution and you do not make an election to determine the adjusted tax basis of the rights by allocation as described above. Your holding period for the new common shares or rights should include the holding period for the old common shares on which the distribution was made.</w:t>
      </w:r>
    </w:p>
    <w:p>
      <w:pPr>
        <w:spacing w:after="0" w:line="192" w:lineRule="exact"/>
        <w:rPr>
          <w:sz w:val="20"/>
          <w:szCs w:val="20"/>
          <w:color w:val="auto"/>
        </w:rPr>
      </w:pPr>
    </w:p>
    <w:p>
      <w:pPr>
        <w:ind w:right="460" w:firstLine="440"/>
        <w:spacing w:after="0" w:line="286" w:lineRule="auto"/>
        <w:rPr>
          <w:sz w:val="20"/>
          <w:szCs w:val="20"/>
          <w:color w:val="auto"/>
        </w:rPr>
      </w:pPr>
      <w:r>
        <w:rPr>
          <w:rFonts w:ascii="Arial" w:cs="Arial" w:eastAsia="Arial" w:hAnsi="Arial"/>
          <w:sz w:val="17"/>
          <w:szCs w:val="17"/>
          <w:i w:val="1"/>
          <w:iCs w:val="1"/>
          <w:color w:val="auto"/>
        </w:rPr>
        <w:t xml:space="preserve">Foreign Tax Credits. </w:t>
      </w:r>
      <w:r>
        <w:rPr>
          <w:rFonts w:ascii="Arial" w:cs="Arial" w:eastAsia="Arial" w:hAnsi="Arial"/>
          <w:sz w:val="17"/>
          <w:szCs w:val="17"/>
          <w:color w:val="auto"/>
        </w:rPr>
        <w:t>Subject to certain conditions and limitations, any foreign taxes paid on or withheld from distributions from us and not</w:t>
      </w:r>
      <w:r>
        <w:rPr>
          <w:rFonts w:ascii="Arial" w:cs="Arial" w:eastAsia="Arial" w:hAnsi="Arial"/>
          <w:sz w:val="17"/>
          <w:szCs w:val="17"/>
          <w:i w:val="1"/>
          <w:iCs w:val="1"/>
          <w:color w:val="auto"/>
        </w:rPr>
        <w:t xml:space="preserve"> </w:t>
      </w:r>
      <w:r>
        <w:rPr>
          <w:rFonts w:ascii="Arial" w:cs="Arial" w:eastAsia="Arial" w:hAnsi="Arial"/>
          <w:sz w:val="17"/>
          <w:szCs w:val="17"/>
          <w:color w:val="auto"/>
        </w:rPr>
        <w:t>refundable to you may be credited against your U.S. federal income tax liability or, alternatively, may be deducted from your taxable income. This election is made on a year-by-year basis and applies to all foreign taxes paid by you or withheld from you that year.</w:t>
      </w:r>
    </w:p>
    <w:p>
      <w:pPr>
        <w:spacing w:after="0" w:line="165" w:lineRule="exact"/>
        <w:rPr>
          <w:sz w:val="20"/>
          <w:szCs w:val="20"/>
          <w:color w:val="auto"/>
        </w:rPr>
      </w:pPr>
    </w:p>
    <w:p>
      <w:pPr>
        <w:ind w:right="220" w:firstLine="440"/>
        <w:spacing w:after="0" w:line="259" w:lineRule="auto"/>
        <w:rPr>
          <w:sz w:val="20"/>
          <w:szCs w:val="20"/>
          <w:color w:val="auto"/>
        </w:rPr>
      </w:pPr>
      <w:r>
        <w:rPr>
          <w:rFonts w:ascii="Arial" w:cs="Arial" w:eastAsia="Arial" w:hAnsi="Arial"/>
          <w:sz w:val="18"/>
          <w:szCs w:val="18"/>
          <w:color w:val="auto"/>
        </w:rPr>
        <w:t>Distributions will constitute foreign source income for foreign tax credit limitation purposes. The foreign tax credit limitation is calculated separately with respect to two specific classes of income. For this purpose, distributions characterized as dividends distributed by us are expected to constitute “passive category income” or, in the case of certain U.S. Holders, “general category income.” Special limitations may apply if a dividend is treated as QDI (as defined above).</w:t>
      </w:r>
    </w:p>
    <w:p>
      <w:pPr>
        <w:spacing w:after="0" w:line="187" w:lineRule="exact"/>
        <w:rPr>
          <w:sz w:val="20"/>
          <w:szCs w:val="20"/>
          <w:color w:val="auto"/>
        </w:rPr>
      </w:pPr>
    </w:p>
    <w:p>
      <w:pPr>
        <w:ind w:right="20" w:firstLine="440"/>
        <w:spacing w:after="0" w:line="277" w:lineRule="auto"/>
        <w:rPr>
          <w:sz w:val="20"/>
          <w:szCs w:val="20"/>
          <w:color w:val="auto"/>
        </w:rPr>
      </w:pPr>
      <w:r>
        <w:rPr>
          <w:rFonts w:ascii="Arial" w:cs="Arial" w:eastAsia="Arial" w:hAnsi="Arial"/>
          <w:sz w:val="18"/>
          <w:szCs w:val="18"/>
          <w:color w:val="auto"/>
        </w:rPr>
        <w:t>Since the rules governing foreign tax credits are complex, you should consult your own tax advisor regarding the availability of foreign tax credits in your particular circumstances.</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86</w:t>
      </w:r>
    </w:p>
    <w:p>
      <w:pPr>
        <w:sectPr>
          <w:pgSz w:w="11900" w:h="16838" w:orient="portrait"/>
          <w:cols w:equalWidth="0" w:num="1">
            <w:col w:w="11000"/>
          </w:cols>
          <w:pgMar w:left="440" w:top="274" w:right="459" w:bottom="1440" w:gutter="0" w:footer="0" w:header="0"/>
        </w:sectPr>
      </w:pPr>
    </w:p>
    <w:bookmarkStart w:id="100" w:name="page101"/>
    <w:bookmarkEnd w:id="100"/>
    <w:p>
      <w:pPr>
        <w:ind w:left="440"/>
        <w:spacing w:after="0"/>
        <w:rPr>
          <w:sz w:val="20"/>
          <w:szCs w:val="20"/>
          <w:color w:val="auto"/>
        </w:rPr>
      </w:pPr>
      <w:r>
        <w:rPr>
          <w:rFonts w:ascii="Arial" w:cs="Arial" w:eastAsia="Arial" w:hAnsi="Arial"/>
          <w:sz w:val="18"/>
          <w:szCs w:val="18"/>
          <w:i w:val="1"/>
          <w:i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Dispositions of Common Shares</w:t>
      </w:r>
    </w:p>
    <w:p>
      <w:pPr>
        <w:spacing w:after="0" w:line="117" w:lineRule="exact"/>
        <w:rPr>
          <w:sz w:val="20"/>
          <w:szCs w:val="20"/>
          <w:color w:val="auto"/>
        </w:rPr>
      </w:pPr>
    </w:p>
    <w:p>
      <w:pPr>
        <w:ind w:right="40" w:firstLine="440"/>
        <w:spacing w:after="0" w:line="311" w:lineRule="auto"/>
        <w:rPr>
          <w:sz w:val="20"/>
          <w:szCs w:val="20"/>
          <w:color w:val="auto"/>
        </w:rPr>
      </w:pPr>
      <w:r>
        <w:rPr>
          <w:rFonts w:ascii="Arial" w:cs="Arial" w:eastAsia="Arial" w:hAnsi="Arial"/>
          <w:sz w:val="16"/>
          <w:szCs w:val="16"/>
          <w:color w:val="auto"/>
        </w:rPr>
        <w:t>Subject to the discussion in “—Passive Foreign Investment Company” below, you will recognize taxable gain or loss on the sale or other taxable disposition of common shares equal to the difference between the U.S. dollar value of (i) the amount realized on the disposition (i.e., the amount of cash plus the fair market value of any property received), and (ii) your adjusted tax basis in the common shares. Such gain or loss will be capital gain or loss.</w:t>
      </w:r>
    </w:p>
    <w:p>
      <w:pPr>
        <w:spacing w:after="0" w:line="149" w:lineRule="exact"/>
        <w:rPr>
          <w:sz w:val="20"/>
          <w:szCs w:val="20"/>
          <w:color w:val="auto"/>
        </w:rPr>
      </w:pPr>
    </w:p>
    <w:p>
      <w:pPr>
        <w:ind w:right="120" w:firstLine="440"/>
        <w:spacing w:after="0" w:line="273" w:lineRule="auto"/>
        <w:rPr>
          <w:sz w:val="20"/>
          <w:szCs w:val="20"/>
          <w:color w:val="auto"/>
        </w:rPr>
      </w:pPr>
      <w:r>
        <w:rPr>
          <w:rFonts w:ascii="Arial" w:cs="Arial" w:eastAsia="Arial" w:hAnsi="Arial"/>
          <w:sz w:val="17"/>
          <w:szCs w:val="17"/>
          <w:color w:val="auto"/>
        </w:rPr>
        <w:t>If you have held the common shares for more than one year at the time of disposition, such capital gain or loss will be long-term capital gain or loss. Preferential tax rates for long-term capital gain apply for non-corporate U.S. Holders. The maximum rate for individuals on net long-term capital gain is currently 20%. In the case of a corporation, capital gains are taxed at the same rate as ordinary income, the maximum rate for which is currently 35%. If you have held the common shares for one year or less, such capital gain or loss will be short-term capital gain or loss taxable as ordinary income. The deductibility of capital losses is subject to limitations. In addition, certain U.S. persons, including individuals, estates and trusts, will be subject to an additional 3.8% Medicare tax on capital gain income. See “—Medicare Tax” below.</w:t>
      </w:r>
    </w:p>
    <w:p>
      <w:pPr>
        <w:spacing w:after="0" w:line="178" w:lineRule="exact"/>
        <w:rPr>
          <w:sz w:val="20"/>
          <w:szCs w:val="20"/>
          <w:color w:val="auto"/>
        </w:rPr>
      </w:pPr>
    </w:p>
    <w:p>
      <w:pPr>
        <w:ind w:right="140" w:firstLine="440"/>
        <w:spacing w:after="0" w:line="277" w:lineRule="auto"/>
        <w:rPr>
          <w:sz w:val="20"/>
          <w:szCs w:val="20"/>
          <w:color w:val="auto"/>
        </w:rPr>
      </w:pPr>
      <w:r>
        <w:rPr>
          <w:rFonts w:ascii="Arial" w:cs="Arial" w:eastAsia="Arial" w:hAnsi="Arial"/>
          <w:sz w:val="18"/>
          <w:szCs w:val="18"/>
          <w:color w:val="auto"/>
        </w:rPr>
        <w:t>Any gain or loss recognized on the disposition of common shares is not expected to give rise to foreign source income for U.S. foreign tax credit purposes.</w:t>
      </w:r>
    </w:p>
    <w:p>
      <w:pPr>
        <w:spacing w:after="0" w:line="170" w:lineRule="exact"/>
        <w:rPr>
          <w:sz w:val="20"/>
          <w:szCs w:val="20"/>
          <w:color w:val="auto"/>
        </w:rPr>
      </w:pPr>
    </w:p>
    <w:p>
      <w:pPr>
        <w:ind w:right="40" w:firstLine="440"/>
        <w:spacing w:after="0" w:line="277" w:lineRule="auto"/>
        <w:rPr>
          <w:sz w:val="20"/>
          <w:szCs w:val="20"/>
          <w:color w:val="auto"/>
        </w:rPr>
      </w:pPr>
      <w:r>
        <w:rPr>
          <w:rFonts w:ascii="Arial" w:cs="Arial" w:eastAsia="Arial" w:hAnsi="Arial"/>
          <w:sz w:val="18"/>
          <w:szCs w:val="18"/>
          <w:color w:val="auto"/>
        </w:rPr>
        <w:t>You should consult your own tax advisor regarding the U.S. federal income tax consequences if you receive currency other than U.S. dollars upon the disposition of common shares.</w:t>
      </w:r>
    </w:p>
    <w:p>
      <w:pPr>
        <w:spacing w:after="0" w:line="278"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Passive Foreign Investment Company</w:t>
      </w:r>
    </w:p>
    <w:p>
      <w:pPr>
        <w:spacing w:after="0" w:line="117" w:lineRule="exact"/>
        <w:rPr>
          <w:sz w:val="20"/>
          <w:szCs w:val="20"/>
          <w:color w:val="auto"/>
        </w:rPr>
      </w:pPr>
    </w:p>
    <w:p>
      <w:pPr>
        <w:ind w:firstLine="440"/>
        <w:spacing w:after="0" w:line="296" w:lineRule="auto"/>
        <w:rPr>
          <w:sz w:val="20"/>
          <w:szCs w:val="20"/>
          <w:color w:val="auto"/>
        </w:rPr>
      </w:pPr>
      <w:r>
        <w:rPr>
          <w:rFonts w:ascii="Arial" w:cs="Arial" w:eastAsia="Arial" w:hAnsi="Arial"/>
          <w:sz w:val="16"/>
          <w:szCs w:val="16"/>
          <w:color w:val="auto"/>
        </w:rPr>
        <w:t>We will be a PFIC under Section 1297 of the Code if, for a taxable year, either (a) 75% or more of our gross income for such taxable year is passive income (the “income test”) or (b) 50% or more of the average percentage, generally determined by fair market value, of our assets during such taxable year either produce passive income or are held for the production of passive income (the “asset test”). “Passive income” includes, for example, dividends, interest, certain rents and royalties, certain gains from the sale of stock and securities, and certain gains from commodities transactions. However, rents meeting certain requirements are treated as derived from the conduct of an active trade or business and are not treated as passive income.</w:t>
      </w:r>
    </w:p>
    <w:p>
      <w:pPr>
        <w:spacing w:after="0" w:line="161" w:lineRule="exact"/>
        <w:rPr>
          <w:sz w:val="20"/>
          <w:szCs w:val="20"/>
          <w:color w:val="auto"/>
        </w:rPr>
      </w:pPr>
    </w:p>
    <w:p>
      <w:pPr>
        <w:ind w:right="140" w:firstLine="440"/>
        <w:spacing w:after="0" w:line="275" w:lineRule="auto"/>
        <w:rPr>
          <w:sz w:val="20"/>
          <w:szCs w:val="20"/>
          <w:color w:val="auto"/>
        </w:rPr>
      </w:pPr>
      <w:r>
        <w:rPr>
          <w:rFonts w:ascii="Arial" w:cs="Arial" w:eastAsia="Arial" w:hAnsi="Arial"/>
          <w:sz w:val="17"/>
          <w:szCs w:val="17"/>
          <w:color w:val="auto"/>
        </w:rPr>
        <w:t>Certain “look through” rules apply for purposes of the income and asset tests described above. If we own, directly or indirectly, 25% or more of the total value of the outstanding shares of another corporation, we will be treated as if we (a) held directly a proportionate share of the other corporation’s assets, and (b) received directly a proportionate share of the other corporation’s income. In addition, passive income does not include any interest, dividends, rents, or royalties that are received or accrued by us from a “related person” (as defined in Section 954(d)(3) of the Code), to the extent such items are properly allocable to income of such related person that is not passive income.</w:t>
      </w:r>
    </w:p>
    <w:p>
      <w:pPr>
        <w:spacing w:after="0" w:line="176" w:lineRule="exact"/>
        <w:rPr>
          <w:sz w:val="20"/>
          <w:szCs w:val="20"/>
          <w:color w:val="auto"/>
        </w:rPr>
      </w:pPr>
    </w:p>
    <w:p>
      <w:pPr>
        <w:ind w:right="40" w:firstLine="440"/>
        <w:spacing w:after="0" w:line="289" w:lineRule="auto"/>
        <w:rPr>
          <w:sz w:val="20"/>
          <w:szCs w:val="20"/>
          <w:color w:val="auto"/>
        </w:rPr>
      </w:pPr>
      <w:r>
        <w:rPr>
          <w:rFonts w:ascii="Arial" w:cs="Arial" w:eastAsia="Arial" w:hAnsi="Arial"/>
          <w:sz w:val="16"/>
          <w:szCs w:val="16"/>
          <w:color w:val="auto"/>
        </w:rPr>
        <w:t>Under the income and asset tests, whether or not we are a PFIC will be determined annually based upon the composition of our income and the composition and valuation of our assets, all of which are subject to change. In analyzing whether we should be treated as a PFIC, we are relying on the amount and character of our projected revenues and the amount and character of our projected capital expenditures, the valuation of our assets, and our election to treat certain of our subsidiaries as disregarded entities for U.S. federal income tax purposes. If the amount and character of our actual revenues and capital expenditures do not match our projections, we may be a PFIC. In these calculations, we have valued our intangible assets based on our market capitalization, determined using the market price of our common shares. Such market price may fluctuate. If our market capitalization is less than anticipated or subsequently declines, this will decrease the value of our intangible assets and we may be a PFIC. Furthermore, we have made a number of assumptions regarding the value of our intangible assets. We believe our valuation approach is reasonable. However, it is possible that the IRS could challenge the valuation of our intangible assets, which may result in our being a PFIC.</w:t>
      </w:r>
    </w:p>
    <w:p>
      <w:pPr>
        <w:spacing w:after="0" w:line="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87</w:t>
      </w:r>
    </w:p>
    <w:p>
      <w:pPr>
        <w:sectPr>
          <w:pgSz w:w="11900" w:h="16838" w:orient="portrait"/>
          <w:cols w:equalWidth="0" w:num="1">
            <w:col w:w="11000"/>
          </w:cols>
          <w:pgMar w:left="440" w:top="274" w:right="459" w:bottom="1440" w:gutter="0" w:footer="0" w:header="0"/>
        </w:sectPr>
      </w:pPr>
    </w:p>
    <w:bookmarkStart w:id="101" w:name="page102"/>
    <w:bookmarkEnd w:id="101"/>
    <w:p>
      <w:pPr>
        <w:ind w:right="20" w:firstLine="44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We do not believe that we were a PFIC for our prior taxable year and we intend to conduct our business so that we should not be treated as a PFIC for our current taxable year or any future taxable year. However, because the PFIC determination is highly fact intensive and made at the end of each taxable year, it is possible that we may be a PFIC for the current or any future taxable year or that the IRS may challenge our determination concerning our PFIC status.</w:t>
      </w:r>
    </w:p>
    <w:p>
      <w:pPr>
        <w:spacing w:after="0" w:line="187" w:lineRule="exact"/>
        <w:rPr>
          <w:sz w:val="20"/>
          <w:szCs w:val="20"/>
          <w:color w:val="auto"/>
        </w:rPr>
      </w:pPr>
    </w:p>
    <w:p>
      <w:pPr>
        <w:ind w:right="40" w:firstLine="440"/>
        <w:spacing w:after="0" w:line="257" w:lineRule="auto"/>
        <w:rPr>
          <w:sz w:val="20"/>
          <w:szCs w:val="20"/>
          <w:color w:val="auto"/>
        </w:rPr>
      </w:pPr>
      <w:r>
        <w:rPr>
          <w:rFonts w:ascii="Arial" w:cs="Arial" w:eastAsia="Arial" w:hAnsi="Arial"/>
          <w:sz w:val="18"/>
          <w:szCs w:val="18"/>
          <w:i w:val="1"/>
          <w:iCs w:val="1"/>
          <w:color w:val="auto"/>
        </w:rPr>
        <w:t xml:space="preserve">Default PFIC Rules under Section 1291 of the Code. </w:t>
      </w:r>
      <w:r>
        <w:rPr>
          <w:rFonts w:ascii="Arial" w:cs="Arial" w:eastAsia="Arial" w:hAnsi="Arial"/>
          <w:sz w:val="18"/>
          <w:szCs w:val="18"/>
          <w:color w:val="auto"/>
        </w:rPr>
        <w:t>If we are a PFIC, the U.S. federal income tax consequences to a U.S. Holder of an</w:t>
      </w:r>
      <w:r>
        <w:rPr>
          <w:rFonts w:ascii="Arial" w:cs="Arial" w:eastAsia="Arial" w:hAnsi="Arial"/>
          <w:sz w:val="18"/>
          <w:szCs w:val="18"/>
          <w:i w:val="1"/>
          <w:iCs w:val="1"/>
          <w:color w:val="auto"/>
        </w:rPr>
        <w:t xml:space="preserve"> </w:t>
      </w:r>
      <w:r>
        <w:rPr>
          <w:rFonts w:ascii="Arial" w:cs="Arial" w:eastAsia="Arial" w:hAnsi="Arial"/>
          <w:sz w:val="18"/>
          <w:szCs w:val="18"/>
          <w:color w:val="auto"/>
        </w:rPr>
        <w:t>investment in common shares will depend on whether such U.S. Holder is permitted to make and makes (i) an election to treat us as a qualified electing fund (“QEF”) under Section 1295 of the Code (a “QEF Election”) or (ii) a mark-to-market election under Section 1296 of the Code (a “Mark-to-Market Election”). A U.S. Holder owning common shares while we were or are a PFIC that has not made either a QEF Election or a Mark-to- Market Election will be referred to in this summary as a “Non-Electing U.S. Holder.”</w:t>
      </w:r>
    </w:p>
    <w:p>
      <w:pPr>
        <w:spacing w:after="0" w:line="18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If you are a Non-Electing U.S. Holder, you will be subject to the default tax rules of Section 1291 of the Code with respect to:</w:t>
      </w:r>
    </w:p>
    <w:p>
      <w:pPr>
        <w:spacing w:after="0" w:line="131" w:lineRule="exact"/>
        <w:rPr>
          <w:sz w:val="20"/>
          <w:szCs w:val="20"/>
          <w:color w:val="auto"/>
        </w:rPr>
      </w:pPr>
    </w:p>
    <w:p>
      <w:pPr>
        <w:ind w:left="960" w:right="20" w:hanging="532"/>
        <w:spacing w:after="0" w:line="263" w:lineRule="auto"/>
        <w:tabs>
          <w:tab w:leader="none" w:pos="960" w:val="left"/>
        </w:tabs>
        <w:numPr>
          <w:ilvl w:val="0"/>
          <w:numId w:val="80"/>
        </w:numPr>
        <w:rPr>
          <w:rFonts w:ascii="Arial" w:cs="Arial" w:eastAsia="Arial" w:hAnsi="Arial"/>
          <w:sz w:val="18"/>
          <w:szCs w:val="18"/>
          <w:color w:val="auto"/>
        </w:rPr>
      </w:pPr>
      <w:r>
        <w:rPr>
          <w:rFonts w:ascii="Arial" w:cs="Arial" w:eastAsia="Arial" w:hAnsi="Arial"/>
          <w:sz w:val="18"/>
          <w:szCs w:val="18"/>
          <w:color w:val="auto"/>
        </w:rPr>
        <w:t>any “excess distribution” paid on common shares, which means the excess (if any) of the total distributions received by you during the current taxable year over 125% of the average distributions received by you during the three preceding taxable years (or during the portion of your holding period for the common shares prior to the current taxable year, if shorter); and</w:t>
      </w:r>
    </w:p>
    <w:p>
      <w:pPr>
        <w:spacing w:after="0" w:line="89" w:lineRule="exact"/>
        <w:rPr>
          <w:rFonts w:ascii="Arial" w:cs="Arial" w:eastAsia="Arial" w:hAnsi="Arial"/>
          <w:sz w:val="18"/>
          <w:szCs w:val="18"/>
          <w:color w:val="auto"/>
        </w:rPr>
      </w:pPr>
    </w:p>
    <w:p>
      <w:pPr>
        <w:ind w:left="960" w:hanging="532"/>
        <w:spacing w:after="0"/>
        <w:tabs>
          <w:tab w:leader="none" w:pos="960" w:val="left"/>
        </w:tabs>
        <w:numPr>
          <w:ilvl w:val="0"/>
          <w:numId w:val="80"/>
        </w:numPr>
        <w:rPr>
          <w:rFonts w:ascii="Arial" w:cs="Arial" w:eastAsia="Arial" w:hAnsi="Arial"/>
          <w:sz w:val="18"/>
          <w:szCs w:val="18"/>
          <w:color w:val="auto"/>
        </w:rPr>
      </w:pPr>
      <w:r>
        <w:rPr>
          <w:rFonts w:ascii="Arial" w:cs="Arial" w:eastAsia="Arial" w:hAnsi="Arial"/>
          <w:sz w:val="18"/>
          <w:szCs w:val="18"/>
          <w:color w:val="auto"/>
        </w:rPr>
        <w:t>any gain recognized on the sale or other taxable disposition (including a pledge) of common shares.</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Under these default tax rules:</w:t>
      </w:r>
    </w:p>
    <w:p>
      <w:pPr>
        <w:spacing w:after="0" w:line="131" w:lineRule="exact"/>
        <w:rPr>
          <w:sz w:val="20"/>
          <w:szCs w:val="20"/>
          <w:color w:val="auto"/>
        </w:rPr>
      </w:pPr>
    </w:p>
    <w:p>
      <w:pPr>
        <w:ind w:left="960" w:hanging="532"/>
        <w:spacing w:after="0"/>
        <w:tabs>
          <w:tab w:leader="none" w:pos="960" w:val="left"/>
        </w:tabs>
        <w:numPr>
          <w:ilvl w:val="0"/>
          <w:numId w:val="81"/>
        </w:numPr>
        <w:rPr>
          <w:rFonts w:ascii="Arial" w:cs="Arial" w:eastAsia="Arial" w:hAnsi="Arial"/>
          <w:sz w:val="18"/>
          <w:szCs w:val="18"/>
          <w:color w:val="auto"/>
        </w:rPr>
      </w:pPr>
      <w:r>
        <w:rPr>
          <w:rFonts w:ascii="Arial" w:cs="Arial" w:eastAsia="Arial" w:hAnsi="Arial"/>
          <w:sz w:val="18"/>
          <w:szCs w:val="18"/>
          <w:color w:val="auto"/>
        </w:rPr>
        <w:t>any excess distribution or gain will be allocated ratably over your holding period for the common shares;</w:t>
      </w:r>
    </w:p>
    <w:p>
      <w:pPr>
        <w:spacing w:after="0" w:line="130" w:lineRule="exact"/>
        <w:rPr>
          <w:rFonts w:ascii="Arial" w:cs="Arial" w:eastAsia="Arial" w:hAnsi="Arial"/>
          <w:sz w:val="18"/>
          <w:szCs w:val="18"/>
          <w:color w:val="auto"/>
        </w:rPr>
      </w:pPr>
    </w:p>
    <w:p>
      <w:pPr>
        <w:ind w:left="960" w:right="80" w:hanging="532"/>
        <w:spacing w:after="0" w:line="277" w:lineRule="auto"/>
        <w:tabs>
          <w:tab w:leader="none" w:pos="960" w:val="left"/>
        </w:tabs>
        <w:numPr>
          <w:ilvl w:val="0"/>
          <w:numId w:val="81"/>
        </w:numPr>
        <w:rPr>
          <w:rFonts w:ascii="Arial" w:cs="Arial" w:eastAsia="Arial" w:hAnsi="Arial"/>
          <w:sz w:val="18"/>
          <w:szCs w:val="18"/>
          <w:color w:val="auto"/>
        </w:rPr>
      </w:pPr>
      <w:r>
        <w:rPr>
          <w:rFonts w:ascii="Arial" w:cs="Arial" w:eastAsia="Arial" w:hAnsi="Arial"/>
          <w:sz w:val="18"/>
          <w:szCs w:val="18"/>
          <w:color w:val="auto"/>
        </w:rPr>
        <w:t>the amount allocated to the current taxable year and any period prior to the first day of the first taxable year in which we were a PFIC will be treated as ordinary income in the current year;</w:t>
      </w:r>
    </w:p>
    <w:p>
      <w:pPr>
        <w:spacing w:after="0" w:line="75" w:lineRule="exact"/>
        <w:rPr>
          <w:rFonts w:ascii="Arial" w:cs="Arial" w:eastAsia="Arial" w:hAnsi="Arial"/>
          <w:sz w:val="18"/>
          <w:szCs w:val="18"/>
          <w:color w:val="auto"/>
        </w:rPr>
      </w:pPr>
    </w:p>
    <w:p>
      <w:pPr>
        <w:ind w:left="960" w:right="160" w:hanging="532"/>
        <w:spacing w:after="0" w:line="277" w:lineRule="auto"/>
        <w:tabs>
          <w:tab w:leader="none" w:pos="960" w:val="left"/>
        </w:tabs>
        <w:numPr>
          <w:ilvl w:val="0"/>
          <w:numId w:val="81"/>
        </w:numPr>
        <w:rPr>
          <w:rFonts w:ascii="Arial" w:cs="Arial" w:eastAsia="Arial" w:hAnsi="Arial"/>
          <w:sz w:val="18"/>
          <w:szCs w:val="18"/>
          <w:color w:val="auto"/>
        </w:rPr>
      </w:pPr>
      <w:r>
        <w:rPr>
          <w:rFonts w:ascii="Arial" w:cs="Arial" w:eastAsia="Arial" w:hAnsi="Arial"/>
          <w:sz w:val="18"/>
          <w:szCs w:val="18"/>
          <w:color w:val="auto"/>
        </w:rPr>
        <w:t>the amount allocated to each of the other years will be treated as ordinary income and taxed at the highest applicable tax rate in effect for that year; and</w:t>
      </w:r>
    </w:p>
    <w:p>
      <w:pPr>
        <w:spacing w:after="0" w:line="75" w:lineRule="exact"/>
        <w:rPr>
          <w:rFonts w:ascii="Arial" w:cs="Arial" w:eastAsia="Arial" w:hAnsi="Arial"/>
          <w:sz w:val="18"/>
          <w:szCs w:val="18"/>
          <w:color w:val="auto"/>
        </w:rPr>
      </w:pPr>
    </w:p>
    <w:p>
      <w:pPr>
        <w:ind w:left="960" w:hanging="532"/>
        <w:spacing w:after="0"/>
        <w:tabs>
          <w:tab w:leader="none" w:pos="960" w:val="left"/>
        </w:tabs>
        <w:numPr>
          <w:ilvl w:val="0"/>
          <w:numId w:val="81"/>
        </w:numPr>
        <w:rPr>
          <w:rFonts w:ascii="Arial" w:cs="Arial" w:eastAsia="Arial" w:hAnsi="Arial"/>
          <w:sz w:val="18"/>
          <w:szCs w:val="18"/>
          <w:color w:val="auto"/>
        </w:rPr>
      </w:pPr>
      <w:r>
        <w:rPr>
          <w:rFonts w:ascii="Arial" w:cs="Arial" w:eastAsia="Arial" w:hAnsi="Arial"/>
          <w:sz w:val="18"/>
          <w:szCs w:val="18"/>
          <w:color w:val="auto"/>
        </w:rPr>
        <w:t>the resulting tax liability from any such prior years will be subject to the interest charge applicable to underpayments of tax.</w:t>
      </w:r>
    </w:p>
    <w:p>
      <w:pPr>
        <w:spacing w:after="0" w:line="225" w:lineRule="exact"/>
        <w:rPr>
          <w:sz w:val="20"/>
          <w:szCs w:val="20"/>
          <w:color w:val="auto"/>
        </w:rPr>
      </w:pPr>
    </w:p>
    <w:p>
      <w:pPr>
        <w:ind w:right="360" w:firstLine="440"/>
        <w:spacing w:after="0" w:line="263" w:lineRule="auto"/>
        <w:rPr>
          <w:sz w:val="20"/>
          <w:szCs w:val="20"/>
          <w:color w:val="auto"/>
        </w:rPr>
      </w:pPr>
      <w:r>
        <w:rPr>
          <w:rFonts w:ascii="Arial" w:cs="Arial" w:eastAsia="Arial" w:hAnsi="Arial"/>
          <w:sz w:val="18"/>
          <w:szCs w:val="18"/>
          <w:color w:val="auto"/>
        </w:rPr>
        <w:t>In addition, notwithstanding any election you may make, dividends that you receive from us will not be eligible for the preferential tax rates applicable to QDI (as discussed above in “—Distributions on Common Shares”) if we are a PFIC either in the taxable year of the distribution or the preceding taxable year, but will instead be taxable at rates applicable to ordinary income.</w:t>
      </w:r>
    </w:p>
    <w:p>
      <w:pPr>
        <w:spacing w:after="0" w:line="184" w:lineRule="exact"/>
        <w:rPr>
          <w:sz w:val="20"/>
          <w:szCs w:val="20"/>
          <w:color w:val="auto"/>
        </w:rPr>
      </w:pPr>
    </w:p>
    <w:p>
      <w:pPr>
        <w:ind w:right="20" w:firstLine="440"/>
        <w:spacing w:after="0" w:line="277" w:lineRule="auto"/>
        <w:rPr>
          <w:sz w:val="20"/>
          <w:szCs w:val="20"/>
          <w:color w:val="auto"/>
        </w:rPr>
      </w:pPr>
      <w:r>
        <w:rPr>
          <w:rFonts w:ascii="Arial" w:cs="Arial" w:eastAsia="Arial" w:hAnsi="Arial"/>
          <w:sz w:val="18"/>
          <w:szCs w:val="18"/>
          <w:color w:val="auto"/>
        </w:rPr>
        <w:t>Special rules for Non-Electing U.S. Holders will apply to determine U.S. foreign tax credits with respect to foreign taxes imposed on distributions on common shares.</w:t>
      </w:r>
    </w:p>
    <w:p>
      <w:pPr>
        <w:spacing w:after="0" w:line="170" w:lineRule="exact"/>
        <w:rPr>
          <w:sz w:val="20"/>
          <w:szCs w:val="20"/>
          <w:color w:val="auto"/>
        </w:rPr>
      </w:pPr>
    </w:p>
    <w:p>
      <w:pPr>
        <w:ind w:right="160" w:firstLine="440"/>
        <w:spacing w:after="0" w:line="277" w:lineRule="auto"/>
        <w:rPr>
          <w:sz w:val="20"/>
          <w:szCs w:val="20"/>
          <w:color w:val="auto"/>
        </w:rPr>
      </w:pPr>
      <w:r>
        <w:rPr>
          <w:rFonts w:ascii="Arial" w:cs="Arial" w:eastAsia="Arial" w:hAnsi="Arial"/>
          <w:sz w:val="18"/>
          <w:szCs w:val="18"/>
          <w:color w:val="auto"/>
        </w:rPr>
        <w:t>If we are a PFIC for any taxable year during which you hold common shares, we will continue to be treated as a PFIC with respect to you for all succeeding years during which you hold common shares, regardless of whether we actually continue to be a PFIC.</w:t>
      </w:r>
    </w:p>
    <w:p>
      <w:pPr>
        <w:spacing w:after="0" w:line="170" w:lineRule="exact"/>
        <w:rPr>
          <w:sz w:val="20"/>
          <w:szCs w:val="20"/>
          <w:color w:val="auto"/>
        </w:rPr>
      </w:pPr>
    </w:p>
    <w:p>
      <w:pPr>
        <w:ind w:firstLine="440"/>
        <w:spacing w:after="0" w:line="277" w:lineRule="auto"/>
        <w:rPr>
          <w:sz w:val="20"/>
          <w:szCs w:val="20"/>
          <w:color w:val="auto"/>
        </w:rPr>
      </w:pPr>
      <w:r>
        <w:rPr>
          <w:rFonts w:ascii="Arial" w:cs="Arial" w:eastAsia="Arial" w:hAnsi="Arial"/>
          <w:sz w:val="18"/>
          <w:szCs w:val="18"/>
          <w:i w:val="1"/>
          <w:iCs w:val="1"/>
          <w:color w:val="auto"/>
        </w:rPr>
        <w:t xml:space="preserve">QEF Election. </w:t>
      </w:r>
      <w:r>
        <w:rPr>
          <w:rFonts w:ascii="Arial" w:cs="Arial" w:eastAsia="Arial" w:hAnsi="Arial"/>
          <w:sz w:val="18"/>
          <w:szCs w:val="18"/>
          <w:color w:val="auto"/>
        </w:rPr>
        <w:t>We currently do not intend to prepare or provide you with certain tax information that would permit you to make a QEF Election to</w:t>
      </w:r>
      <w:r>
        <w:rPr>
          <w:rFonts w:ascii="Arial" w:cs="Arial" w:eastAsia="Arial" w:hAnsi="Arial"/>
          <w:sz w:val="18"/>
          <w:szCs w:val="18"/>
          <w:i w:val="1"/>
          <w:iCs w:val="1"/>
          <w:color w:val="auto"/>
        </w:rPr>
        <w:t xml:space="preserve"> </w:t>
      </w:r>
      <w:r>
        <w:rPr>
          <w:rFonts w:ascii="Arial" w:cs="Arial" w:eastAsia="Arial" w:hAnsi="Arial"/>
          <w:sz w:val="18"/>
          <w:szCs w:val="18"/>
          <w:color w:val="auto"/>
        </w:rPr>
        <w:t>avoid the adverse tax consequences associated with owning PFIC stock.</w:t>
      </w:r>
    </w:p>
    <w:p>
      <w:pPr>
        <w:spacing w:after="0" w:line="170" w:lineRule="exact"/>
        <w:rPr>
          <w:sz w:val="20"/>
          <w:szCs w:val="20"/>
          <w:color w:val="auto"/>
        </w:rPr>
      </w:pPr>
    </w:p>
    <w:p>
      <w:pPr>
        <w:ind w:right="80" w:firstLine="440"/>
        <w:spacing w:after="0" w:line="259" w:lineRule="auto"/>
        <w:rPr>
          <w:sz w:val="20"/>
          <w:szCs w:val="20"/>
          <w:color w:val="auto"/>
        </w:rPr>
      </w:pPr>
      <w:r>
        <w:rPr>
          <w:rFonts w:ascii="Arial" w:cs="Arial" w:eastAsia="Arial" w:hAnsi="Arial"/>
          <w:sz w:val="18"/>
          <w:szCs w:val="18"/>
          <w:i w:val="1"/>
          <w:iCs w:val="1"/>
          <w:color w:val="auto"/>
        </w:rPr>
        <w:t xml:space="preserve">Mark-to-Market Election. </w:t>
      </w:r>
      <w:r>
        <w:rPr>
          <w:rFonts w:ascii="Arial" w:cs="Arial" w:eastAsia="Arial" w:hAnsi="Arial"/>
          <w:sz w:val="18"/>
          <w:szCs w:val="18"/>
          <w:color w:val="auto"/>
        </w:rPr>
        <w:t>U.S. Holders may make a Mark-to-Market Election, but only if the common shares are marketable stock. The common</w:t>
      </w:r>
      <w:r>
        <w:rPr>
          <w:rFonts w:ascii="Arial" w:cs="Arial" w:eastAsia="Arial" w:hAnsi="Arial"/>
          <w:sz w:val="18"/>
          <w:szCs w:val="18"/>
          <w:i w:val="1"/>
          <w:iCs w:val="1"/>
          <w:color w:val="auto"/>
        </w:rPr>
        <w:t xml:space="preserve"> </w:t>
      </w:r>
      <w:r>
        <w:rPr>
          <w:rFonts w:ascii="Arial" w:cs="Arial" w:eastAsia="Arial" w:hAnsi="Arial"/>
          <w:sz w:val="18"/>
          <w:szCs w:val="18"/>
          <w:color w:val="auto"/>
        </w:rPr>
        <w:t xml:space="preserve">shares will be “marketable stock” as long as they remain listed on the NYSE and are regularly traded. Shares are “regularly traded” for any calendar year during which it is traded (other than in </w:t>
      </w:r>
      <w:r>
        <w:rPr>
          <w:rFonts w:ascii="Arial" w:cs="Arial" w:eastAsia="Arial" w:hAnsi="Arial"/>
          <w:sz w:val="18"/>
          <w:szCs w:val="18"/>
          <w:i w:val="1"/>
          <w:iCs w:val="1"/>
          <w:color w:val="auto"/>
        </w:rPr>
        <w:t>de minimis</w:t>
      </w:r>
      <w:r>
        <w:rPr>
          <w:rFonts w:ascii="Arial" w:cs="Arial" w:eastAsia="Arial" w:hAnsi="Arial"/>
          <w:sz w:val="18"/>
          <w:szCs w:val="18"/>
          <w:color w:val="auto"/>
        </w:rPr>
        <w:t xml:space="preserve"> quantities) on at least fifteen days during each calendar quarter. There can be no assurances, however, that our common shares will be treated, or continue to be treated, as regularly traded.</w:t>
      </w:r>
    </w:p>
    <w:p>
      <w:pPr>
        <w:spacing w:after="0" w:line="1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88</w:t>
      </w:r>
    </w:p>
    <w:p>
      <w:pPr>
        <w:sectPr>
          <w:pgSz w:w="11900" w:h="16838" w:orient="portrait"/>
          <w:cols w:equalWidth="0" w:num="1">
            <w:col w:w="10980"/>
          </w:cols>
          <w:pgMar w:left="440" w:top="274" w:right="479" w:bottom="1440" w:gutter="0" w:footer="0" w:header="0"/>
        </w:sectPr>
      </w:pPr>
    </w:p>
    <w:bookmarkStart w:id="102" w:name="page103"/>
    <w:bookmarkEnd w:id="102"/>
    <w:p>
      <w:pPr>
        <w:ind w:firstLine="440"/>
        <w:spacing w:after="0" w:line="30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If you make a Mark-to-Market Election, you generally will not be subject to the default rules of Section 1291 of the Code discussed above. Rather, you will be required to recognize ordinary income for any increase in the fair market value of the common shares for each taxable year that we are a PFIC. You will also be allowed to deduct as an ordinary loss any decrease in the fair market value to the extent of net marked-to-market gain previously included in prior years. Your adjusted tax basis in the common shares will be adjusted to reflect the amount included or deducted.</w:t>
      </w:r>
    </w:p>
    <w:p>
      <w:pPr>
        <w:spacing w:after="0" w:line="157" w:lineRule="exact"/>
        <w:rPr>
          <w:sz w:val="20"/>
          <w:szCs w:val="20"/>
          <w:color w:val="auto"/>
        </w:rPr>
      </w:pPr>
    </w:p>
    <w:p>
      <w:pPr>
        <w:ind w:right="220" w:firstLine="440"/>
        <w:spacing w:after="0" w:line="263" w:lineRule="auto"/>
        <w:rPr>
          <w:sz w:val="20"/>
          <w:szCs w:val="20"/>
          <w:color w:val="auto"/>
        </w:rPr>
      </w:pPr>
      <w:r>
        <w:rPr>
          <w:rFonts w:ascii="Arial" w:cs="Arial" w:eastAsia="Arial" w:hAnsi="Arial"/>
          <w:sz w:val="18"/>
          <w:szCs w:val="18"/>
          <w:color w:val="auto"/>
        </w:rPr>
        <w:t>The Mark-to-Market Election will be effective for the taxable year for which the election is made and all subsequent taxable years, unless the common shares cease to be marketable stock or the IRS consents to the revocation of the election. You should consult your own tax advisor regarding the availability of, and procedure for making, a Mark-to-Market Election.</w:t>
      </w:r>
    </w:p>
    <w:p>
      <w:pPr>
        <w:spacing w:after="0" w:line="184" w:lineRule="exact"/>
        <w:rPr>
          <w:sz w:val="20"/>
          <w:szCs w:val="20"/>
          <w:color w:val="auto"/>
        </w:rPr>
      </w:pPr>
    </w:p>
    <w:p>
      <w:pPr>
        <w:ind w:right="160" w:firstLine="440"/>
        <w:spacing w:after="0" w:line="277" w:lineRule="auto"/>
        <w:rPr>
          <w:sz w:val="20"/>
          <w:szCs w:val="20"/>
          <w:color w:val="auto"/>
        </w:rPr>
      </w:pPr>
      <w:r>
        <w:rPr>
          <w:rFonts w:ascii="Arial" w:cs="Arial" w:eastAsia="Arial" w:hAnsi="Arial"/>
          <w:sz w:val="18"/>
          <w:szCs w:val="18"/>
          <w:color w:val="auto"/>
        </w:rPr>
        <w:t>Since the PFIC rules are complex, you should consult your own tax advisor regarding them and how they may affect the U.S. federal income tax consequences of an investment in common shares.</w:t>
      </w:r>
    </w:p>
    <w:p>
      <w:pPr>
        <w:spacing w:after="0" w:line="278"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Medicare Tax</w:t>
      </w:r>
    </w:p>
    <w:p>
      <w:pPr>
        <w:spacing w:after="0" w:line="117" w:lineRule="exact"/>
        <w:rPr>
          <w:sz w:val="20"/>
          <w:szCs w:val="20"/>
          <w:color w:val="auto"/>
        </w:rPr>
      </w:pPr>
    </w:p>
    <w:p>
      <w:pPr>
        <w:ind w:right="180" w:firstLine="440"/>
        <w:spacing w:after="0" w:line="293" w:lineRule="auto"/>
        <w:rPr>
          <w:sz w:val="20"/>
          <w:szCs w:val="20"/>
          <w:color w:val="auto"/>
        </w:rPr>
      </w:pPr>
      <w:r>
        <w:rPr>
          <w:rFonts w:ascii="Arial" w:cs="Arial" w:eastAsia="Arial" w:hAnsi="Arial"/>
          <w:sz w:val="16"/>
          <w:szCs w:val="16"/>
          <w:color w:val="auto"/>
        </w:rPr>
        <w:t>Certain U.S. persons, including individuals, estates and trusts, may be required to pay an additional 3.8% on, among other things, dividends and capital gains from the sale or disposition of Common Shares. For individuals, the additional Medicare tax applies to the lesser of (i) “net investment income” or (ii) the excess of “modified adjusted gross income” over $200,000 ($250,000 if married and filing jointly or $125,000 if married and filing separately). “Net investment income” generally equals the taxpayer’s gross investment income reduced by the deductions that are allocable to such income. U.S. Holders likely will not be able to credit foreign taxes against the 3.8% Medicare tax. You should consult your tax advisors regarding the implications of the additional Medicare tax resulting from your ownership and disposition of our common shares.</w:t>
      </w:r>
    </w:p>
    <w:p>
      <w:pPr>
        <w:spacing w:after="0" w:line="272"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Information Reporting and Backup Withholding</w:t>
      </w:r>
    </w:p>
    <w:p>
      <w:pPr>
        <w:spacing w:after="0" w:line="117" w:lineRule="exact"/>
        <w:rPr>
          <w:sz w:val="20"/>
          <w:szCs w:val="20"/>
          <w:color w:val="auto"/>
        </w:rPr>
      </w:pPr>
    </w:p>
    <w:p>
      <w:pPr>
        <w:ind w:right="120" w:firstLine="440"/>
        <w:spacing w:after="0" w:line="255" w:lineRule="auto"/>
        <w:rPr>
          <w:sz w:val="20"/>
          <w:szCs w:val="20"/>
          <w:color w:val="auto"/>
        </w:rPr>
      </w:pPr>
      <w:r>
        <w:rPr>
          <w:rFonts w:ascii="Arial" w:cs="Arial" w:eastAsia="Arial" w:hAnsi="Arial"/>
          <w:sz w:val="18"/>
          <w:szCs w:val="18"/>
          <w:color w:val="auto"/>
        </w:rPr>
        <w:t>Information reporting requirements will apply to distributions on common shares or proceeds from the disposition of common shares paid within the U.S. (and, in certain cases, outside the U.S.) to a U.S. Holder unless such U.S. Holder is an exempt recipient, such as a corporation. Furthermore, backup withholding (currently at 28%) may apply to such amounts unless such U.S. Holder (i) is an exempt recipient that, if required, establishes its right to an exemption, or (ii) provides its taxpayer identification number, certifies that it is not currently subject to backup withholding, and complies with other applicable requirements. A U.S. Holder may avoid backup withholding if it furnishes a properly completed IRS Form W-9 and is able to make the required certifications.</w:t>
      </w:r>
    </w:p>
    <w:p>
      <w:pPr>
        <w:spacing w:after="0" w:line="192" w:lineRule="exact"/>
        <w:rPr>
          <w:sz w:val="20"/>
          <w:szCs w:val="20"/>
          <w:color w:val="auto"/>
        </w:rPr>
      </w:pPr>
    </w:p>
    <w:p>
      <w:pPr>
        <w:jc w:val="both"/>
        <w:ind w:right="300" w:firstLine="440"/>
        <w:spacing w:after="0" w:line="263" w:lineRule="auto"/>
        <w:rPr>
          <w:sz w:val="20"/>
          <w:szCs w:val="20"/>
          <w:color w:val="auto"/>
        </w:rPr>
      </w:pPr>
      <w:r>
        <w:rPr>
          <w:rFonts w:ascii="Arial" w:cs="Arial" w:eastAsia="Arial" w:hAnsi="Arial"/>
          <w:sz w:val="18"/>
          <w:szCs w:val="18"/>
          <w:color w:val="auto"/>
        </w:rPr>
        <w:t>Backup withholding is not an additional tax. Rather, amounts withheld under the backup withholding rules may be credited against your U.S. federal income tax liability. Furthermore, you may obtain a refund of any excess amounts withheld by filing an appropriate claim for refund with the IRS and furnishing any required information in a timely manner.</w:t>
      </w:r>
    </w:p>
    <w:p>
      <w:pPr>
        <w:spacing w:after="0" w:line="292"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Information Reporting Regarding PFICs and Specified Foreign Financial Assets</w:t>
      </w:r>
    </w:p>
    <w:p>
      <w:pPr>
        <w:spacing w:after="0" w:line="117" w:lineRule="exact"/>
        <w:rPr>
          <w:sz w:val="20"/>
          <w:szCs w:val="20"/>
          <w:color w:val="auto"/>
        </w:rPr>
      </w:pPr>
    </w:p>
    <w:p>
      <w:pPr>
        <w:ind w:left="440"/>
        <w:spacing w:after="0"/>
        <w:rPr>
          <w:sz w:val="20"/>
          <w:szCs w:val="20"/>
          <w:color w:val="auto"/>
        </w:rPr>
      </w:pPr>
      <w:r>
        <w:rPr>
          <w:rFonts w:ascii="Arial" w:cs="Arial" w:eastAsia="Arial" w:hAnsi="Arial"/>
          <w:sz w:val="16"/>
          <w:szCs w:val="16"/>
          <w:color w:val="auto"/>
        </w:rPr>
        <w:t>If we are a PFIC, all U.S. Holders may be required to file annual tax returns (including on Form 8621) containing such information as the U.S.</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Treasury requires.</w:t>
      </w:r>
    </w:p>
    <w:p>
      <w:pPr>
        <w:spacing w:after="0" w:line="211" w:lineRule="exact"/>
        <w:rPr>
          <w:sz w:val="20"/>
          <w:szCs w:val="20"/>
          <w:color w:val="auto"/>
        </w:rPr>
      </w:pPr>
    </w:p>
    <w:p>
      <w:pPr>
        <w:ind w:right="160" w:firstLine="440"/>
        <w:spacing w:after="0" w:line="311" w:lineRule="auto"/>
        <w:rPr>
          <w:sz w:val="20"/>
          <w:szCs w:val="20"/>
          <w:color w:val="auto"/>
        </w:rPr>
      </w:pPr>
      <w:r>
        <w:rPr>
          <w:rFonts w:ascii="Arial" w:cs="Arial" w:eastAsia="Arial" w:hAnsi="Arial"/>
          <w:sz w:val="16"/>
          <w:szCs w:val="16"/>
          <w:color w:val="auto"/>
        </w:rPr>
        <w:t>U.S. Holders who are individuals will be subject to reporting obligations with respect to their common shares if they do not hold their common shares in an account maintained by a financial institution and the aggregate value of their common shares and certain other “specified foreign financial assets” exceeds $50,000. Significant penalties can apply if a U.S. Holder is required to disclose its common shares under these rules and fails to do so.</w:t>
      </w:r>
    </w:p>
    <w:p>
      <w:pPr>
        <w:spacing w:after="0" w:line="149" w:lineRule="exact"/>
        <w:rPr>
          <w:sz w:val="20"/>
          <w:szCs w:val="20"/>
          <w:color w:val="auto"/>
        </w:rPr>
      </w:pPr>
    </w:p>
    <w:p>
      <w:pPr>
        <w:jc w:val="both"/>
        <w:ind w:right="100" w:firstLine="440"/>
        <w:spacing w:after="0" w:line="263" w:lineRule="auto"/>
        <w:rPr>
          <w:sz w:val="20"/>
          <w:szCs w:val="20"/>
          <w:color w:val="auto"/>
        </w:rPr>
      </w:pPr>
      <w:r>
        <w:rPr>
          <w:rFonts w:ascii="Arial" w:cs="Arial" w:eastAsia="Arial" w:hAnsi="Arial"/>
          <w:sz w:val="18"/>
          <w:szCs w:val="18"/>
          <w:color w:val="auto"/>
        </w:rPr>
        <w:t>In the event a U.S. Holder does not file the information reports described above relating to ownership of a PFIC or disclosure of specified foreign financial assets, the statute of limitations on the assessment and collection of U.S. federal income taxes of such U.S. holder for the related tax year will not close before such report is filed.</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89</w:t>
      </w:r>
    </w:p>
    <w:p>
      <w:pPr>
        <w:sectPr>
          <w:pgSz w:w="11900" w:h="16838" w:orient="portrait"/>
          <w:cols w:equalWidth="0" w:num="1">
            <w:col w:w="11000"/>
          </w:cols>
          <w:pgMar w:left="440" w:top="274" w:right="459" w:bottom="1440" w:gutter="0" w:footer="0" w:header="0"/>
        </w:sectPr>
      </w:pPr>
    </w:p>
    <w:bookmarkStart w:id="103" w:name="page104"/>
    <w:bookmarkEnd w:id="103"/>
    <w:p>
      <w:pPr>
        <w:ind w:left="4" w:right="120" w:firstLine="440"/>
        <w:spacing w:after="0" w:line="30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If you are a U.S. Holder, you are urged to consult with your own tax advisor regarding the application of the PFIC and specified foreign financial assets information reporting requirements and related statute of limitations tolling provisions with respect to our common shares.</w:t>
      </w:r>
    </w:p>
    <w:p>
      <w:pPr>
        <w:spacing w:after="0" w:line="250" w:lineRule="exact"/>
        <w:rPr>
          <w:sz w:val="20"/>
          <w:szCs w:val="20"/>
          <w:color w:val="auto"/>
        </w:rPr>
      </w:pPr>
    </w:p>
    <w:p>
      <w:pPr>
        <w:ind w:left="444"/>
        <w:spacing w:after="0"/>
        <w:rPr>
          <w:sz w:val="20"/>
          <w:szCs w:val="20"/>
          <w:color w:val="auto"/>
        </w:rPr>
      </w:pPr>
      <w:r>
        <w:rPr>
          <w:rFonts w:ascii="Arial" w:cs="Arial" w:eastAsia="Arial" w:hAnsi="Arial"/>
          <w:sz w:val="18"/>
          <w:szCs w:val="18"/>
          <w:b w:val="1"/>
          <w:bCs w:val="1"/>
          <w:color w:val="auto"/>
        </w:rPr>
        <w:t>Taxation of Non-U.S. Holders</w:t>
      </w:r>
    </w:p>
    <w:p>
      <w:pPr>
        <w:spacing w:after="0" w:line="121" w:lineRule="exact"/>
        <w:rPr>
          <w:sz w:val="20"/>
          <w:szCs w:val="20"/>
          <w:color w:val="auto"/>
        </w:rPr>
      </w:pPr>
    </w:p>
    <w:p>
      <w:pPr>
        <w:ind w:left="444"/>
        <w:spacing w:after="0"/>
        <w:rPr>
          <w:sz w:val="20"/>
          <w:szCs w:val="20"/>
          <w:color w:val="auto"/>
        </w:rPr>
      </w:pPr>
      <w:r>
        <w:rPr>
          <w:rFonts w:ascii="Arial" w:cs="Arial" w:eastAsia="Arial" w:hAnsi="Arial"/>
          <w:sz w:val="18"/>
          <w:szCs w:val="18"/>
          <w:i w:val="1"/>
          <w:iCs w:val="1"/>
          <w:color w:val="auto"/>
        </w:rPr>
        <w:t>Distributions on Common Shares</w:t>
      </w:r>
    </w:p>
    <w:p>
      <w:pPr>
        <w:spacing w:after="0" w:line="117" w:lineRule="exact"/>
        <w:rPr>
          <w:sz w:val="20"/>
          <w:szCs w:val="20"/>
          <w:color w:val="auto"/>
        </w:rPr>
      </w:pPr>
    </w:p>
    <w:p>
      <w:pPr>
        <w:ind w:left="4" w:firstLine="440"/>
        <w:spacing w:after="0" w:line="259" w:lineRule="auto"/>
        <w:rPr>
          <w:sz w:val="20"/>
          <w:szCs w:val="20"/>
          <w:color w:val="auto"/>
        </w:rPr>
      </w:pPr>
      <w:r>
        <w:rPr>
          <w:rFonts w:ascii="Arial" w:cs="Arial" w:eastAsia="Arial" w:hAnsi="Arial"/>
          <w:sz w:val="18"/>
          <w:szCs w:val="18"/>
          <w:color w:val="auto"/>
        </w:rPr>
        <w:t>Subject to the discussion in “—Information Reporting and Backup Withholding” below, as a Non-U.S. Holder, you generally will not be subject to U.S. federal income tax, including withholding tax, on distributions received on common shares, unless the distributions are effectively connected with a trade or business that you conduct in the U.S. and (if an applicable income tax treaty so requires) attributable to a permanent establishment that you maintain in the U.S.</w:t>
      </w:r>
    </w:p>
    <w:p>
      <w:pPr>
        <w:spacing w:after="0" w:line="187" w:lineRule="exact"/>
        <w:rPr>
          <w:sz w:val="20"/>
          <w:szCs w:val="20"/>
          <w:color w:val="auto"/>
        </w:rPr>
      </w:pPr>
    </w:p>
    <w:p>
      <w:pPr>
        <w:ind w:left="4" w:right="120" w:firstLine="440"/>
        <w:spacing w:after="0" w:line="279" w:lineRule="auto"/>
        <w:rPr>
          <w:sz w:val="20"/>
          <w:szCs w:val="20"/>
          <w:color w:val="auto"/>
        </w:rPr>
      </w:pPr>
      <w:r>
        <w:rPr>
          <w:rFonts w:ascii="Arial" w:cs="Arial" w:eastAsia="Arial" w:hAnsi="Arial"/>
          <w:sz w:val="17"/>
          <w:szCs w:val="17"/>
          <w:color w:val="auto"/>
        </w:rPr>
        <w:t>If distributions are effectively connected with a U.S. trade or business and (if applicable) attributable to a U.S. permanent establishment, you will be subject to tax on such distributions in the same manner as a U.S. Holder, as described in “Taxation of U.S. Holders – Distributions on Common Shares” above. In addition, any such distributions received by a corporate Non-U.S. Holder may also, under certain circumstances, be subject to an additional “branch profits tax” at a 30% rate or such lower rate as may be specified by an applicable income tax treaty.</w:t>
      </w:r>
    </w:p>
    <w:p>
      <w:pPr>
        <w:spacing w:after="0" w:line="279" w:lineRule="exact"/>
        <w:rPr>
          <w:sz w:val="20"/>
          <w:szCs w:val="20"/>
          <w:color w:val="auto"/>
        </w:rPr>
      </w:pPr>
    </w:p>
    <w:p>
      <w:pPr>
        <w:ind w:left="444"/>
        <w:spacing w:after="0"/>
        <w:rPr>
          <w:sz w:val="20"/>
          <w:szCs w:val="20"/>
          <w:color w:val="auto"/>
        </w:rPr>
      </w:pPr>
      <w:r>
        <w:rPr>
          <w:rFonts w:ascii="Arial" w:cs="Arial" w:eastAsia="Arial" w:hAnsi="Arial"/>
          <w:sz w:val="18"/>
          <w:szCs w:val="18"/>
          <w:i w:val="1"/>
          <w:iCs w:val="1"/>
          <w:color w:val="auto"/>
        </w:rPr>
        <w:t>Dispositions of Common Shares</w:t>
      </w:r>
    </w:p>
    <w:p>
      <w:pPr>
        <w:spacing w:after="0" w:line="117" w:lineRule="exact"/>
        <w:rPr>
          <w:sz w:val="20"/>
          <w:szCs w:val="20"/>
          <w:color w:val="auto"/>
        </w:rPr>
      </w:pPr>
    </w:p>
    <w:p>
      <w:pPr>
        <w:ind w:left="4" w:firstLine="440"/>
        <w:spacing w:after="0" w:line="257" w:lineRule="auto"/>
        <w:rPr>
          <w:sz w:val="20"/>
          <w:szCs w:val="20"/>
          <w:color w:val="auto"/>
        </w:rPr>
      </w:pPr>
      <w:r>
        <w:rPr>
          <w:rFonts w:ascii="Arial" w:cs="Arial" w:eastAsia="Arial" w:hAnsi="Arial"/>
          <w:sz w:val="18"/>
          <w:szCs w:val="18"/>
          <w:color w:val="auto"/>
        </w:rPr>
        <w:t>Subject to the discussion in “—Information Reporting and Backup Withholding” below, as a Non-U.S. Holder, you generally will not be subject to U.S. federal income tax, including withholding tax, on any gain recognized on a sale or other taxable disposition of common shares, unless (i) the gain is effectively connected with a trade or business that you conduct in the U.S. and (if an applicable income tax treaty so requires) attributable to a permanent establishment that you maintain in the U.S., or (ii) you are an individual and are present in the U.S. for at least 183 days in the taxable year of the disposition, and certain other conditions are met.</w:t>
      </w:r>
    </w:p>
    <w:p>
      <w:pPr>
        <w:spacing w:after="0" w:line="188" w:lineRule="exact"/>
        <w:rPr>
          <w:sz w:val="20"/>
          <w:szCs w:val="20"/>
          <w:color w:val="auto"/>
        </w:rPr>
      </w:pPr>
    </w:p>
    <w:p>
      <w:pPr>
        <w:ind w:left="4" w:right="160" w:firstLine="440"/>
        <w:spacing w:after="0" w:line="279" w:lineRule="auto"/>
        <w:rPr>
          <w:sz w:val="20"/>
          <w:szCs w:val="20"/>
          <w:color w:val="auto"/>
        </w:rPr>
      </w:pPr>
      <w:r>
        <w:rPr>
          <w:rFonts w:ascii="Arial" w:cs="Arial" w:eastAsia="Arial" w:hAnsi="Arial"/>
          <w:sz w:val="17"/>
          <w:szCs w:val="17"/>
          <w:color w:val="auto"/>
        </w:rPr>
        <w:t>If you meet the test in clause (i) above, you generally will be subject to tax on any gain that is effectively connected with your conduct of a trade or business in the U.S. in the same manner as a U.S. Holder, as described in “Taxation of U.S. Holders – Dispositions of Common Shares” above. Effectively connected gain realized by a corporate Non-U.S. Holder may also, under certain circumstances, be subject to an additional “branch profits tax” at a 30% rate or such lower rate as may be specified by an applicable income tax treaty.</w:t>
      </w:r>
    </w:p>
    <w:p>
      <w:pPr>
        <w:spacing w:after="0" w:line="171" w:lineRule="exact"/>
        <w:rPr>
          <w:sz w:val="20"/>
          <w:szCs w:val="20"/>
          <w:color w:val="auto"/>
        </w:rPr>
      </w:pPr>
    </w:p>
    <w:p>
      <w:pPr>
        <w:ind w:left="4" w:right="240" w:firstLine="440"/>
        <w:spacing w:after="0" w:line="277" w:lineRule="auto"/>
        <w:rPr>
          <w:sz w:val="20"/>
          <w:szCs w:val="20"/>
          <w:color w:val="auto"/>
        </w:rPr>
      </w:pPr>
      <w:r>
        <w:rPr>
          <w:rFonts w:ascii="Arial" w:cs="Arial" w:eastAsia="Arial" w:hAnsi="Arial"/>
          <w:sz w:val="18"/>
          <w:szCs w:val="18"/>
          <w:color w:val="auto"/>
        </w:rPr>
        <w:t>If you meet the test in clause (ii) above, you generally will be subject to tax at a 30% rate on the amount by which your U.S. source capital gain exceeds your U.S. source capital loss during the taxable year.</w:t>
      </w:r>
    </w:p>
    <w:p>
      <w:pPr>
        <w:spacing w:after="0" w:line="278" w:lineRule="exact"/>
        <w:rPr>
          <w:sz w:val="20"/>
          <w:szCs w:val="20"/>
          <w:color w:val="auto"/>
        </w:rPr>
      </w:pPr>
    </w:p>
    <w:p>
      <w:pPr>
        <w:ind w:left="444"/>
        <w:spacing w:after="0"/>
        <w:rPr>
          <w:sz w:val="20"/>
          <w:szCs w:val="20"/>
          <w:color w:val="auto"/>
        </w:rPr>
      </w:pPr>
      <w:r>
        <w:rPr>
          <w:rFonts w:ascii="Arial" w:cs="Arial" w:eastAsia="Arial" w:hAnsi="Arial"/>
          <w:sz w:val="18"/>
          <w:szCs w:val="18"/>
          <w:i w:val="1"/>
          <w:iCs w:val="1"/>
          <w:color w:val="auto"/>
        </w:rPr>
        <w:t>Information Reporting and Backup Withholding</w:t>
      </w:r>
    </w:p>
    <w:p>
      <w:pPr>
        <w:spacing w:after="0" w:line="117" w:lineRule="exact"/>
        <w:rPr>
          <w:sz w:val="20"/>
          <w:szCs w:val="20"/>
          <w:color w:val="auto"/>
        </w:rPr>
      </w:pPr>
    </w:p>
    <w:p>
      <w:pPr>
        <w:ind w:left="4" w:right="300" w:firstLine="440"/>
        <w:spacing w:after="0" w:line="263" w:lineRule="auto"/>
        <w:rPr>
          <w:sz w:val="20"/>
          <w:szCs w:val="20"/>
          <w:color w:val="auto"/>
        </w:rPr>
      </w:pPr>
      <w:r>
        <w:rPr>
          <w:rFonts w:ascii="Arial" w:cs="Arial" w:eastAsia="Arial" w:hAnsi="Arial"/>
          <w:sz w:val="18"/>
          <w:szCs w:val="18"/>
          <w:color w:val="auto"/>
        </w:rPr>
        <w:t>Payments to Non-U.S. Holders of distributions on, or proceeds from the disposition of, common shares are generally exempt from information reporting and backup withholding. However, a Non-U.S. Holder may be required to establish that exemption by providing certification of non-U.S. status on an appropriate IRS Form W-8.</w:t>
      </w:r>
    </w:p>
    <w:p>
      <w:pPr>
        <w:spacing w:after="0" w:line="184" w:lineRule="exact"/>
        <w:rPr>
          <w:sz w:val="20"/>
          <w:szCs w:val="20"/>
          <w:color w:val="auto"/>
        </w:rPr>
      </w:pPr>
    </w:p>
    <w:p>
      <w:pPr>
        <w:jc w:val="both"/>
        <w:ind w:left="4" w:right="300" w:firstLine="440"/>
        <w:spacing w:after="0" w:line="263" w:lineRule="auto"/>
        <w:rPr>
          <w:sz w:val="20"/>
          <w:szCs w:val="20"/>
          <w:color w:val="auto"/>
        </w:rPr>
      </w:pPr>
      <w:r>
        <w:rPr>
          <w:rFonts w:ascii="Arial" w:cs="Arial" w:eastAsia="Arial" w:hAnsi="Arial"/>
          <w:sz w:val="18"/>
          <w:szCs w:val="18"/>
          <w:color w:val="auto"/>
        </w:rPr>
        <w:t>Backup withholding is not an additional tax. Rather, amounts withheld under the backup withholding rules may be credited against your U.S. federal income tax liability. Furthermore, you may obtain a refund of any excess amounts withheld by filing an appropriate claim for refund with the IRS and furnishing any required information in a timely manner.</w:t>
      </w:r>
    </w:p>
    <w:p>
      <w:pPr>
        <w:spacing w:after="0" w:line="328" w:lineRule="exact"/>
        <w:rPr>
          <w:sz w:val="20"/>
          <w:szCs w:val="20"/>
          <w:color w:val="auto"/>
        </w:rPr>
      </w:pPr>
    </w:p>
    <w:p>
      <w:pPr>
        <w:ind w:left="444" w:right="8320" w:hanging="444"/>
        <w:spacing w:after="0" w:line="401" w:lineRule="auto"/>
        <w:tabs>
          <w:tab w:leader="none" w:pos="436" w:val="left"/>
        </w:tabs>
        <w:numPr>
          <w:ilvl w:val="0"/>
          <w:numId w:val="8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Dividends and Paying Agents </w:t>
      </w:r>
      <w:r>
        <w:rPr>
          <w:rFonts w:ascii="Arial" w:cs="Arial" w:eastAsia="Arial" w:hAnsi="Arial"/>
          <w:sz w:val="18"/>
          <w:szCs w:val="18"/>
          <w:color w:val="auto"/>
        </w:rPr>
        <w:t>Not applicable.</w:t>
      </w:r>
    </w:p>
    <w:p>
      <w:pPr>
        <w:spacing w:after="0" w:line="1"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90</w:t>
      </w:r>
    </w:p>
    <w:p>
      <w:pPr>
        <w:sectPr>
          <w:pgSz w:w="11900" w:h="16838" w:orient="portrait"/>
          <w:cols w:equalWidth="0" w:num="1">
            <w:col w:w="11004"/>
          </w:cols>
          <w:pgMar w:left="436" w:top="274" w:right="459" w:bottom="1440" w:gutter="0" w:footer="0" w:header="0"/>
        </w:sectPr>
      </w:pPr>
    </w:p>
    <w:bookmarkStart w:id="104" w:name="page105"/>
    <w:bookmarkEnd w:id="104"/>
    <w:p>
      <w:pPr>
        <w:ind w:left="444" w:right="8920" w:hanging="444"/>
        <w:spacing w:after="0" w:line="488" w:lineRule="auto"/>
        <w:tabs>
          <w:tab w:leader="none" w:pos="436" w:val="left"/>
        </w:tabs>
        <w:numPr>
          <w:ilvl w:val="0"/>
          <w:numId w:val="83"/>
        </w:numPr>
        <w:rPr>
          <w:rFonts w:ascii="Arial" w:cs="Arial" w:eastAsia="Arial" w:hAnsi="Arial"/>
          <w:sz w:val="16"/>
          <w:szCs w:val="16"/>
          <w:b w:val="1"/>
          <w:bCs w:val="1"/>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Statement by Experts </w:t>
      </w:r>
      <w:r>
        <w:rPr>
          <w:rFonts w:ascii="Arial" w:cs="Arial" w:eastAsia="Arial" w:hAnsi="Arial"/>
          <w:sz w:val="16"/>
          <w:szCs w:val="16"/>
          <w:color w:val="auto"/>
        </w:rPr>
        <w:t>Not applicable.</w:t>
      </w:r>
    </w:p>
    <w:p>
      <w:pPr>
        <w:spacing w:after="0" w:line="156" w:lineRule="exact"/>
        <w:rPr>
          <w:rFonts w:ascii="Arial" w:cs="Arial" w:eastAsia="Arial" w:hAnsi="Arial"/>
          <w:sz w:val="16"/>
          <w:szCs w:val="16"/>
          <w:b w:val="1"/>
          <w:bCs w:val="1"/>
          <w:color w:val="auto"/>
        </w:rPr>
      </w:pPr>
    </w:p>
    <w:p>
      <w:pPr>
        <w:ind w:left="424" w:hanging="424"/>
        <w:spacing w:after="0"/>
        <w:tabs>
          <w:tab w:leader="none" w:pos="424" w:val="left"/>
        </w:tabs>
        <w:numPr>
          <w:ilvl w:val="0"/>
          <w:numId w:val="83"/>
        </w:numPr>
        <w:rPr>
          <w:rFonts w:ascii="Arial" w:cs="Arial" w:eastAsia="Arial" w:hAnsi="Arial"/>
          <w:sz w:val="18"/>
          <w:szCs w:val="18"/>
          <w:b w:val="1"/>
          <w:bCs w:val="1"/>
          <w:color w:val="auto"/>
        </w:rPr>
      </w:pPr>
      <w:r>
        <w:rPr>
          <w:rFonts w:ascii="Arial" w:cs="Arial" w:eastAsia="Arial" w:hAnsi="Arial"/>
          <w:sz w:val="18"/>
          <w:szCs w:val="18"/>
          <w:b w:val="1"/>
          <w:bCs w:val="1"/>
          <w:color w:val="auto"/>
        </w:rPr>
        <w:t>Documents on Display</w:t>
      </w:r>
    </w:p>
    <w:p>
      <w:pPr>
        <w:spacing w:after="0" w:line="121" w:lineRule="exact"/>
        <w:rPr>
          <w:sz w:val="20"/>
          <w:szCs w:val="20"/>
          <w:color w:val="auto"/>
        </w:rPr>
      </w:pPr>
    </w:p>
    <w:p>
      <w:pPr>
        <w:ind w:left="4" w:firstLine="440"/>
        <w:spacing w:after="0" w:line="254" w:lineRule="auto"/>
        <w:rPr>
          <w:sz w:val="20"/>
          <w:szCs w:val="20"/>
          <w:color w:val="auto"/>
        </w:rPr>
      </w:pPr>
      <w:r>
        <w:rPr>
          <w:rFonts w:ascii="Arial" w:cs="Arial" w:eastAsia="Arial" w:hAnsi="Arial"/>
          <w:sz w:val="18"/>
          <w:szCs w:val="18"/>
          <w:color w:val="auto"/>
        </w:rPr>
        <w:t>Whenever a reference is made in this Annual Report on Form 20-F to any contract, agreement or other document, the reference may not be complete, and you should refer to the copy of that contract, agreement or other document filed as an exhibit to one of our previous SEC filings. You can read our SEC filings over the Internet at the SEC’s website at http://www.sec.gov. You may also read and copy any document we file with the SEC at its public reference facilities at 100 F Street N.E., Washington, D.C. 20549. You may also obtain copies of these documents at prescribed rates by writing to the Public Reference Section of the SEC at 100 F Street N.E., Washington, D.C. 20549. Please call the SEC at 1-800-SEC-0330 for further information on the operation of the public reference facilities. Copies of reports and other information may also be inspected in the offices of the NYSE, 20 Broad Street, New York, New York 10005.</w:t>
      </w:r>
    </w:p>
    <w:p>
      <w:pPr>
        <w:spacing w:after="0" w:line="339" w:lineRule="exact"/>
        <w:rPr>
          <w:sz w:val="20"/>
          <w:szCs w:val="20"/>
          <w:color w:val="auto"/>
        </w:rPr>
      </w:pPr>
    </w:p>
    <w:p>
      <w:pPr>
        <w:ind w:left="444" w:right="8760" w:hanging="444"/>
        <w:spacing w:after="0" w:line="488" w:lineRule="auto"/>
        <w:tabs>
          <w:tab w:leader="none" w:pos="436" w:val="left"/>
        </w:tabs>
        <w:numPr>
          <w:ilvl w:val="0"/>
          <w:numId w:val="84"/>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Subsidiary Information </w:t>
      </w:r>
      <w:r>
        <w:rPr>
          <w:rFonts w:ascii="Arial" w:cs="Arial" w:eastAsia="Arial" w:hAnsi="Arial"/>
          <w:sz w:val="16"/>
          <w:szCs w:val="16"/>
          <w:color w:val="auto"/>
        </w:rPr>
        <w:t>Not applicable.</w:t>
      </w:r>
    </w:p>
    <w:p>
      <w:pPr>
        <w:spacing w:after="0" w:line="156" w:lineRule="exact"/>
        <w:rPr>
          <w:sz w:val="20"/>
          <w:szCs w:val="20"/>
          <w:color w:val="auto"/>
        </w:rPr>
      </w:pPr>
    </w:p>
    <w:p>
      <w:pPr>
        <w:ind w:left="4"/>
        <w:spacing w:after="0"/>
        <w:tabs>
          <w:tab w:leader="none" w:pos="1064" w:val="left"/>
        </w:tabs>
        <w:rPr>
          <w:sz w:val="20"/>
          <w:szCs w:val="20"/>
          <w:color w:val="auto"/>
        </w:rPr>
      </w:pPr>
      <w:r>
        <w:rPr>
          <w:rFonts w:ascii="Arial" w:cs="Arial" w:eastAsia="Arial" w:hAnsi="Arial"/>
          <w:sz w:val="18"/>
          <w:szCs w:val="18"/>
          <w:b w:val="1"/>
          <w:bCs w:val="1"/>
          <w:color w:val="auto"/>
        </w:rPr>
        <w:t>ITEM 11.</w:t>
      </w:r>
      <w:r>
        <w:rPr>
          <w:sz w:val="20"/>
          <w:szCs w:val="20"/>
          <w:color w:val="auto"/>
        </w:rPr>
        <w:tab/>
      </w:r>
      <w:r>
        <w:rPr>
          <w:rFonts w:ascii="Arial" w:cs="Arial" w:eastAsia="Arial" w:hAnsi="Arial"/>
          <w:sz w:val="18"/>
          <w:szCs w:val="18"/>
          <w:b w:val="1"/>
          <w:bCs w:val="1"/>
          <w:color w:val="auto"/>
        </w:rPr>
        <w:t>QUANTITATIVE AND QUALITATIVE DISCLOSURES ABOUT MARKET RISK</w:t>
      </w:r>
    </w:p>
    <w:p>
      <w:pPr>
        <w:spacing w:after="0" w:line="121" w:lineRule="exact"/>
        <w:rPr>
          <w:sz w:val="20"/>
          <w:szCs w:val="20"/>
          <w:color w:val="auto"/>
        </w:rPr>
      </w:pPr>
    </w:p>
    <w:p>
      <w:pPr>
        <w:ind w:left="4" w:right="280" w:firstLine="440"/>
        <w:spacing w:after="0" w:line="263" w:lineRule="auto"/>
        <w:rPr>
          <w:sz w:val="20"/>
          <w:szCs w:val="20"/>
          <w:color w:val="auto"/>
        </w:rPr>
      </w:pPr>
      <w:r>
        <w:rPr>
          <w:rFonts w:ascii="Arial" w:cs="Arial" w:eastAsia="Arial" w:hAnsi="Arial"/>
          <w:sz w:val="18"/>
          <w:szCs w:val="18"/>
          <w:color w:val="auto"/>
        </w:rPr>
        <w:t>Market risk represents the risk of changes in value of a financial instrument, derivative or non-derivative, caused by fluctuations in foreign exchange rates and interest rates. Changes in these factors could cause fluctuations in our results of operations and cash flows. We are exposed to the market risks described below.</w:t>
      </w:r>
    </w:p>
    <w:p>
      <w:pPr>
        <w:spacing w:after="0" w:line="184" w:lineRule="exact"/>
        <w:rPr>
          <w:sz w:val="20"/>
          <w:szCs w:val="20"/>
          <w:color w:val="auto"/>
        </w:rPr>
      </w:pPr>
    </w:p>
    <w:p>
      <w:pPr>
        <w:ind w:left="4" w:right="60" w:firstLine="440"/>
        <w:spacing w:after="0" w:line="257" w:lineRule="auto"/>
        <w:rPr>
          <w:sz w:val="20"/>
          <w:szCs w:val="20"/>
          <w:color w:val="auto"/>
        </w:rPr>
      </w:pPr>
      <w:r>
        <w:rPr>
          <w:rFonts w:ascii="Arial" w:cs="Arial" w:eastAsia="Arial" w:hAnsi="Arial"/>
          <w:sz w:val="18"/>
          <w:szCs w:val="18"/>
          <w:b w:val="1"/>
          <w:bCs w:val="1"/>
          <w:i w:val="1"/>
          <w:iCs w:val="1"/>
          <w:color w:val="auto"/>
        </w:rPr>
        <w:t xml:space="preserve">Foreign Exchange Rate Risk. </w:t>
      </w:r>
      <w:r>
        <w:rPr>
          <w:rFonts w:ascii="Arial" w:cs="Arial" w:eastAsia="Arial" w:hAnsi="Arial"/>
          <w:sz w:val="18"/>
          <w:szCs w:val="18"/>
          <w:color w:val="auto"/>
        </w:rPr>
        <w:t>Although we have significant foreign-based operations, the U.S. dollar is our primary operating currency. Thus,</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substantially all of our revenue and the majority of our expenses in 2020, 2019 and 2018 were denominated in U.S. dollars. During 2020, 2019 and 2018, 28%, 23% and 21%, respectively, of our direct container expenses – owned fleet were paid in up to 20 different foreign currencies, respectively. We do not hedge these container expenses as there are no significant payments made in any one foreign currency. Foreign exchange fluctuations did not materially impact our financial results in those periods.</w:t>
      </w:r>
    </w:p>
    <w:p>
      <w:pPr>
        <w:spacing w:after="0" w:line="188" w:lineRule="exact"/>
        <w:rPr>
          <w:sz w:val="20"/>
          <w:szCs w:val="20"/>
          <w:color w:val="auto"/>
        </w:rPr>
      </w:pPr>
    </w:p>
    <w:p>
      <w:pPr>
        <w:ind w:left="4" w:right="60" w:firstLine="440"/>
        <w:spacing w:after="0" w:line="342" w:lineRule="auto"/>
        <w:rPr>
          <w:sz w:val="20"/>
          <w:szCs w:val="20"/>
          <w:color w:val="auto"/>
        </w:rPr>
      </w:pPr>
      <w:r>
        <w:rPr>
          <w:rFonts w:ascii="Arial" w:cs="Arial" w:eastAsia="Arial" w:hAnsi="Arial"/>
          <w:sz w:val="16"/>
          <w:szCs w:val="16"/>
          <w:b w:val="1"/>
          <w:bCs w:val="1"/>
          <w:i w:val="1"/>
          <w:iCs w:val="1"/>
          <w:color w:val="auto"/>
        </w:rPr>
        <w:t xml:space="preserve">Interest Rate Risk. </w:t>
      </w:r>
      <w:r>
        <w:rPr>
          <w:rFonts w:ascii="Arial" w:cs="Arial" w:eastAsia="Arial" w:hAnsi="Arial"/>
          <w:sz w:val="16"/>
          <w:szCs w:val="16"/>
          <w:color w:val="auto"/>
        </w:rPr>
        <w:t>We have entered into various interest rate swap, and cap agreements to mitigate our exposure associated with our variable rate</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debt. The swap agreements involve payments by us to counterparties at fixed rates in return for receipts based upon variable rates indexed to LIBOR.</w:t>
      </w:r>
    </w:p>
    <w:p>
      <w:pPr>
        <w:spacing w:after="0" w:line="124" w:lineRule="exact"/>
        <w:rPr>
          <w:sz w:val="20"/>
          <w:szCs w:val="20"/>
          <w:color w:val="auto"/>
        </w:rPr>
      </w:pPr>
    </w:p>
    <w:p>
      <w:pPr>
        <w:ind w:left="4" w:right="100" w:firstLine="440"/>
        <w:spacing w:after="0" w:line="273" w:lineRule="auto"/>
        <w:rPr>
          <w:sz w:val="20"/>
          <w:szCs w:val="20"/>
          <w:color w:val="auto"/>
        </w:rPr>
      </w:pPr>
      <w:r>
        <w:rPr>
          <w:rFonts w:ascii="Arial" w:cs="Arial" w:eastAsia="Arial" w:hAnsi="Arial"/>
          <w:sz w:val="17"/>
          <w:szCs w:val="17"/>
          <w:color w:val="auto"/>
        </w:rPr>
        <w:t>As of December 31, 2020 and 2019, certain of our interest rate swap agreements are designated as cash flow hedges for accounting purposes, and any unrealized gains or losses related to the changes in fair value are recognized in accumulated comprehensive income and re-classed to interest expense as they are realized. As of December 31, 2018, none of the derivative instruments we have entered into qualify for hedge accounting. The fair value of the derivative instruments not designated as cash flow hedges are measured at each of these balance sheet dates and the change in fair value is recorded in the consolidated statements of operations as unrealized gain (loss) on derivative instruments, net and reclassified to realized gain (loss) on derivative instruments, net as they are realized.</w:t>
      </w:r>
    </w:p>
    <w:p>
      <w:pPr>
        <w:spacing w:after="0" w:line="178" w:lineRule="exact"/>
        <w:rPr>
          <w:sz w:val="20"/>
          <w:szCs w:val="20"/>
          <w:color w:val="auto"/>
        </w:rPr>
      </w:pPr>
    </w:p>
    <w:p>
      <w:pPr>
        <w:ind w:left="4" w:firstLine="440"/>
        <w:spacing w:after="0" w:line="296" w:lineRule="auto"/>
        <w:rPr>
          <w:sz w:val="20"/>
          <w:szCs w:val="20"/>
          <w:color w:val="auto"/>
        </w:rPr>
      </w:pPr>
      <w:r>
        <w:rPr>
          <w:rFonts w:ascii="Arial" w:cs="Arial" w:eastAsia="Arial" w:hAnsi="Arial"/>
          <w:sz w:val="16"/>
          <w:szCs w:val="16"/>
          <w:color w:val="auto"/>
        </w:rPr>
        <w:t>We utilize a fair value hierarchy that prioritizes the inputs to valuation techniques used to measure fair value into three broad levels. This hierarchy prioritizes the inputs into three broad levels as follows: Level 1 inputs which are observable inputs such as quoted prices (unadjusted) in active markets for identical assets or liabilities; Level 2 inputs which are inputs other than quoted prices that are observable for the asset or liability, either directly or indirectly, which include quoted prices for similar assets or liabilities in active markets and quoted prices for identical or similar assets or liabilities in markets that are not active; and Level 3 inputs which are unobservable inputs that reflect the reporting entity’s own assumptions.</w:t>
      </w:r>
    </w:p>
    <w:p>
      <w:pPr>
        <w:spacing w:after="0" w:line="94"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91</w:t>
      </w:r>
    </w:p>
    <w:p>
      <w:pPr>
        <w:sectPr>
          <w:pgSz w:w="11900" w:h="16838" w:orient="portrait"/>
          <w:cols w:equalWidth="0" w:num="1">
            <w:col w:w="11004"/>
          </w:cols>
          <w:pgMar w:left="436" w:top="270" w:right="459" w:bottom="1440" w:gutter="0" w:footer="0" w:header="0"/>
        </w:sectPr>
      </w:pPr>
    </w:p>
    <w:bookmarkStart w:id="105" w:name="page106"/>
    <w:bookmarkEnd w:id="105"/>
    <w:p>
      <w:pPr>
        <w:ind w:firstLine="440"/>
        <w:spacing w:after="0" w:line="29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We use the exchange price notion, which is the price in an orderly transaction between market participants to sell an asset or transfer a liability in the market in which the reporting entity would transact for the asset or liability, that is, the principal or most advantageous market for the asset or liability. The transaction to sell the asset or transfer the liability is a hypothetical transaction at the measurement date, considered from the perspective of a market participant that holds the asset or owes the liability. Therefore, the definition focuses on the price that would be received to sell the asset or paid to transfer the liability (an exit price), not the price that would be paid to acquire the asset or received to assume the liability (an entry price).</w:t>
      </w:r>
    </w:p>
    <w:p>
      <w:pPr>
        <w:spacing w:after="0" w:line="161" w:lineRule="exact"/>
        <w:rPr>
          <w:sz w:val="20"/>
          <w:szCs w:val="20"/>
          <w:color w:val="auto"/>
        </w:rPr>
      </w:pPr>
    </w:p>
    <w:p>
      <w:pPr>
        <w:ind w:right="100" w:firstLine="440"/>
        <w:spacing w:after="0" w:line="263" w:lineRule="auto"/>
        <w:rPr>
          <w:sz w:val="20"/>
          <w:szCs w:val="20"/>
          <w:color w:val="auto"/>
        </w:rPr>
      </w:pPr>
      <w:r>
        <w:rPr>
          <w:rFonts w:ascii="Arial" w:cs="Arial" w:eastAsia="Arial" w:hAnsi="Arial"/>
          <w:sz w:val="18"/>
          <w:szCs w:val="18"/>
          <w:color w:val="auto"/>
        </w:rPr>
        <w:t>Our liability valuation reflects our credit standing and the credit standing of the counterparties to the interest rate swaps and caps. The valuation technique we utilized to calculate the fair value of the interest rate swaps and caps was the income approach. This approach represents the present value of future cash flows based upon current market expectations.</w:t>
      </w:r>
    </w:p>
    <w:p>
      <w:pPr>
        <w:spacing w:after="0" w:line="184" w:lineRule="exact"/>
        <w:rPr>
          <w:sz w:val="20"/>
          <w:szCs w:val="20"/>
          <w:color w:val="auto"/>
        </w:rPr>
      </w:pPr>
    </w:p>
    <w:p>
      <w:pPr>
        <w:jc w:val="both"/>
        <w:ind w:right="60" w:firstLine="440"/>
        <w:spacing w:after="0" w:line="263" w:lineRule="auto"/>
        <w:rPr>
          <w:sz w:val="20"/>
          <w:szCs w:val="20"/>
          <w:color w:val="auto"/>
        </w:rPr>
      </w:pPr>
      <w:r>
        <w:rPr>
          <w:rFonts w:ascii="Arial" w:cs="Arial" w:eastAsia="Arial" w:hAnsi="Arial"/>
          <w:sz w:val="18"/>
          <w:szCs w:val="18"/>
          <w:color w:val="auto"/>
        </w:rPr>
        <w:t>The notional amount of the interest rate swap agreements was $1,304,250 as of December 31, 2020, with expiration dates between April 2021 and April 2027. We pay fixed rates between 0.17% and 2.94% under the interest rate swap agreements. The net fair value of these agreements was a liability of $29,235 and an asset of $47 as of December 31, 2020.</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6"/>
          <w:szCs w:val="16"/>
          <w:color w:val="auto"/>
        </w:rPr>
        <w:t>We have one interest rate cap agreement which has a notional amount of $30,000 as of December 31, 2020, with expiration date in December</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2021.</w:t>
      </w:r>
    </w:p>
    <w:p>
      <w:pPr>
        <w:spacing w:after="0" w:line="211" w:lineRule="exact"/>
        <w:rPr>
          <w:sz w:val="20"/>
          <w:szCs w:val="20"/>
          <w:color w:val="auto"/>
        </w:rPr>
      </w:pPr>
    </w:p>
    <w:p>
      <w:pPr>
        <w:jc w:val="both"/>
        <w:ind w:right="140" w:firstLine="440"/>
        <w:spacing w:after="0" w:line="263" w:lineRule="auto"/>
        <w:rPr>
          <w:sz w:val="20"/>
          <w:szCs w:val="20"/>
          <w:color w:val="auto"/>
        </w:rPr>
      </w:pPr>
      <w:r>
        <w:rPr>
          <w:rFonts w:ascii="Arial" w:cs="Arial" w:eastAsia="Arial" w:hAnsi="Arial"/>
          <w:sz w:val="18"/>
          <w:szCs w:val="18"/>
          <w:color w:val="auto"/>
        </w:rPr>
        <w:t>Based on the average debt balances and the notional amounts of our derivative instruments for the year ended December 31, 2020, it is estimated that a 1% increase in interest rates would result in a net increase of $8,009 in interest expense and realized gain on derivative instruments, net. It would also result in an increase in the fair value of derivative instruments, net of $8,299.</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Quantitative and Qualitative Disclosures About Credit Risk</w:t>
      </w:r>
    </w:p>
    <w:p>
      <w:pPr>
        <w:spacing w:after="0" w:line="121" w:lineRule="exact"/>
        <w:rPr>
          <w:sz w:val="20"/>
          <w:szCs w:val="20"/>
          <w:color w:val="auto"/>
        </w:rPr>
      </w:pPr>
    </w:p>
    <w:p>
      <w:pPr>
        <w:ind w:right="180" w:firstLine="440"/>
        <w:spacing w:after="0" w:line="271" w:lineRule="auto"/>
        <w:rPr>
          <w:sz w:val="20"/>
          <w:szCs w:val="20"/>
          <w:color w:val="auto"/>
        </w:rPr>
      </w:pPr>
      <w:r>
        <w:rPr>
          <w:rFonts w:ascii="Arial" w:cs="Arial" w:eastAsia="Arial" w:hAnsi="Arial"/>
          <w:sz w:val="17"/>
          <w:szCs w:val="17"/>
          <w:color w:val="auto"/>
        </w:rPr>
        <w:t>We maintain detailed credit records about our container lessees. Our credit policy sets different maximum exposure limits for our container lessees. Credit criteria may include, but are not limited to, container lessee trade route, country, social and political climate, assessments of net worth, asset ownership, bank and trade credit references, credit bureau reports, including those from Dynamar B.V. or “Dynamar,” and Lloyd’s Marine Intelligence Unit (common credit reporting agencies used in the maritime sector), operational history and financial strength. We monitor our container lessees’ performance and our lease exposures on an ongoing basis, and our credit management processes are aided by the long payment experience we have with most of our container lessees and our broad network of long-standing relationships in the shipping industry that provide current information about our container lessees. In managing this risk, we also make an allowance for doubtful accounts on our accounts receivable. The allowance for doubtful accounts is developed based on two key components:</w:t>
      </w:r>
    </w:p>
    <w:p>
      <w:pPr>
        <w:spacing w:after="0" w:line="84" w:lineRule="exact"/>
        <w:rPr>
          <w:sz w:val="20"/>
          <w:szCs w:val="20"/>
          <w:color w:val="auto"/>
        </w:rPr>
      </w:pPr>
    </w:p>
    <w:p>
      <w:pPr>
        <w:ind w:left="960" w:hanging="532"/>
        <w:spacing w:after="0"/>
        <w:tabs>
          <w:tab w:leader="none" w:pos="960" w:val="left"/>
        </w:tabs>
        <w:numPr>
          <w:ilvl w:val="0"/>
          <w:numId w:val="85"/>
        </w:numPr>
        <w:rPr>
          <w:rFonts w:ascii="Arial" w:cs="Arial" w:eastAsia="Arial" w:hAnsi="Arial"/>
          <w:sz w:val="18"/>
          <w:szCs w:val="18"/>
          <w:color w:val="auto"/>
        </w:rPr>
      </w:pPr>
      <w:r>
        <w:rPr>
          <w:rFonts w:ascii="Arial" w:cs="Arial" w:eastAsia="Arial" w:hAnsi="Arial"/>
          <w:sz w:val="18"/>
          <w:szCs w:val="18"/>
          <w:color w:val="auto"/>
        </w:rPr>
        <w:t>specific reserves for receivables which are impaired for which management believes full collection is doubtful; and</w:t>
      </w:r>
    </w:p>
    <w:p>
      <w:pPr>
        <w:spacing w:after="0" w:line="130" w:lineRule="exact"/>
        <w:rPr>
          <w:rFonts w:ascii="Arial" w:cs="Arial" w:eastAsia="Arial" w:hAnsi="Arial"/>
          <w:sz w:val="18"/>
          <w:szCs w:val="18"/>
          <w:color w:val="auto"/>
        </w:rPr>
      </w:pPr>
    </w:p>
    <w:p>
      <w:pPr>
        <w:ind w:left="5420" w:right="1660" w:hanging="4992"/>
        <w:spacing w:after="0" w:line="449" w:lineRule="auto"/>
        <w:tabs>
          <w:tab w:leader="none" w:pos="974" w:val="left"/>
        </w:tabs>
        <w:numPr>
          <w:ilvl w:val="0"/>
          <w:numId w:val="85"/>
        </w:numPr>
        <w:rPr>
          <w:rFonts w:ascii="Arial" w:cs="Arial" w:eastAsia="Arial" w:hAnsi="Arial"/>
          <w:sz w:val="18"/>
          <w:szCs w:val="18"/>
          <w:color w:val="auto"/>
        </w:rPr>
      </w:pPr>
      <w:r>
        <w:rPr>
          <w:rFonts w:ascii="Arial" w:cs="Arial" w:eastAsia="Arial" w:hAnsi="Arial"/>
          <w:sz w:val="18"/>
          <w:szCs w:val="18"/>
          <w:color w:val="auto"/>
        </w:rPr>
        <w:t>general reserves for estimated losses inherent in the receivables based upon historical trends and age of the balances. 92</w:t>
      </w:r>
    </w:p>
    <w:p>
      <w:pPr>
        <w:sectPr>
          <w:pgSz w:w="11900" w:h="16838" w:orient="portrait"/>
          <w:cols w:equalWidth="0" w:num="1">
            <w:col w:w="11020"/>
          </w:cols>
          <w:pgMar w:left="440" w:top="274" w:right="439" w:bottom="1440" w:gutter="0" w:footer="0" w:header="0"/>
        </w:sectPr>
      </w:pPr>
    </w:p>
    <w:bookmarkStart w:id="106" w:name="page107"/>
    <w:bookmarkEnd w:id="106"/>
    <w:p>
      <w:pPr>
        <w:jc w:val="both"/>
        <w:ind w:right="80" w:firstLine="440"/>
        <w:spacing w:after="0" w:line="27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As of December 31, 2020, approximately 98.0% of gross accounts receivable for our total fleet and 99.8% of the gross finance lease receivables were from container lessees and customers outside of the U.S. Customers in Switzerland, France, Taiwan, PRC (including Hong Kong) and Singapore accounted for approximately 20.5%, 12.7%, 12.3%, 11.8% and 11.0%, respectively, of our total fleet container lease billings for 2020. Customers in no other country accounted for greater than 10.0% of our total fleet container lease billings for the same period.</w:t>
      </w:r>
    </w:p>
    <w:p>
      <w:pPr>
        <w:spacing w:after="0" w:line="171" w:lineRule="exact"/>
        <w:rPr>
          <w:sz w:val="20"/>
          <w:szCs w:val="20"/>
          <w:color w:val="auto"/>
        </w:rPr>
      </w:pPr>
    </w:p>
    <w:p>
      <w:pPr>
        <w:ind w:firstLine="440"/>
        <w:spacing w:after="0" w:line="273" w:lineRule="auto"/>
        <w:rPr>
          <w:sz w:val="20"/>
          <w:szCs w:val="20"/>
          <w:color w:val="auto"/>
        </w:rPr>
      </w:pPr>
      <w:r>
        <w:rPr>
          <w:rFonts w:ascii="Arial" w:cs="Arial" w:eastAsia="Arial" w:hAnsi="Arial"/>
          <w:sz w:val="17"/>
          <w:szCs w:val="17"/>
          <w:color w:val="auto"/>
        </w:rPr>
        <w:t>An allowance for doubtful accounts of $2,663 has been established against billed accounts receivables as of December 31, 2020 for our total fleet, of which $2,183 pertains to our owned fleet. During 2020, receivable write-offs from the allowance for doubtful accounts totaled $487 for total fleet, of which $394 pertains to our owned fleet. Due to the COVID-19 pandemic, we may be unable to collect receivables from those shipping line customers that may be significantly impacted by COVID-19. While we are not yet through the pandemic, the financial performance of our customers has generally held up better than anticipated since our customers continue to benefit from recent high cargo volumes and high freight rates and we will continue to closely monitor our customers’ payment performance.</w:t>
      </w:r>
    </w:p>
    <w:p>
      <w:pPr>
        <w:spacing w:after="0" w:line="178" w:lineRule="exact"/>
        <w:rPr>
          <w:sz w:val="20"/>
          <w:szCs w:val="20"/>
          <w:color w:val="auto"/>
        </w:rPr>
      </w:pPr>
    </w:p>
    <w:p>
      <w:pPr>
        <w:ind w:right="60" w:firstLine="440"/>
        <w:spacing w:after="0" w:line="342" w:lineRule="auto"/>
        <w:rPr>
          <w:sz w:val="20"/>
          <w:szCs w:val="20"/>
          <w:color w:val="auto"/>
        </w:rPr>
      </w:pPr>
      <w:r>
        <w:rPr>
          <w:rFonts w:ascii="Arial" w:cs="Arial" w:eastAsia="Arial" w:hAnsi="Arial"/>
          <w:sz w:val="16"/>
          <w:szCs w:val="16"/>
          <w:color w:val="auto"/>
        </w:rPr>
        <w:t>We adopted ASU 2016-13 during 2020 and an allowance for credit losses of $1,333 and $424 have been established to estimate expected lifetime credit losses against our net investment in finance leases and container leaseback financing receivable, respectively, as of December 31, 2020.</w:t>
      </w:r>
    </w:p>
    <w:p>
      <w:pPr>
        <w:spacing w:after="0" w:line="124" w:lineRule="exact"/>
        <w:rPr>
          <w:sz w:val="20"/>
          <w:szCs w:val="20"/>
          <w:color w:val="auto"/>
        </w:rPr>
      </w:pPr>
    </w:p>
    <w:p>
      <w:pPr>
        <w:ind w:right="460" w:firstLine="440"/>
        <w:spacing w:after="0" w:line="308" w:lineRule="auto"/>
        <w:rPr>
          <w:sz w:val="20"/>
          <w:szCs w:val="20"/>
          <w:color w:val="auto"/>
        </w:rPr>
      </w:pPr>
      <w:r>
        <w:rPr>
          <w:rFonts w:ascii="Arial" w:cs="Arial" w:eastAsia="Arial" w:hAnsi="Arial"/>
          <w:sz w:val="17"/>
          <w:szCs w:val="17"/>
          <w:color w:val="auto"/>
        </w:rPr>
        <w:t xml:space="preserve">For further discussion, see Note 1 “Nature of Business and Summary of Significant Accounting Policies” and Note 6 “Allowance for Credit Losses” to our consolidated statements in Item 18, </w:t>
      </w:r>
      <w:r>
        <w:rPr>
          <w:rFonts w:ascii="Arial" w:cs="Arial" w:eastAsia="Arial" w:hAnsi="Arial"/>
          <w:sz w:val="17"/>
          <w:szCs w:val="17"/>
          <w:i w:val="1"/>
          <w:iCs w:val="1"/>
          <w:color w:val="auto"/>
        </w:rPr>
        <w:t>“Financial Statements”</w:t>
      </w:r>
      <w:r>
        <w:rPr>
          <w:rFonts w:ascii="Arial" w:cs="Arial" w:eastAsia="Arial" w:hAnsi="Arial"/>
          <w:sz w:val="17"/>
          <w:szCs w:val="17"/>
          <w:color w:val="auto"/>
        </w:rPr>
        <w:t xml:space="preserve"> in this Annual Report on Form 20-F.</w:t>
      </w:r>
    </w:p>
    <w:p>
      <w:pPr>
        <w:spacing w:after="0" w:line="291" w:lineRule="exact"/>
        <w:rPr>
          <w:sz w:val="20"/>
          <w:szCs w:val="20"/>
          <w:color w:val="auto"/>
        </w:rPr>
      </w:pPr>
    </w:p>
    <w:p>
      <w:pPr>
        <w:spacing w:after="0"/>
        <w:tabs>
          <w:tab w:leader="none" w:pos="1060" w:val="left"/>
        </w:tabs>
        <w:rPr>
          <w:sz w:val="20"/>
          <w:szCs w:val="20"/>
          <w:color w:val="auto"/>
        </w:rPr>
      </w:pPr>
      <w:r>
        <w:rPr>
          <w:rFonts w:ascii="Arial" w:cs="Arial" w:eastAsia="Arial" w:hAnsi="Arial"/>
          <w:sz w:val="18"/>
          <w:szCs w:val="18"/>
          <w:b w:val="1"/>
          <w:bCs w:val="1"/>
          <w:color w:val="auto"/>
        </w:rPr>
        <w:t>ITEM 12.</w:t>
      </w:r>
      <w:r>
        <w:rPr>
          <w:sz w:val="20"/>
          <w:szCs w:val="20"/>
          <w:color w:val="auto"/>
        </w:rPr>
        <w:tab/>
      </w:r>
      <w:r>
        <w:rPr>
          <w:rFonts w:ascii="Arial" w:cs="Arial" w:eastAsia="Arial" w:hAnsi="Arial"/>
          <w:sz w:val="18"/>
          <w:szCs w:val="18"/>
          <w:b w:val="1"/>
          <w:bCs w:val="1"/>
          <w:color w:val="auto"/>
        </w:rPr>
        <w:t>DESCRIPTION OF SECURITIES OTHER THAN EQUITY SECURITIES</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Not applicable.</w:t>
      </w:r>
    </w:p>
    <w:p>
      <w:pPr>
        <w:spacing w:after="0" w:line="15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93</w:t>
      </w:r>
    </w:p>
    <w:p>
      <w:pPr>
        <w:sectPr>
          <w:pgSz w:w="11900" w:h="16838" w:orient="portrait"/>
          <w:cols w:equalWidth="0" w:num="1">
            <w:col w:w="10960"/>
          </w:cols>
          <w:pgMar w:left="440" w:top="274" w:right="499" w:bottom="1440" w:gutter="0" w:footer="0" w:header="0"/>
        </w:sectPr>
      </w:pPr>
    </w:p>
    <w:bookmarkStart w:id="107" w:name="page108"/>
    <w:bookmarkEnd w:id="107"/>
    <w:p>
      <w:pPr>
        <w:jc w:val="center"/>
        <w:ind w:right="-3"/>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PART II</w:t>
      </w:r>
    </w:p>
    <w:p>
      <w:pPr>
        <w:spacing w:after="0" w:line="252" w:lineRule="exact"/>
        <w:rPr>
          <w:sz w:val="20"/>
          <w:szCs w:val="20"/>
          <w:color w:val="auto"/>
        </w:rPr>
      </w:pPr>
    </w:p>
    <w:p>
      <w:pPr>
        <w:ind w:left="4"/>
        <w:spacing w:after="0"/>
        <w:tabs>
          <w:tab w:leader="none" w:pos="1064" w:val="left"/>
        </w:tabs>
        <w:rPr>
          <w:sz w:val="20"/>
          <w:szCs w:val="20"/>
          <w:color w:val="auto"/>
        </w:rPr>
      </w:pPr>
      <w:r>
        <w:rPr>
          <w:rFonts w:ascii="Arial" w:cs="Arial" w:eastAsia="Arial" w:hAnsi="Arial"/>
          <w:sz w:val="18"/>
          <w:szCs w:val="18"/>
          <w:b w:val="1"/>
          <w:bCs w:val="1"/>
          <w:color w:val="auto"/>
        </w:rPr>
        <w:t>ITEM 13.</w:t>
      </w:r>
      <w:r>
        <w:rPr>
          <w:sz w:val="20"/>
          <w:szCs w:val="20"/>
          <w:color w:val="auto"/>
        </w:rPr>
        <w:tab/>
      </w:r>
      <w:r>
        <w:rPr>
          <w:rFonts w:ascii="Arial" w:cs="Arial" w:eastAsia="Arial" w:hAnsi="Arial"/>
          <w:sz w:val="18"/>
          <w:szCs w:val="18"/>
          <w:b w:val="1"/>
          <w:bCs w:val="1"/>
          <w:color w:val="auto"/>
        </w:rPr>
        <w:t>DEFAULTS, DIVIDEND ARREARAGES AND DELINQUENCIES</w:t>
      </w:r>
    </w:p>
    <w:p>
      <w:pPr>
        <w:spacing w:after="0" w:line="121" w:lineRule="exact"/>
        <w:rPr>
          <w:sz w:val="20"/>
          <w:szCs w:val="20"/>
          <w:color w:val="auto"/>
        </w:rPr>
      </w:pPr>
    </w:p>
    <w:p>
      <w:pPr>
        <w:ind w:left="444"/>
        <w:spacing w:after="0"/>
        <w:rPr>
          <w:sz w:val="20"/>
          <w:szCs w:val="20"/>
          <w:color w:val="auto"/>
        </w:rPr>
      </w:pPr>
      <w:r>
        <w:rPr>
          <w:rFonts w:ascii="Arial" w:cs="Arial" w:eastAsia="Arial" w:hAnsi="Arial"/>
          <w:sz w:val="18"/>
          <w:szCs w:val="18"/>
          <w:color w:val="auto"/>
        </w:rPr>
        <w:t>None.</w:t>
      </w:r>
    </w:p>
    <w:p>
      <w:pPr>
        <w:spacing w:after="0" w:line="370" w:lineRule="exact"/>
        <w:rPr>
          <w:sz w:val="20"/>
          <w:szCs w:val="20"/>
          <w:color w:val="auto"/>
        </w:rPr>
      </w:pPr>
    </w:p>
    <w:p>
      <w:pPr>
        <w:ind w:left="4"/>
        <w:spacing w:after="0"/>
        <w:tabs>
          <w:tab w:leader="none" w:pos="1064" w:val="left"/>
        </w:tabs>
        <w:rPr>
          <w:sz w:val="20"/>
          <w:szCs w:val="20"/>
          <w:color w:val="auto"/>
        </w:rPr>
      </w:pPr>
      <w:r>
        <w:rPr>
          <w:rFonts w:ascii="Arial" w:cs="Arial" w:eastAsia="Arial" w:hAnsi="Arial"/>
          <w:sz w:val="18"/>
          <w:szCs w:val="18"/>
          <w:b w:val="1"/>
          <w:bCs w:val="1"/>
          <w:color w:val="auto"/>
        </w:rPr>
        <w:t>ITEM 14.</w:t>
      </w:r>
      <w:r>
        <w:rPr>
          <w:sz w:val="20"/>
          <w:szCs w:val="20"/>
          <w:color w:val="auto"/>
        </w:rPr>
        <w:tab/>
      </w:r>
      <w:r>
        <w:rPr>
          <w:rFonts w:ascii="Arial" w:cs="Arial" w:eastAsia="Arial" w:hAnsi="Arial"/>
          <w:sz w:val="18"/>
          <w:szCs w:val="18"/>
          <w:b w:val="1"/>
          <w:bCs w:val="1"/>
          <w:color w:val="auto"/>
        </w:rPr>
        <w:t>MATERIAL MODIFICATIONS TO THE RIGHTS OF SECURITY HOLDERS AND USE OF PROCEEDS</w:t>
      </w:r>
    </w:p>
    <w:p>
      <w:pPr>
        <w:spacing w:after="0" w:line="121" w:lineRule="exact"/>
        <w:rPr>
          <w:sz w:val="20"/>
          <w:szCs w:val="20"/>
          <w:color w:val="auto"/>
        </w:rPr>
      </w:pPr>
    </w:p>
    <w:p>
      <w:pPr>
        <w:ind w:left="444"/>
        <w:spacing w:after="0"/>
        <w:rPr>
          <w:sz w:val="20"/>
          <w:szCs w:val="20"/>
          <w:color w:val="auto"/>
        </w:rPr>
      </w:pPr>
      <w:r>
        <w:rPr>
          <w:rFonts w:ascii="Arial" w:cs="Arial" w:eastAsia="Arial" w:hAnsi="Arial"/>
          <w:sz w:val="18"/>
          <w:szCs w:val="18"/>
          <w:color w:val="auto"/>
        </w:rPr>
        <w:t>None.</w:t>
      </w:r>
    </w:p>
    <w:p>
      <w:pPr>
        <w:spacing w:after="0" w:line="370" w:lineRule="exact"/>
        <w:rPr>
          <w:sz w:val="20"/>
          <w:szCs w:val="20"/>
          <w:color w:val="auto"/>
        </w:rPr>
      </w:pPr>
    </w:p>
    <w:p>
      <w:pPr>
        <w:ind w:left="4"/>
        <w:spacing w:after="0"/>
        <w:tabs>
          <w:tab w:leader="none" w:pos="1064" w:val="left"/>
        </w:tabs>
        <w:rPr>
          <w:sz w:val="20"/>
          <w:szCs w:val="20"/>
          <w:color w:val="auto"/>
        </w:rPr>
      </w:pPr>
      <w:r>
        <w:rPr>
          <w:rFonts w:ascii="Arial" w:cs="Arial" w:eastAsia="Arial" w:hAnsi="Arial"/>
          <w:sz w:val="18"/>
          <w:szCs w:val="18"/>
          <w:b w:val="1"/>
          <w:bCs w:val="1"/>
          <w:color w:val="auto"/>
        </w:rPr>
        <w:t>ITEM 15.</w:t>
      </w:r>
      <w:r>
        <w:rPr>
          <w:sz w:val="20"/>
          <w:szCs w:val="20"/>
          <w:color w:val="auto"/>
        </w:rPr>
        <w:tab/>
      </w:r>
      <w:r>
        <w:rPr>
          <w:rFonts w:ascii="Arial" w:cs="Arial" w:eastAsia="Arial" w:hAnsi="Arial"/>
          <w:sz w:val="17"/>
          <w:szCs w:val="17"/>
          <w:b w:val="1"/>
          <w:bCs w:val="1"/>
          <w:color w:val="auto"/>
        </w:rPr>
        <w:t>CONTROLS AND PROCEDURES</w:t>
      </w:r>
    </w:p>
    <w:p>
      <w:pPr>
        <w:spacing w:after="0" w:line="131" w:lineRule="exact"/>
        <w:rPr>
          <w:sz w:val="20"/>
          <w:szCs w:val="20"/>
          <w:color w:val="auto"/>
        </w:rPr>
      </w:pPr>
    </w:p>
    <w:p>
      <w:pPr>
        <w:ind w:left="424" w:hanging="424"/>
        <w:spacing w:after="0"/>
        <w:tabs>
          <w:tab w:leader="none" w:pos="424" w:val="left"/>
        </w:tabs>
        <w:numPr>
          <w:ilvl w:val="0"/>
          <w:numId w:val="86"/>
        </w:numPr>
        <w:rPr>
          <w:rFonts w:ascii="Arial" w:cs="Arial" w:eastAsia="Arial" w:hAnsi="Arial"/>
          <w:sz w:val="18"/>
          <w:szCs w:val="18"/>
          <w:b w:val="1"/>
          <w:bCs w:val="1"/>
          <w:color w:val="auto"/>
        </w:rPr>
      </w:pPr>
      <w:r>
        <w:rPr>
          <w:rFonts w:ascii="Arial" w:cs="Arial" w:eastAsia="Arial" w:hAnsi="Arial"/>
          <w:sz w:val="18"/>
          <w:szCs w:val="18"/>
          <w:b w:val="1"/>
          <w:bCs w:val="1"/>
          <w:color w:val="auto"/>
        </w:rPr>
        <w:t>Disclosure Controls and Procedures</w:t>
      </w:r>
    </w:p>
    <w:p>
      <w:pPr>
        <w:spacing w:after="0" w:line="121" w:lineRule="exact"/>
        <w:rPr>
          <w:sz w:val="20"/>
          <w:szCs w:val="20"/>
          <w:color w:val="auto"/>
        </w:rPr>
      </w:pPr>
    </w:p>
    <w:p>
      <w:pPr>
        <w:ind w:left="4" w:right="60" w:firstLine="440"/>
        <w:spacing w:after="0" w:line="277" w:lineRule="auto"/>
        <w:rPr>
          <w:sz w:val="20"/>
          <w:szCs w:val="20"/>
          <w:color w:val="auto"/>
        </w:rPr>
      </w:pPr>
      <w:r>
        <w:rPr>
          <w:rFonts w:ascii="Arial" w:cs="Arial" w:eastAsia="Arial" w:hAnsi="Arial"/>
          <w:sz w:val="18"/>
          <w:szCs w:val="18"/>
          <w:color w:val="auto"/>
        </w:rPr>
        <w:t>Our management, with the participation of our Chief Executive Officer and Chief Financial Officer, evaluated the effectiveness of our “disclosure controls and procedures” (as defined in Rules 13a-15(e) and 15d-15(e) under the Exchange Act) as of December 31, 2020.</w:t>
      </w:r>
    </w:p>
    <w:p>
      <w:pPr>
        <w:spacing w:after="0" w:line="170" w:lineRule="exact"/>
        <w:rPr>
          <w:sz w:val="20"/>
          <w:szCs w:val="20"/>
          <w:color w:val="auto"/>
        </w:rPr>
      </w:pPr>
    </w:p>
    <w:p>
      <w:pPr>
        <w:ind w:left="4" w:right="440" w:firstLine="440"/>
        <w:spacing w:after="0" w:line="291" w:lineRule="auto"/>
        <w:rPr>
          <w:sz w:val="20"/>
          <w:szCs w:val="20"/>
          <w:color w:val="auto"/>
        </w:rPr>
      </w:pPr>
      <w:r>
        <w:rPr>
          <w:rFonts w:ascii="Arial" w:cs="Arial" w:eastAsia="Arial" w:hAnsi="Arial"/>
          <w:sz w:val="16"/>
          <w:szCs w:val="16"/>
          <w:color w:val="auto"/>
        </w:rPr>
        <w:t>The “disclosure controls and procedures” means our controls and other procedures that are designed to provide reasonable assurance that the information required to be disclosed by us in the reports that we filed or submitted to the SEC, such as this Annual Report on Form 20-F, was</w:t>
      </w:r>
    </w:p>
    <w:p>
      <w:pPr>
        <w:ind w:left="4" w:right="140" w:hanging="4"/>
        <w:spacing w:after="0" w:line="270" w:lineRule="auto"/>
        <w:tabs>
          <w:tab w:leader="none" w:pos="259" w:val="left"/>
        </w:tabs>
        <w:numPr>
          <w:ilvl w:val="0"/>
          <w:numId w:val="87"/>
        </w:numPr>
        <w:rPr>
          <w:rFonts w:ascii="Arial" w:cs="Arial" w:eastAsia="Arial" w:hAnsi="Arial"/>
          <w:sz w:val="17"/>
          <w:szCs w:val="17"/>
          <w:color w:val="auto"/>
        </w:rPr>
      </w:pPr>
      <w:r>
        <w:rPr>
          <w:rFonts w:ascii="Arial" w:cs="Arial" w:eastAsia="Arial" w:hAnsi="Arial"/>
          <w:sz w:val="17"/>
          <w:szCs w:val="17"/>
          <w:color w:val="auto"/>
        </w:rPr>
        <w:t>recorded, processed, summarized and reported within the time periods specified in the SEC’s rules and forms and (2) accumulated and communicated to our management, including our Chief Executive Officer and Chief Financial Officer, to allow timely decisions regarding required disclosures. In designing and evaluating the disclosure controls and procedures, management recognizes that any controls and procedures, no matter how well designed and operated, can provide only reasonable assurance of achieving the desired control objectives, and management is required to apply its judgment in evaluating the cost-benefit relationship of possible controls and procedures. Based upon that evaluation, it was concluded that, as of such date, the disclosure controls and procedures were effective as of December 31, 2020.</w:t>
      </w:r>
    </w:p>
    <w:p>
      <w:pPr>
        <w:spacing w:after="0" w:line="323" w:lineRule="exact"/>
        <w:rPr>
          <w:sz w:val="20"/>
          <w:szCs w:val="20"/>
          <w:color w:val="auto"/>
        </w:rPr>
      </w:pPr>
    </w:p>
    <w:p>
      <w:pPr>
        <w:ind w:left="424" w:hanging="424"/>
        <w:spacing w:after="0"/>
        <w:tabs>
          <w:tab w:leader="none" w:pos="424" w:val="left"/>
        </w:tabs>
        <w:numPr>
          <w:ilvl w:val="0"/>
          <w:numId w:val="88"/>
        </w:numPr>
        <w:rPr>
          <w:rFonts w:ascii="Arial" w:cs="Arial" w:eastAsia="Arial" w:hAnsi="Arial"/>
          <w:sz w:val="18"/>
          <w:szCs w:val="18"/>
          <w:b w:val="1"/>
          <w:bCs w:val="1"/>
          <w:color w:val="auto"/>
        </w:rPr>
      </w:pPr>
      <w:r>
        <w:rPr>
          <w:rFonts w:ascii="Arial" w:cs="Arial" w:eastAsia="Arial" w:hAnsi="Arial"/>
          <w:sz w:val="18"/>
          <w:szCs w:val="18"/>
          <w:b w:val="1"/>
          <w:bCs w:val="1"/>
          <w:color w:val="auto"/>
        </w:rPr>
        <w:t>Management’s Annual Report on Internal Control Over Financial Reporting</w:t>
      </w:r>
    </w:p>
    <w:p>
      <w:pPr>
        <w:spacing w:after="0" w:line="121" w:lineRule="exact"/>
        <w:rPr>
          <w:sz w:val="20"/>
          <w:szCs w:val="20"/>
          <w:color w:val="auto"/>
        </w:rPr>
      </w:pPr>
    </w:p>
    <w:p>
      <w:pPr>
        <w:ind w:left="4" w:firstLine="440"/>
        <w:spacing w:after="0" w:line="255" w:lineRule="auto"/>
        <w:rPr>
          <w:sz w:val="20"/>
          <w:szCs w:val="20"/>
          <w:color w:val="auto"/>
        </w:rPr>
      </w:pPr>
      <w:r>
        <w:rPr>
          <w:rFonts w:ascii="Arial" w:cs="Arial" w:eastAsia="Arial" w:hAnsi="Arial"/>
          <w:sz w:val="18"/>
          <w:szCs w:val="18"/>
          <w:color w:val="auto"/>
        </w:rPr>
        <w:t>Our management is responsible for establishing and maintaining adequate internal control over financial reporting. Management, including our Chief Executive Officer and Chief Financial Officer under the oversight of our Board of Directors, assessed the effectiveness of our internal control over financial reporting as of December 31, 2020. In making this assessment, management used the criteria for effective internal control over financial reporting described in “Internal Control-Integrated Framework (2013),” issued by the Committee of Sponsoring Organizations of the Treadway Commission (COSO). Based on this assessment, our management concluded that our internal control over financial reporting was effective for the year ended December 31, 2020.</w:t>
      </w:r>
    </w:p>
    <w:p>
      <w:pPr>
        <w:spacing w:after="0" w:line="192" w:lineRule="exact"/>
        <w:rPr>
          <w:sz w:val="20"/>
          <w:szCs w:val="20"/>
          <w:color w:val="auto"/>
        </w:rPr>
      </w:pPr>
    </w:p>
    <w:p>
      <w:pPr>
        <w:ind w:left="4" w:firstLine="440"/>
        <w:spacing w:after="0" w:line="301" w:lineRule="auto"/>
        <w:rPr>
          <w:sz w:val="20"/>
          <w:szCs w:val="20"/>
          <w:color w:val="auto"/>
        </w:rPr>
      </w:pPr>
      <w:r>
        <w:rPr>
          <w:rFonts w:ascii="Arial" w:cs="Arial" w:eastAsia="Arial" w:hAnsi="Arial"/>
          <w:sz w:val="16"/>
          <w:szCs w:val="16"/>
          <w:color w:val="auto"/>
        </w:rPr>
        <w:t>All internal control systems and procedures, no matter how well designed, have inherent limitations. Therefore, even those internal control systems and procedures determined to be effective may not prevent or detect misstatements and can provide only reasonable assurance with respect to financial statement preparation and presentation. Also, projections of any evaluation of effectiveness to future periods are subject to the risk that controls may become inadequate because of changes in conditions, or that the degree of compliance with the policies or procedures may deteriorate.</w:t>
      </w:r>
    </w:p>
    <w:p>
      <w:pPr>
        <w:spacing w:after="0" w:line="90"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94</w:t>
      </w:r>
    </w:p>
    <w:p>
      <w:pPr>
        <w:sectPr>
          <w:pgSz w:w="11900" w:h="16838" w:orient="portrait"/>
          <w:cols w:equalWidth="0" w:num="1">
            <w:col w:w="11004"/>
          </w:cols>
          <w:pgMar w:left="436" w:top="270" w:right="459" w:bottom="1440" w:gutter="0" w:footer="0" w:header="0"/>
        </w:sectPr>
      </w:pPr>
    </w:p>
    <w:bookmarkStart w:id="108" w:name="page109"/>
    <w:bookmarkEnd w:id="108"/>
    <w:p>
      <w:pPr>
        <w:ind w:left="424" w:hanging="424"/>
        <w:spacing w:after="0"/>
        <w:tabs>
          <w:tab w:leader="none" w:pos="424" w:val="left"/>
        </w:tabs>
        <w:numPr>
          <w:ilvl w:val="0"/>
          <w:numId w:val="89"/>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Report of the Registered Public Accounting Firm</w:t>
      </w:r>
    </w:p>
    <w:p>
      <w:pPr>
        <w:spacing w:after="0" w:line="121" w:lineRule="exact"/>
        <w:rPr>
          <w:sz w:val="20"/>
          <w:szCs w:val="20"/>
          <w:color w:val="auto"/>
        </w:rPr>
      </w:pPr>
    </w:p>
    <w:p>
      <w:pPr>
        <w:ind w:left="4" w:right="360" w:firstLine="440"/>
        <w:spacing w:after="0" w:line="342" w:lineRule="auto"/>
        <w:rPr>
          <w:sz w:val="20"/>
          <w:szCs w:val="20"/>
          <w:color w:val="auto"/>
        </w:rPr>
      </w:pPr>
      <w:r>
        <w:rPr>
          <w:rFonts w:ascii="Arial" w:cs="Arial" w:eastAsia="Arial" w:hAnsi="Arial"/>
          <w:sz w:val="16"/>
          <w:szCs w:val="16"/>
          <w:color w:val="auto"/>
        </w:rPr>
        <w:t>Our internal control over financial reporting as of December 31, 2020 has been audited by KPMG LLP, an independent registered public accounting firm, as stated in their report, which is included under Item 18, “Financial Statements” on page F-3 in this Annual Report on Form 20-F.</w:t>
      </w:r>
    </w:p>
    <w:p>
      <w:pPr>
        <w:spacing w:after="0" w:line="147" w:lineRule="exact"/>
        <w:rPr>
          <w:sz w:val="20"/>
          <w:szCs w:val="20"/>
          <w:color w:val="auto"/>
        </w:rPr>
      </w:pPr>
    </w:p>
    <w:p>
      <w:pPr>
        <w:ind w:left="4"/>
        <w:spacing w:after="0"/>
        <w:tabs>
          <w:tab w:leader="none" w:pos="1184" w:val="left"/>
        </w:tabs>
        <w:rPr>
          <w:sz w:val="20"/>
          <w:szCs w:val="20"/>
          <w:color w:val="auto"/>
        </w:rPr>
      </w:pPr>
      <w:r>
        <w:rPr>
          <w:rFonts w:ascii="Arial" w:cs="Arial" w:eastAsia="Arial" w:hAnsi="Arial"/>
          <w:sz w:val="18"/>
          <w:szCs w:val="18"/>
          <w:b w:val="1"/>
          <w:bCs w:val="1"/>
          <w:color w:val="auto"/>
        </w:rPr>
        <w:t>ITEM 16.</w:t>
      </w:r>
      <w:r>
        <w:rPr>
          <w:sz w:val="20"/>
          <w:szCs w:val="20"/>
          <w:color w:val="auto"/>
        </w:rPr>
        <w:tab/>
      </w:r>
      <w:r>
        <w:rPr>
          <w:rFonts w:ascii="Arial" w:cs="Arial" w:eastAsia="Arial" w:hAnsi="Arial"/>
          <w:sz w:val="17"/>
          <w:szCs w:val="17"/>
          <w:b w:val="1"/>
          <w:bCs w:val="1"/>
          <w:color w:val="auto"/>
        </w:rPr>
        <w:t>[RESERVED]</w:t>
      </w:r>
    </w:p>
    <w:p>
      <w:pPr>
        <w:spacing w:after="0" w:line="374" w:lineRule="exact"/>
        <w:rPr>
          <w:sz w:val="20"/>
          <w:szCs w:val="20"/>
          <w:color w:val="auto"/>
        </w:rPr>
      </w:pPr>
    </w:p>
    <w:p>
      <w:pPr>
        <w:ind w:left="4"/>
        <w:spacing w:after="0"/>
        <w:tabs>
          <w:tab w:leader="none" w:pos="1184" w:val="left"/>
        </w:tabs>
        <w:rPr>
          <w:sz w:val="20"/>
          <w:szCs w:val="20"/>
          <w:color w:val="auto"/>
        </w:rPr>
      </w:pPr>
      <w:r>
        <w:rPr>
          <w:rFonts w:ascii="Arial" w:cs="Arial" w:eastAsia="Arial" w:hAnsi="Arial"/>
          <w:sz w:val="18"/>
          <w:szCs w:val="18"/>
          <w:b w:val="1"/>
          <w:bCs w:val="1"/>
          <w:color w:val="auto"/>
        </w:rPr>
        <w:t>ITEM 16A.</w:t>
      </w:r>
      <w:r>
        <w:rPr>
          <w:sz w:val="20"/>
          <w:szCs w:val="20"/>
          <w:color w:val="auto"/>
        </w:rPr>
        <w:tab/>
      </w:r>
      <w:r>
        <w:rPr>
          <w:rFonts w:ascii="Arial" w:cs="Arial" w:eastAsia="Arial" w:hAnsi="Arial"/>
          <w:sz w:val="18"/>
          <w:szCs w:val="18"/>
          <w:b w:val="1"/>
          <w:bCs w:val="1"/>
          <w:color w:val="auto"/>
        </w:rPr>
        <w:t>AUDIT COMMITTEE FINANCIAL EXPERT</w:t>
      </w:r>
    </w:p>
    <w:p>
      <w:pPr>
        <w:spacing w:after="0" w:line="121" w:lineRule="exact"/>
        <w:rPr>
          <w:sz w:val="20"/>
          <w:szCs w:val="20"/>
          <w:color w:val="auto"/>
        </w:rPr>
      </w:pPr>
    </w:p>
    <w:p>
      <w:pPr>
        <w:ind w:left="4" w:right="100" w:firstLine="440"/>
        <w:spacing w:after="0" w:line="272" w:lineRule="auto"/>
        <w:rPr>
          <w:sz w:val="20"/>
          <w:szCs w:val="20"/>
          <w:color w:val="auto"/>
        </w:rPr>
      </w:pPr>
      <w:r>
        <w:rPr>
          <w:rFonts w:ascii="Arial" w:cs="Arial" w:eastAsia="Arial" w:hAnsi="Arial"/>
          <w:sz w:val="17"/>
          <w:szCs w:val="17"/>
          <w:color w:val="auto"/>
        </w:rPr>
        <w:t>In accordance with NYSE rules, we have an audit committee responsible for advising the board regarding the selection of independent auditors and evaluating our internal controls. As a foreign private issuer, we are not required to comply with NYSE requirements that our audit committee has a minimum of three members and that all of our audit committee members satisfy the NYSE’s requirements for independence. Our audit committee has four members, Mr. Shwiel, Mr. Cottingham, Mr. Nurek and Ms. Tang. Our Board of Directors determined that all members of the Audit Committee are independent as that term is defined in Rule 10A-3 under the Exchange Act. The board affirmatively determined that Mr. Shwiel, Mr. Cottingham and Ms. Tang are audit committee financial experts. Mr. Shwiel is also the chairman of our board of directors. Our board of directors has adopted an audit committee charter effective October 9, 2007.</w:t>
      </w:r>
    </w:p>
    <w:p>
      <w:pPr>
        <w:spacing w:after="0" w:line="322" w:lineRule="exact"/>
        <w:rPr>
          <w:sz w:val="20"/>
          <w:szCs w:val="20"/>
          <w:color w:val="auto"/>
        </w:rPr>
      </w:pPr>
    </w:p>
    <w:p>
      <w:pPr>
        <w:ind w:left="4"/>
        <w:spacing w:after="0"/>
        <w:tabs>
          <w:tab w:leader="none" w:pos="1184" w:val="left"/>
        </w:tabs>
        <w:rPr>
          <w:sz w:val="20"/>
          <w:szCs w:val="20"/>
          <w:color w:val="auto"/>
        </w:rPr>
      </w:pPr>
      <w:r>
        <w:rPr>
          <w:rFonts w:ascii="Arial" w:cs="Arial" w:eastAsia="Arial" w:hAnsi="Arial"/>
          <w:sz w:val="18"/>
          <w:szCs w:val="18"/>
          <w:b w:val="1"/>
          <w:bCs w:val="1"/>
          <w:color w:val="auto"/>
        </w:rPr>
        <w:t>ITEM 16B.</w:t>
      </w:r>
      <w:r>
        <w:rPr>
          <w:sz w:val="20"/>
          <w:szCs w:val="20"/>
          <w:color w:val="auto"/>
        </w:rPr>
        <w:tab/>
      </w:r>
      <w:r>
        <w:rPr>
          <w:rFonts w:ascii="Arial" w:cs="Arial" w:eastAsia="Arial" w:hAnsi="Arial"/>
          <w:sz w:val="18"/>
          <w:szCs w:val="18"/>
          <w:b w:val="1"/>
          <w:bCs w:val="1"/>
          <w:color w:val="auto"/>
        </w:rPr>
        <w:t>CODE OF ETHICS</w:t>
      </w:r>
    </w:p>
    <w:p>
      <w:pPr>
        <w:spacing w:after="0" w:line="121" w:lineRule="exact"/>
        <w:rPr>
          <w:sz w:val="20"/>
          <w:szCs w:val="20"/>
          <w:color w:val="auto"/>
        </w:rPr>
      </w:pPr>
    </w:p>
    <w:p>
      <w:pPr>
        <w:ind w:left="4" w:right="40" w:firstLine="440"/>
        <w:spacing w:after="0" w:line="263" w:lineRule="auto"/>
        <w:rPr>
          <w:sz w:val="20"/>
          <w:szCs w:val="20"/>
          <w:color w:val="auto"/>
        </w:rPr>
      </w:pPr>
      <w:r>
        <w:rPr>
          <w:rFonts w:ascii="Arial" w:cs="Arial" w:eastAsia="Arial" w:hAnsi="Arial"/>
          <w:sz w:val="18"/>
          <w:szCs w:val="18"/>
          <w:color w:val="auto"/>
        </w:rPr>
        <w:t>We have adopted the Textainer Group Holdings Limited Code of Business Conduct and Ethics (the “Code of Business Conduct and Ethics”), which covers members of our board of directors and all of our employees (including our principal executive officer, principal financial officer, principal accounting officer or controller, and persons performing similar functions).</w:t>
      </w:r>
    </w:p>
    <w:p>
      <w:pPr>
        <w:spacing w:after="0" w:line="184" w:lineRule="exact"/>
        <w:rPr>
          <w:sz w:val="20"/>
          <w:szCs w:val="20"/>
          <w:color w:val="auto"/>
        </w:rPr>
      </w:pPr>
    </w:p>
    <w:p>
      <w:pPr>
        <w:ind w:left="444"/>
        <w:spacing w:after="0"/>
        <w:rPr>
          <w:sz w:val="20"/>
          <w:szCs w:val="20"/>
          <w:color w:val="auto"/>
        </w:rPr>
      </w:pPr>
      <w:r>
        <w:rPr>
          <w:rFonts w:ascii="Arial" w:cs="Arial" w:eastAsia="Arial" w:hAnsi="Arial"/>
          <w:sz w:val="18"/>
          <w:szCs w:val="18"/>
          <w:color w:val="auto"/>
        </w:rPr>
        <w:t>The Code of Business Conduct and Ethics addresses, among other things, the following items:</w:t>
      </w:r>
    </w:p>
    <w:p>
      <w:pPr>
        <w:spacing w:after="0" w:line="131" w:lineRule="exact"/>
        <w:rPr>
          <w:sz w:val="20"/>
          <w:szCs w:val="20"/>
          <w:color w:val="auto"/>
        </w:rPr>
      </w:pPr>
    </w:p>
    <w:p>
      <w:pPr>
        <w:ind w:left="964" w:right="380" w:hanging="532"/>
        <w:spacing w:after="0" w:line="277" w:lineRule="auto"/>
        <w:tabs>
          <w:tab w:leader="none" w:pos="964" w:val="left"/>
        </w:tabs>
        <w:numPr>
          <w:ilvl w:val="0"/>
          <w:numId w:val="90"/>
        </w:numPr>
        <w:rPr>
          <w:rFonts w:ascii="Arial" w:cs="Arial" w:eastAsia="Arial" w:hAnsi="Arial"/>
          <w:sz w:val="18"/>
          <w:szCs w:val="18"/>
          <w:color w:val="auto"/>
        </w:rPr>
      </w:pPr>
      <w:r>
        <w:rPr>
          <w:rFonts w:ascii="Arial" w:cs="Arial" w:eastAsia="Arial" w:hAnsi="Arial"/>
          <w:sz w:val="18"/>
          <w:szCs w:val="18"/>
          <w:color w:val="auto"/>
        </w:rPr>
        <w:t>honest and ethical conduct, including the ethical handling of actual or apparent conflicts of interest between personal and professional relationships;</w:t>
      </w:r>
    </w:p>
    <w:p>
      <w:pPr>
        <w:spacing w:after="0" w:line="75" w:lineRule="exact"/>
        <w:rPr>
          <w:rFonts w:ascii="Arial" w:cs="Arial" w:eastAsia="Arial" w:hAnsi="Arial"/>
          <w:sz w:val="18"/>
          <w:szCs w:val="18"/>
          <w:color w:val="auto"/>
        </w:rPr>
      </w:pPr>
    </w:p>
    <w:p>
      <w:pPr>
        <w:ind w:left="964" w:right="580" w:hanging="532"/>
        <w:spacing w:after="0" w:line="277" w:lineRule="auto"/>
        <w:tabs>
          <w:tab w:leader="none" w:pos="964" w:val="left"/>
        </w:tabs>
        <w:numPr>
          <w:ilvl w:val="0"/>
          <w:numId w:val="90"/>
        </w:numPr>
        <w:rPr>
          <w:rFonts w:ascii="Arial" w:cs="Arial" w:eastAsia="Arial" w:hAnsi="Arial"/>
          <w:sz w:val="18"/>
          <w:szCs w:val="18"/>
          <w:color w:val="auto"/>
        </w:rPr>
      </w:pPr>
      <w:r>
        <w:rPr>
          <w:rFonts w:ascii="Arial" w:cs="Arial" w:eastAsia="Arial" w:hAnsi="Arial"/>
          <w:sz w:val="18"/>
          <w:szCs w:val="18"/>
          <w:color w:val="auto"/>
        </w:rPr>
        <w:t>full, fair, accurate, timely and understandable disclosure in reports and documents that we file with, or submit to, the Securities and Exchange Commission and in other public communications made by us;</w:t>
      </w:r>
    </w:p>
    <w:p>
      <w:pPr>
        <w:spacing w:after="0" w:line="75" w:lineRule="exact"/>
        <w:rPr>
          <w:rFonts w:ascii="Arial" w:cs="Arial" w:eastAsia="Arial" w:hAnsi="Arial"/>
          <w:sz w:val="18"/>
          <w:szCs w:val="18"/>
          <w:color w:val="auto"/>
        </w:rPr>
      </w:pPr>
    </w:p>
    <w:p>
      <w:pPr>
        <w:ind w:left="964" w:hanging="532"/>
        <w:spacing w:after="0"/>
        <w:tabs>
          <w:tab w:leader="none" w:pos="964" w:val="left"/>
        </w:tabs>
        <w:numPr>
          <w:ilvl w:val="0"/>
          <w:numId w:val="90"/>
        </w:numPr>
        <w:rPr>
          <w:rFonts w:ascii="Arial" w:cs="Arial" w:eastAsia="Arial" w:hAnsi="Arial"/>
          <w:sz w:val="18"/>
          <w:szCs w:val="18"/>
          <w:color w:val="auto"/>
        </w:rPr>
      </w:pPr>
      <w:r>
        <w:rPr>
          <w:rFonts w:ascii="Arial" w:cs="Arial" w:eastAsia="Arial" w:hAnsi="Arial"/>
          <w:sz w:val="18"/>
          <w:szCs w:val="18"/>
          <w:color w:val="auto"/>
        </w:rPr>
        <w:t>compliance with applicable governmental laws, rules and regulations;</w:t>
      </w:r>
    </w:p>
    <w:p>
      <w:pPr>
        <w:spacing w:after="0" w:line="130" w:lineRule="exact"/>
        <w:rPr>
          <w:rFonts w:ascii="Arial" w:cs="Arial" w:eastAsia="Arial" w:hAnsi="Arial"/>
          <w:sz w:val="18"/>
          <w:szCs w:val="18"/>
          <w:color w:val="auto"/>
        </w:rPr>
      </w:pPr>
    </w:p>
    <w:p>
      <w:pPr>
        <w:ind w:left="964" w:hanging="532"/>
        <w:spacing w:after="0"/>
        <w:tabs>
          <w:tab w:leader="none" w:pos="964" w:val="left"/>
        </w:tabs>
        <w:numPr>
          <w:ilvl w:val="0"/>
          <w:numId w:val="90"/>
        </w:numPr>
        <w:rPr>
          <w:rFonts w:ascii="Arial" w:cs="Arial" w:eastAsia="Arial" w:hAnsi="Arial"/>
          <w:sz w:val="18"/>
          <w:szCs w:val="18"/>
          <w:color w:val="auto"/>
        </w:rPr>
      </w:pPr>
      <w:r>
        <w:rPr>
          <w:rFonts w:ascii="Arial" w:cs="Arial" w:eastAsia="Arial" w:hAnsi="Arial"/>
          <w:sz w:val="18"/>
          <w:szCs w:val="18"/>
          <w:color w:val="auto"/>
        </w:rPr>
        <w:t>the prompt internal reporting of violations of the code to an appropriate person or persons identified in the code; and</w:t>
      </w:r>
    </w:p>
    <w:p>
      <w:pPr>
        <w:spacing w:after="0" w:line="130" w:lineRule="exact"/>
        <w:rPr>
          <w:rFonts w:ascii="Arial" w:cs="Arial" w:eastAsia="Arial" w:hAnsi="Arial"/>
          <w:sz w:val="18"/>
          <w:szCs w:val="18"/>
          <w:color w:val="auto"/>
        </w:rPr>
      </w:pPr>
    </w:p>
    <w:p>
      <w:pPr>
        <w:ind w:left="964" w:hanging="532"/>
        <w:spacing w:after="0"/>
        <w:tabs>
          <w:tab w:leader="none" w:pos="964" w:val="left"/>
        </w:tabs>
        <w:numPr>
          <w:ilvl w:val="0"/>
          <w:numId w:val="90"/>
        </w:numPr>
        <w:rPr>
          <w:rFonts w:ascii="Arial" w:cs="Arial" w:eastAsia="Arial" w:hAnsi="Arial"/>
          <w:sz w:val="18"/>
          <w:szCs w:val="18"/>
          <w:color w:val="auto"/>
        </w:rPr>
      </w:pPr>
      <w:r>
        <w:rPr>
          <w:rFonts w:ascii="Arial" w:cs="Arial" w:eastAsia="Arial" w:hAnsi="Arial"/>
          <w:sz w:val="18"/>
          <w:szCs w:val="18"/>
          <w:color w:val="auto"/>
        </w:rPr>
        <w:t>accountability for adherence to the code.</w:t>
      </w:r>
    </w:p>
    <w:p>
      <w:pPr>
        <w:spacing w:after="0" w:line="225" w:lineRule="exact"/>
        <w:rPr>
          <w:sz w:val="20"/>
          <w:szCs w:val="20"/>
          <w:color w:val="auto"/>
        </w:rPr>
      </w:pPr>
    </w:p>
    <w:p>
      <w:pPr>
        <w:ind w:left="4" w:firstLine="440"/>
        <w:spacing w:after="0" w:line="277" w:lineRule="auto"/>
        <w:rPr>
          <w:sz w:val="20"/>
          <w:szCs w:val="20"/>
          <w:color w:val="auto"/>
        </w:rPr>
      </w:pPr>
      <w:r>
        <w:rPr>
          <w:rFonts w:ascii="Arial" w:cs="Arial" w:eastAsia="Arial" w:hAnsi="Arial"/>
          <w:sz w:val="18"/>
          <w:szCs w:val="18"/>
          <w:color w:val="auto"/>
        </w:rPr>
        <w:t>During 2020, no waivers or amendments were made to the Code of Business Conduct and Ethics for any of our directors or executive officers. We have posted the text of the Code of Business Conduct and Ethics on our website at www.textainer.com.</w:t>
      </w:r>
    </w:p>
    <w:p>
      <w:pPr>
        <w:spacing w:after="0" w:line="103"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95</w:t>
      </w:r>
    </w:p>
    <w:p>
      <w:pPr>
        <w:sectPr>
          <w:pgSz w:w="11900" w:h="16838" w:orient="portrait"/>
          <w:cols w:equalWidth="0" w:num="1">
            <w:col w:w="10984"/>
          </w:cols>
          <w:pgMar w:left="436" w:top="270" w:right="479" w:bottom="1440" w:gutter="0" w:footer="0" w:header="0"/>
        </w:sectPr>
      </w:pPr>
    </w:p>
    <w:bookmarkStart w:id="109" w:name="page110"/>
    <w:bookmarkEnd w:id="109"/>
    <w:p>
      <w:pPr>
        <w:spacing w:after="0"/>
        <w:tabs>
          <w:tab w:leader="none" w:pos="1180" w:val="left"/>
        </w:tabs>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ITEM 16C.</w:t>
      </w:r>
      <w:r>
        <w:rPr>
          <w:sz w:val="20"/>
          <w:szCs w:val="20"/>
          <w:color w:val="auto"/>
        </w:rPr>
        <w:tab/>
      </w:r>
      <w:r>
        <w:rPr>
          <w:rFonts w:ascii="Arial" w:cs="Arial" w:eastAsia="Arial" w:hAnsi="Arial"/>
          <w:sz w:val="17"/>
          <w:szCs w:val="17"/>
          <w:b w:val="1"/>
          <w:bCs w:val="1"/>
          <w:color w:val="auto"/>
        </w:rPr>
        <w:t>PRINCIPAL ACCOUNTANT FEES AND SERVICES</w:t>
      </w:r>
    </w:p>
    <w:p>
      <w:pPr>
        <w:spacing w:after="0" w:line="121" w:lineRule="exact"/>
        <w:rPr>
          <w:sz w:val="20"/>
          <w:szCs w:val="20"/>
          <w:color w:val="auto"/>
        </w:rPr>
      </w:pPr>
    </w:p>
    <w:p>
      <w:pPr>
        <w:ind w:right="240" w:firstLine="440"/>
        <w:spacing w:after="0" w:line="311" w:lineRule="auto"/>
        <w:rPr>
          <w:sz w:val="20"/>
          <w:szCs w:val="20"/>
          <w:color w:val="auto"/>
        </w:rPr>
      </w:pPr>
      <w:r>
        <w:rPr>
          <w:rFonts w:ascii="Arial" w:cs="Arial" w:eastAsia="Arial" w:hAnsi="Arial"/>
          <w:sz w:val="16"/>
          <w:szCs w:val="16"/>
          <w:color w:val="auto"/>
        </w:rPr>
        <w:t>Our audit committee pre-approves all services provided by our principal accountants, KPMG LLP. All of the services and fees described below were reviewed and pre-approved by our audit committee. Our audit committee has delegated to the chairman of the audit committee certain limited authority to grant pre-approvals. These decisions to pre-approve a service must be presented to the full audit committee at its next scheduled meeting.</w:t>
      </w:r>
    </w:p>
    <w:p>
      <w:pPr>
        <w:spacing w:after="0" w:line="149" w:lineRule="exact"/>
        <w:rPr>
          <w:sz w:val="20"/>
          <w:szCs w:val="20"/>
          <w:color w:val="auto"/>
        </w:rPr>
      </w:pPr>
    </w:p>
    <w:p>
      <w:pPr>
        <w:ind w:left="440"/>
        <w:spacing w:after="0"/>
        <w:rPr>
          <w:sz w:val="20"/>
          <w:szCs w:val="20"/>
          <w:color w:val="auto"/>
        </w:rPr>
      </w:pPr>
      <w:r>
        <w:rPr>
          <w:rFonts w:ascii="Arial" w:cs="Arial" w:eastAsia="Arial" w:hAnsi="Arial"/>
          <w:sz w:val="17"/>
          <w:szCs w:val="17"/>
          <w:color w:val="auto"/>
        </w:rPr>
        <w:t>The following is a summary of the fees billed to us by our principal accountants for professional services rendered for 2020 and 2019:</w:t>
      </w:r>
    </w:p>
    <w:p>
      <w:pPr>
        <w:spacing w:after="0" w:line="243" w:lineRule="exact"/>
        <w:rPr>
          <w:sz w:val="20"/>
          <w:szCs w:val="20"/>
          <w:color w:val="auto"/>
        </w:rPr>
      </w:pPr>
    </w:p>
    <w:tbl>
      <w:tblPr>
        <w:tblLayout w:type="fixed"/>
        <w:tblInd w:w="1320" w:type="dxa"/>
        <w:tblCellMar>
          <w:top w:w="0" w:type="dxa"/>
          <w:left w:w="0" w:type="dxa"/>
          <w:bottom w:w="0" w:type="dxa"/>
          <w:right w:w="0" w:type="dxa"/>
        </w:tblCellMar>
      </w:tblPr>
      <w:tr>
        <w:trPr>
          <w:trHeight w:val="161"/>
        </w:trPr>
        <w:tc>
          <w:tcPr>
            <w:tcW w:w="820" w:type="dxa"/>
            <w:vAlign w:val="bottom"/>
            <w:vMerge w:val="restart"/>
          </w:tcPr>
          <w:p>
            <w:pPr>
              <w:spacing w:after="0"/>
              <w:rPr>
                <w:sz w:val="20"/>
                <w:szCs w:val="20"/>
                <w:color w:val="auto"/>
              </w:rPr>
            </w:pPr>
            <w:r>
              <w:rPr>
                <w:rFonts w:ascii="Arial" w:cs="Arial" w:eastAsia="Arial" w:hAnsi="Arial"/>
                <w:sz w:val="14"/>
                <w:szCs w:val="14"/>
                <w:b w:val="1"/>
                <w:bCs w:val="1"/>
                <w:color w:val="auto"/>
                <w:w w:val="90"/>
              </w:rPr>
              <w:t>Fee Category</w:t>
            </w:r>
          </w:p>
        </w:tc>
        <w:tc>
          <w:tcPr>
            <w:tcW w:w="6120" w:type="dxa"/>
            <w:vAlign w:val="bottom"/>
            <w:vMerge w:val="restart"/>
          </w:tcPr>
          <w:p>
            <w:pPr>
              <w:spacing w:after="0"/>
              <w:rPr>
                <w:sz w:val="14"/>
                <w:szCs w:val="14"/>
                <w:color w:val="auto"/>
              </w:rPr>
            </w:pPr>
          </w:p>
        </w:tc>
        <w:tc>
          <w:tcPr>
            <w:tcW w:w="500" w:type="dxa"/>
            <w:vAlign w:val="bottom"/>
          </w:tcPr>
          <w:p>
            <w:pPr>
              <w:jc w:val="right"/>
              <w:ind w:right="16"/>
              <w:spacing w:after="0"/>
              <w:rPr>
                <w:sz w:val="20"/>
                <w:szCs w:val="20"/>
                <w:color w:val="auto"/>
              </w:rPr>
            </w:pPr>
            <w:r>
              <w:rPr>
                <w:rFonts w:ascii="Arial" w:cs="Arial" w:eastAsia="Arial" w:hAnsi="Arial"/>
                <w:sz w:val="14"/>
                <w:szCs w:val="14"/>
                <w:b w:val="1"/>
                <w:bCs w:val="1"/>
                <w:color w:val="auto"/>
              </w:rPr>
              <w:t>2020</w:t>
            </w:r>
          </w:p>
        </w:tc>
        <w:tc>
          <w:tcPr>
            <w:tcW w:w="20" w:type="dxa"/>
            <w:vAlign w:val="bottom"/>
          </w:tcPr>
          <w:p>
            <w:pPr>
              <w:spacing w:after="0"/>
              <w:rPr>
                <w:sz w:val="14"/>
                <w:szCs w:val="14"/>
                <w:color w:val="auto"/>
              </w:rPr>
            </w:pPr>
          </w:p>
        </w:tc>
        <w:tc>
          <w:tcPr>
            <w:tcW w:w="860" w:type="dxa"/>
            <w:vAlign w:val="bottom"/>
            <w:gridSpan w:val="2"/>
          </w:tcPr>
          <w:p>
            <w:pPr>
              <w:jc w:val="right"/>
              <w:ind w:right="36"/>
              <w:spacing w:after="0"/>
              <w:rPr>
                <w:sz w:val="20"/>
                <w:szCs w:val="20"/>
                <w:color w:val="auto"/>
              </w:rPr>
            </w:pPr>
            <w:r>
              <w:rPr>
                <w:rFonts w:ascii="Arial" w:cs="Arial" w:eastAsia="Arial" w:hAnsi="Arial"/>
                <w:sz w:val="14"/>
                <w:szCs w:val="14"/>
                <w:b w:val="1"/>
                <w:bCs w:val="1"/>
                <w:color w:val="auto"/>
              </w:rPr>
              <w:t>2019</w:t>
            </w: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8"/>
        </w:trPr>
        <w:tc>
          <w:tcPr>
            <w:tcW w:w="820" w:type="dxa"/>
            <w:vAlign w:val="bottom"/>
            <w:tcBorders>
              <w:bottom w:val="single" w:sz="8" w:color="auto"/>
            </w:tcBorders>
            <w:vMerge w:val="continue"/>
          </w:tcPr>
          <w:p>
            <w:pPr>
              <w:spacing w:after="0"/>
              <w:rPr>
                <w:sz w:val="15"/>
                <w:szCs w:val="15"/>
                <w:color w:val="auto"/>
              </w:rPr>
            </w:pPr>
          </w:p>
        </w:tc>
        <w:tc>
          <w:tcPr>
            <w:tcW w:w="6120" w:type="dxa"/>
            <w:vAlign w:val="bottom"/>
            <w:vMerge w:val="continue"/>
          </w:tcPr>
          <w:p>
            <w:pPr>
              <w:spacing w:after="0"/>
              <w:rPr>
                <w:sz w:val="15"/>
                <w:szCs w:val="15"/>
                <w:color w:val="auto"/>
              </w:rPr>
            </w:pPr>
          </w:p>
        </w:tc>
        <w:tc>
          <w:tcPr>
            <w:tcW w:w="520" w:type="dxa"/>
            <w:vAlign w:val="bottom"/>
            <w:gridSpan w:val="2"/>
          </w:tcPr>
          <w:p>
            <w:pPr>
              <w:ind w:left="120"/>
              <w:spacing w:after="0" w:line="158" w:lineRule="exact"/>
              <w:rPr>
                <w:sz w:val="20"/>
                <w:szCs w:val="20"/>
                <w:color w:val="auto"/>
              </w:rPr>
            </w:pPr>
            <w:r>
              <w:rPr>
                <w:rFonts w:ascii="Arial" w:cs="Arial" w:eastAsia="Arial" w:hAnsi="Arial"/>
                <w:sz w:val="14"/>
                <w:szCs w:val="14"/>
                <w:b w:val="1"/>
                <w:bCs w:val="1"/>
                <w:color w:val="auto"/>
              </w:rPr>
              <w:t>Fees</w:t>
            </w:r>
          </w:p>
        </w:tc>
        <w:tc>
          <w:tcPr>
            <w:tcW w:w="360" w:type="dxa"/>
            <w:vAlign w:val="bottom"/>
          </w:tcPr>
          <w:p>
            <w:pPr>
              <w:spacing w:after="0"/>
              <w:rPr>
                <w:sz w:val="15"/>
                <w:szCs w:val="15"/>
                <w:color w:val="auto"/>
              </w:rPr>
            </w:pPr>
          </w:p>
        </w:tc>
        <w:tc>
          <w:tcPr>
            <w:tcW w:w="540" w:type="dxa"/>
            <w:vAlign w:val="bottom"/>
            <w:gridSpan w:val="2"/>
          </w:tcPr>
          <w:p>
            <w:pPr>
              <w:ind w:left="100"/>
              <w:spacing w:after="0" w:line="158" w:lineRule="exact"/>
              <w:rPr>
                <w:sz w:val="20"/>
                <w:szCs w:val="20"/>
                <w:color w:val="auto"/>
              </w:rPr>
            </w:pPr>
            <w:r>
              <w:rPr>
                <w:rFonts w:ascii="Arial" w:cs="Arial" w:eastAsia="Arial" w:hAnsi="Arial"/>
                <w:sz w:val="14"/>
                <w:szCs w:val="14"/>
                <w:b w:val="1"/>
                <w:bCs w:val="1"/>
                <w:color w:val="auto"/>
              </w:rPr>
              <w:t>Fees</w:t>
            </w:r>
          </w:p>
        </w:tc>
        <w:tc>
          <w:tcPr>
            <w:tcW w:w="0" w:type="dxa"/>
            <w:vAlign w:val="bottom"/>
          </w:tcPr>
          <w:p>
            <w:pPr>
              <w:spacing w:after="0"/>
              <w:rPr>
                <w:sz w:val="1"/>
                <w:szCs w:val="1"/>
                <w:color w:val="auto"/>
              </w:rPr>
            </w:pPr>
          </w:p>
        </w:tc>
      </w:tr>
      <w:tr>
        <w:trPr>
          <w:trHeight w:val="203"/>
        </w:trPr>
        <w:tc>
          <w:tcPr>
            <w:tcW w:w="694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Audit Fees</w:t>
            </w:r>
          </w:p>
        </w:tc>
        <w:tc>
          <w:tcPr>
            <w:tcW w:w="50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87"/>
              </w:rPr>
              <w:t>$1,888</w:t>
            </w:r>
          </w:p>
        </w:tc>
        <w:tc>
          <w:tcPr>
            <w:tcW w:w="20" w:type="dxa"/>
            <w:vAlign w:val="bottom"/>
            <w:tcBorders>
              <w:top w:val="single" w:sz="8" w:color="CCEEFF"/>
            </w:tcBorders>
            <w:shd w:val="clear" w:color="auto" w:fill="CCEEFF"/>
          </w:tcPr>
          <w:p>
            <w:pPr>
              <w:spacing w:after="0"/>
              <w:rPr>
                <w:sz w:val="17"/>
                <w:szCs w:val="17"/>
                <w:color w:val="auto"/>
              </w:rPr>
            </w:pPr>
          </w:p>
        </w:tc>
        <w:tc>
          <w:tcPr>
            <w:tcW w:w="360" w:type="dxa"/>
            <w:vAlign w:val="bottom"/>
            <w:tcBorders>
              <w:top w:val="single" w:sz="8" w:color="CCEEFF"/>
            </w:tcBorders>
            <w:shd w:val="clear" w:color="auto" w:fill="CCEEFF"/>
          </w:tcPr>
          <w:p>
            <w:pPr>
              <w:spacing w:after="0"/>
              <w:rPr>
                <w:sz w:val="17"/>
                <w:szCs w:val="17"/>
                <w:color w:val="auto"/>
              </w:rPr>
            </w:pPr>
          </w:p>
        </w:tc>
        <w:tc>
          <w:tcPr>
            <w:tcW w:w="50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87"/>
              </w:rPr>
              <w:t>$1,792</w:t>
            </w:r>
          </w:p>
        </w:tc>
        <w:tc>
          <w:tcPr>
            <w:tcW w:w="4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6940" w:type="dxa"/>
            <w:vAlign w:val="bottom"/>
            <w:gridSpan w:val="2"/>
          </w:tcPr>
          <w:p>
            <w:pPr>
              <w:spacing w:after="0"/>
              <w:rPr>
                <w:sz w:val="20"/>
                <w:szCs w:val="20"/>
                <w:color w:val="auto"/>
              </w:rPr>
            </w:pPr>
            <w:r>
              <w:rPr>
                <w:rFonts w:ascii="Arial" w:cs="Arial" w:eastAsia="Arial" w:hAnsi="Arial"/>
                <w:sz w:val="18"/>
                <w:szCs w:val="18"/>
                <w:color w:val="auto"/>
              </w:rPr>
              <w:t>Audit-Related Fees</w:t>
            </w:r>
          </w:p>
        </w:tc>
        <w:tc>
          <w:tcPr>
            <w:tcW w:w="520" w:type="dxa"/>
            <w:vAlign w:val="bottom"/>
            <w:gridSpan w:val="2"/>
          </w:tcPr>
          <w:p>
            <w:pPr>
              <w:jc w:val="right"/>
              <w:ind w:right="20"/>
              <w:spacing w:after="0"/>
              <w:rPr>
                <w:sz w:val="20"/>
                <w:szCs w:val="20"/>
                <w:color w:val="auto"/>
              </w:rPr>
            </w:pPr>
            <w:r>
              <w:rPr>
                <w:rFonts w:ascii="Arial" w:cs="Arial" w:eastAsia="Arial" w:hAnsi="Arial"/>
                <w:sz w:val="18"/>
                <w:szCs w:val="18"/>
                <w:color w:val="auto"/>
              </w:rPr>
              <w:t>235</w:t>
            </w:r>
          </w:p>
        </w:tc>
        <w:tc>
          <w:tcPr>
            <w:tcW w:w="900" w:type="dxa"/>
            <w:vAlign w:val="bottom"/>
            <w:gridSpan w:val="3"/>
          </w:tcPr>
          <w:p>
            <w:pPr>
              <w:jc w:val="right"/>
              <w:ind w:right="40"/>
              <w:spacing w:after="0"/>
              <w:rPr>
                <w:sz w:val="20"/>
                <w:szCs w:val="20"/>
                <w:color w:val="auto"/>
              </w:rPr>
            </w:pPr>
            <w:r>
              <w:rPr>
                <w:rFonts w:ascii="Arial" w:cs="Arial" w:eastAsia="Arial" w:hAnsi="Arial"/>
                <w:sz w:val="18"/>
                <w:szCs w:val="18"/>
                <w:color w:val="auto"/>
              </w:rPr>
              <w:t>30</w:t>
            </w:r>
          </w:p>
        </w:tc>
        <w:tc>
          <w:tcPr>
            <w:tcW w:w="0" w:type="dxa"/>
            <w:vAlign w:val="bottom"/>
          </w:tcPr>
          <w:p>
            <w:pPr>
              <w:spacing w:after="0"/>
              <w:rPr>
                <w:sz w:val="1"/>
                <w:szCs w:val="1"/>
                <w:color w:val="auto"/>
              </w:rPr>
            </w:pPr>
          </w:p>
        </w:tc>
      </w:tr>
      <w:tr>
        <w:trPr>
          <w:trHeight w:val="216"/>
        </w:trPr>
        <w:tc>
          <w:tcPr>
            <w:tcW w:w="69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Tax Fees</w:t>
            </w:r>
          </w:p>
        </w:tc>
        <w:tc>
          <w:tcPr>
            <w:tcW w:w="5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8</w:t>
            </w:r>
          </w:p>
        </w:tc>
        <w:tc>
          <w:tcPr>
            <w:tcW w:w="90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6</w:t>
            </w:r>
          </w:p>
        </w:tc>
        <w:tc>
          <w:tcPr>
            <w:tcW w:w="0" w:type="dxa"/>
            <w:vAlign w:val="bottom"/>
          </w:tcPr>
          <w:p>
            <w:pPr>
              <w:spacing w:after="0"/>
              <w:rPr>
                <w:sz w:val="1"/>
                <w:szCs w:val="1"/>
                <w:color w:val="auto"/>
              </w:rPr>
            </w:pPr>
          </w:p>
        </w:tc>
      </w:tr>
      <w:tr>
        <w:trPr>
          <w:trHeight w:val="223"/>
        </w:trPr>
        <w:tc>
          <w:tcPr>
            <w:tcW w:w="6940" w:type="dxa"/>
            <w:vAlign w:val="bottom"/>
            <w:gridSpan w:val="2"/>
          </w:tcPr>
          <w:p>
            <w:pPr>
              <w:spacing w:after="0"/>
              <w:rPr>
                <w:sz w:val="20"/>
                <w:szCs w:val="20"/>
                <w:color w:val="auto"/>
              </w:rPr>
            </w:pPr>
            <w:r>
              <w:rPr>
                <w:rFonts w:ascii="Arial" w:cs="Arial" w:eastAsia="Arial" w:hAnsi="Arial"/>
                <w:sz w:val="18"/>
                <w:szCs w:val="18"/>
                <w:color w:val="auto"/>
              </w:rPr>
              <w:t>Total Fees</w:t>
            </w: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7"/>
              </w:rPr>
              <w:t>$</w:t>
            </w:r>
            <w:r>
              <w:rPr>
                <w:rFonts w:ascii="Arial" w:cs="Arial" w:eastAsia="Arial" w:hAnsi="Arial"/>
                <w:sz w:val="18"/>
                <w:szCs w:val="18"/>
                <w:color w:val="auto"/>
                <w:w w:val="87"/>
              </w:rPr>
              <w:t>2,131</w:t>
            </w:r>
          </w:p>
        </w:tc>
        <w:tc>
          <w:tcPr>
            <w:tcW w:w="20" w:type="dxa"/>
            <w:vAlign w:val="bottom"/>
            <w:tcBorders>
              <w:bottom w:val="single" w:sz="8" w:color="auto"/>
            </w:tcBorders>
          </w:tcPr>
          <w:p>
            <w:pPr>
              <w:spacing w:after="0"/>
              <w:rPr>
                <w:sz w:val="19"/>
                <w:szCs w:val="19"/>
                <w:color w:val="auto"/>
              </w:rPr>
            </w:pPr>
          </w:p>
        </w:tc>
        <w:tc>
          <w:tcPr>
            <w:tcW w:w="360" w:type="dxa"/>
            <w:vAlign w:val="bottom"/>
          </w:tcPr>
          <w:p>
            <w:pPr>
              <w:spacing w:after="0"/>
              <w:rPr>
                <w:sz w:val="19"/>
                <w:szCs w:val="19"/>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7"/>
              </w:rPr>
              <w:t>$</w:t>
            </w:r>
            <w:r>
              <w:rPr>
                <w:rFonts w:ascii="Arial" w:cs="Arial" w:eastAsia="Arial" w:hAnsi="Arial"/>
                <w:sz w:val="18"/>
                <w:szCs w:val="18"/>
                <w:color w:val="auto"/>
                <w:w w:val="87"/>
              </w:rPr>
              <w:t>1,828</w:t>
            </w: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820" w:type="dxa"/>
            <w:vAlign w:val="bottom"/>
          </w:tcPr>
          <w:p>
            <w:pPr>
              <w:spacing w:after="0" w:line="20" w:lineRule="exact"/>
              <w:rPr>
                <w:sz w:val="1"/>
                <w:szCs w:val="1"/>
                <w:color w:val="auto"/>
              </w:rPr>
            </w:pPr>
          </w:p>
        </w:tc>
        <w:tc>
          <w:tcPr>
            <w:tcW w:w="6120" w:type="dxa"/>
            <w:vAlign w:val="bottom"/>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right="480" w:firstLine="440"/>
        <w:spacing w:after="0" w:line="277" w:lineRule="auto"/>
        <w:rPr>
          <w:sz w:val="20"/>
          <w:szCs w:val="20"/>
          <w:color w:val="auto"/>
        </w:rPr>
      </w:pPr>
      <w:r>
        <w:rPr>
          <w:rFonts w:ascii="Arial" w:cs="Arial" w:eastAsia="Arial" w:hAnsi="Arial"/>
          <w:sz w:val="18"/>
          <w:szCs w:val="18"/>
          <w:i w:val="1"/>
          <w:iCs w:val="1"/>
          <w:color w:val="auto"/>
        </w:rPr>
        <w:t>Audit Fees—</w:t>
      </w:r>
      <w:r>
        <w:rPr>
          <w:rFonts w:ascii="Arial" w:cs="Arial" w:eastAsia="Arial" w:hAnsi="Arial"/>
          <w:sz w:val="18"/>
          <w:szCs w:val="18"/>
          <w:color w:val="auto"/>
        </w:rPr>
        <w:t>Consists of fees billed for professional services rendered for the audit of our financial statements and services that are normally</w:t>
      </w:r>
      <w:r>
        <w:rPr>
          <w:rFonts w:ascii="Arial" w:cs="Arial" w:eastAsia="Arial" w:hAnsi="Arial"/>
          <w:sz w:val="18"/>
          <w:szCs w:val="18"/>
          <w:i w:val="1"/>
          <w:iCs w:val="1"/>
          <w:color w:val="auto"/>
        </w:rPr>
        <w:t xml:space="preserve"> </w:t>
      </w:r>
      <w:r>
        <w:rPr>
          <w:rFonts w:ascii="Arial" w:cs="Arial" w:eastAsia="Arial" w:hAnsi="Arial"/>
          <w:sz w:val="18"/>
          <w:szCs w:val="18"/>
          <w:color w:val="auto"/>
        </w:rPr>
        <w:t>provided by our principal accountants in connection with statutory and regulatory filings or engagements.</w:t>
      </w:r>
    </w:p>
    <w:p>
      <w:pPr>
        <w:spacing w:after="0" w:line="170" w:lineRule="exact"/>
        <w:rPr>
          <w:sz w:val="20"/>
          <w:szCs w:val="20"/>
          <w:color w:val="auto"/>
        </w:rPr>
      </w:pPr>
    </w:p>
    <w:p>
      <w:pPr>
        <w:ind w:right="120" w:firstLine="440"/>
        <w:spacing w:after="0" w:line="277" w:lineRule="auto"/>
        <w:rPr>
          <w:sz w:val="20"/>
          <w:szCs w:val="20"/>
          <w:color w:val="auto"/>
        </w:rPr>
      </w:pPr>
      <w:r>
        <w:rPr>
          <w:rFonts w:ascii="Arial" w:cs="Arial" w:eastAsia="Arial" w:hAnsi="Arial"/>
          <w:sz w:val="18"/>
          <w:szCs w:val="18"/>
          <w:i w:val="1"/>
          <w:iCs w:val="1"/>
          <w:color w:val="auto"/>
        </w:rPr>
        <w:t>Audit-Related Fees</w:t>
      </w:r>
      <w:r>
        <w:rPr>
          <w:rFonts w:ascii="Arial" w:cs="Arial" w:eastAsia="Arial" w:hAnsi="Arial"/>
          <w:sz w:val="18"/>
          <w:szCs w:val="18"/>
          <w:color w:val="auto"/>
        </w:rPr>
        <w:t>—Consists of fees for attestation related services other than those described above as Audit fees. Fees for both 2020 and 2019</w:t>
      </w:r>
      <w:r>
        <w:rPr>
          <w:rFonts w:ascii="Arial" w:cs="Arial" w:eastAsia="Arial" w:hAnsi="Arial"/>
          <w:sz w:val="18"/>
          <w:szCs w:val="18"/>
          <w:i w:val="1"/>
          <w:iCs w:val="1"/>
          <w:color w:val="auto"/>
        </w:rPr>
        <w:t xml:space="preserve"> </w:t>
      </w:r>
      <w:r>
        <w:rPr>
          <w:rFonts w:ascii="Arial" w:cs="Arial" w:eastAsia="Arial" w:hAnsi="Arial"/>
          <w:sz w:val="18"/>
          <w:szCs w:val="18"/>
          <w:color w:val="auto"/>
        </w:rPr>
        <w:t>were related to the performance of agreed upon procedures on certain specific lender requirements.</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Tax Fees—</w:t>
      </w:r>
      <w:r>
        <w:rPr>
          <w:rFonts w:ascii="Arial" w:cs="Arial" w:eastAsia="Arial" w:hAnsi="Arial"/>
          <w:sz w:val="18"/>
          <w:szCs w:val="18"/>
          <w:color w:val="auto"/>
        </w:rPr>
        <w:t>Consists of fees billed for professional services for tax compliance, tax advice and tax planning.</w:t>
      </w:r>
    </w:p>
    <w:p>
      <w:pPr>
        <w:spacing w:after="0" w:line="370" w:lineRule="exact"/>
        <w:rPr>
          <w:sz w:val="20"/>
          <w:szCs w:val="20"/>
          <w:color w:val="auto"/>
        </w:rPr>
      </w:pPr>
    </w:p>
    <w:p>
      <w:pPr>
        <w:spacing w:after="0"/>
        <w:tabs>
          <w:tab w:leader="none" w:pos="1180" w:val="left"/>
        </w:tabs>
        <w:rPr>
          <w:sz w:val="20"/>
          <w:szCs w:val="20"/>
          <w:color w:val="auto"/>
        </w:rPr>
      </w:pPr>
      <w:r>
        <w:rPr>
          <w:rFonts w:ascii="Arial" w:cs="Arial" w:eastAsia="Arial" w:hAnsi="Arial"/>
          <w:sz w:val="18"/>
          <w:szCs w:val="18"/>
          <w:b w:val="1"/>
          <w:bCs w:val="1"/>
          <w:color w:val="auto"/>
        </w:rPr>
        <w:t>ITEM 16D.</w:t>
      </w:r>
      <w:r>
        <w:rPr>
          <w:sz w:val="20"/>
          <w:szCs w:val="20"/>
          <w:color w:val="auto"/>
        </w:rPr>
        <w:tab/>
      </w:r>
      <w:r>
        <w:rPr>
          <w:rFonts w:ascii="Arial" w:cs="Arial" w:eastAsia="Arial" w:hAnsi="Arial"/>
          <w:sz w:val="18"/>
          <w:szCs w:val="18"/>
          <w:b w:val="1"/>
          <w:bCs w:val="1"/>
          <w:color w:val="auto"/>
        </w:rPr>
        <w:t>EXEMPTIONS FROM THE LISTING STANDARDS FOR AUDIT COMMITTEES</w:t>
      </w:r>
    </w:p>
    <w:p>
      <w:pPr>
        <w:spacing w:after="0" w:line="121" w:lineRule="exact"/>
        <w:rPr>
          <w:sz w:val="20"/>
          <w:szCs w:val="20"/>
          <w:color w:val="auto"/>
        </w:rPr>
      </w:pPr>
    </w:p>
    <w:p>
      <w:pPr>
        <w:ind w:firstLine="440"/>
        <w:spacing w:after="0" w:line="257" w:lineRule="auto"/>
        <w:rPr>
          <w:sz w:val="20"/>
          <w:szCs w:val="20"/>
          <w:color w:val="auto"/>
        </w:rPr>
      </w:pPr>
      <w:r>
        <w:rPr>
          <w:rFonts w:ascii="Arial" w:cs="Arial" w:eastAsia="Arial" w:hAnsi="Arial"/>
          <w:sz w:val="18"/>
          <w:szCs w:val="18"/>
          <w:color w:val="auto"/>
        </w:rPr>
        <w:t>The disclosure required by Rule 10A-3(b)(1)(iv)(D) under the Exchange Act regarding exemption from the listing standards for audit committee is not applicable to the Company’s audit committee. One of the four members of our audit committee (Mr. Nurek) is a director of Trencor. Our Board determined that Mr. Nurek is independent as that term is defined in Rule 10A-3 under the Exchange Act given the completion of the unbundling of the Company shares held by Trencor which reduced Trencor’s shareholding in the Company’s outstanding shares from 5.3% as of December 31, 2019 to 0% as of December 31, 2020.</w:t>
      </w:r>
    </w:p>
    <w:p>
      <w:pPr>
        <w:spacing w:after="0" w:line="332" w:lineRule="exact"/>
        <w:rPr>
          <w:sz w:val="20"/>
          <w:szCs w:val="20"/>
          <w:color w:val="auto"/>
        </w:rPr>
      </w:pPr>
    </w:p>
    <w:p>
      <w:pPr>
        <w:spacing w:after="0"/>
        <w:tabs>
          <w:tab w:leader="none" w:pos="1180" w:val="left"/>
        </w:tabs>
        <w:rPr>
          <w:sz w:val="20"/>
          <w:szCs w:val="20"/>
          <w:color w:val="auto"/>
        </w:rPr>
      </w:pPr>
      <w:r>
        <w:rPr>
          <w:rFonts w:ascii="Arial" w:cs="Arial" w:eastAsia="Arial" w:hAnsi="Arial"/>
          <w:sz w:val="18"/>
          <w:szCs w:val="18"/>
          <w:b w:val="1"/>
          <w:bCs w:val="1"/>
          <w:color w:val="auto"/>
        </w:rPr>
        <w:t>ITEM 16E.</w:t>
      </w:r>
      <w:r>
        <w:rPr>
          <w:sz w:val="20"/>
          <w:szCs w:val="20"/>
          <w:color w:val="auto"/>
        </w:rPr>
        <w:tab/>
      </w:r>
      <w:r>
        <w:rPr>
          <w:rFonts w:ascii="Arial" w:cs="Arial" w:eastAsia="Arial" w:hAnsi="Arial"/>
          <w:sz w:val="17"/>
          <w:szCs w:val="17"/>
          <w:b w:val="1"/>
          <w:bCs w:val="1"/>
          <w:color w:val="auto"/>
        </w:rPr>
        <w:t>PURCHASES OF EQUITY SECURITIES BY THE ISSUER AND AFFILIATED PURCHASERS</w:t>
      </w:r>
    </w:p>
    <w:p>
      <w:pPr>
        <w:spacing w:after="0" w:line="121" w:lineRule="exact"/>
        <w:rPr>
          <w:sz w:val="20"/>
          <w:szCs w:val="20"/>
          <w:color w:val="auto"/>
        </w:rPr>
      </w:pPr>
    </w:p>
    <w:p>
      <w:pPr>
        <w:ind w:right="40" w:firstLine="440"/>
        <w:spacing w:after="0" w:line="279" w:lineRule="auto"/>
        <w:rPr>
          <w:sz w:val="20"/>
          <w:szCs w:val="20"/>
          <w:color w:val="auto"/>
        </w:rPr>
      </w:pPr>
      <w:r>
        <w:rPr>
          <w:rFonts w:ascii="Arial" w:cs="Arial" w:eastAsia="Arial" w:hAnsi="Arial"/>
          <w:sz w:val="17"/>
          <w:szCs w:val="17"/>
          <w:color w:val="auto"/>
        </w:rPr>
        <w:t>In August 2019, our board of directors approved a share repurchase program of up to $25,000 of the Company’s common shares. Under the program, the Company may purchase its common shares from time to time in the open market, in privately negotiated transactions or such other manner as will comply with applicable laws and regulations. The authorization did not obligate us to acquire a specific number of shares during any period, but it may be modified, suspended or terminated at any time at the discretion of the Company’s board of directors.</w:t>
      </w:r>
    </w:p>
    <w:p>
      <w:pPr>
        <w:spacing w:after="0" w:line="171" w:lineRule="exact"/>
        <w:rPr>
          <w:sz w:val="20"/>
          <w:szCs w:val="20"/>
          <w:color w:val="auto"/>
        </w:rPr>
      </w:pPr>
    </w:p>
    <w:p>
      <w:pPr>
        <w:ind w:right="380" w:firstLine="440"/>
        <w:spacing w:after="0" w:line="277" w:lineRule="auto"/>
        <w:rPr>
          <w:sz w:val="20"/>
          <w:szCs w:val="20"/>
          <w:color w:val="auto"/>
        </w:rPr>
      </w:pPr>
      <w:r>
        <w:rPr>
          <w:rFonts w:ascii="Arial" w:cs="Arial" w:eastAsia="Arial" w:hAnsi="Arial"/>
          <w:sz w:val="18"/>
          <w:szCs w:val="18"/>
          <w:color w:val="auto"/>
        </w:rPr>
        <w:t>In March 2020, our board of directors had approved an amendment to increase the share repurchase program from $25,000 to an aggregate of $50,000.</w:t>
      </w:r>
    </w:p>
    <w:p>
      <w:pPr>
        <w:spacing w:after="0" w:line="170" w:lineRule="exact"/>
        <w:rPr>
          <w:sz w:val="20"/>
          <w:szCs w:val="20"/>
          <w:color w:val="auto"/>
        </w:rPr>
      </w:pPr>
    </w:p>
    <w:p>
      <w:pPr>
        <w:ind w:right="80" w:firstLine="440"/>
        <w:spacing w:after="0" w:line="259" w:lineRule="auto"/>
        <w:rPr>
          <w:sz w:val="20"/>
          <w:szCs w:val="20"/>
          <w:color w:val="auto"/>
        </w:rPr>
      </w:pPr>
      <w:r>
        <w:rPr>
          <w:rFonts w:ascii="Arial" w:cs="Arial" w:eastAsia="Arial" w:hAnsi="Arial"/>
          <w:sz w:val="18"/>
          <w:szCs w:val="18"/>
          <w:color w:val="auto"/>
        </w:rPr>
        <w:t xml:space="preserve">In September 2020, our board of directors had approved an amendment to increase the share repurchase program from $50,000 to an aggregate of $100,000 (including all common shares repurchased under the program prior to the amendments), commencing in September 2019 up to and including September 1, 2022 (see Note 13 “Share Repurchase Program” and Note 14 “Subsequent Event” to our consolidated financial statements in Item 18, </w:t>
      </w:r>
      <w:r>
        <w:rPr>
          <w:rFonts w:ascii="Arial" w:cs="Arial" w:eastAsia="Arial" w:hAnsi="Arial"/>
          <w:sz w:val="18"/>
          <w:szCs w:val="18"/>
          <w:i w:val="1"/>
          <w:iCs w:val="1"/>
          <w:color w:val="auto"/>
        </w:rPr>
        <w:t xml:space="preserve">“Financial Statements” </w:t>
      </w:r>
      <w:r>
        <w:rPr>
          <w:rFonts w:ascii="Arial" w:cs="Arial" w:eastAsia="Arial" w:hAnsi="Arial"/>
          <w:sz w:val="18"/>
          <w:szCs w:val="18"/>
          <w:color w:val="auto"/>
        </w:rPr>
        <w:t>in this Annual Report on Form 20-F for further discussion.</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96</w:t>
      </w:r>
    </w:p>
    <w:p>
      <w:pPr>
        <w:sectPr>
          <w:pgSz w:w="11900" w:h="16838" w:orient="portrait"/>
          <w:cols w:equalWidth="0" w:num="1">
            <w:col w:w="11000"/>
          </w:cols>
          <w:pgMar w:left="440" w:top="270" w:right="459" w:bottom="1440" w:gutter="0" w:footer="0" w:header="0"/>
        </w:sectPr>
      </w:pPr>
    </w:p>
    <w:bookmarkStart w:id="110" w:name="page111"/>
    <w:bookmarkEnd w:id="110"/>
    <w:p>
      <w:pPr>
        <w:ind w:left="4"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table below is a summary of the shares repurchased by us and the average price paid per share (excluding commissions) during the year ended December 31, 2020. All shares were repurchased in the open market pursuant to the share repurchase program.</w:t>
      </w:r>
    </w:p>
    <w:p>
      <w:pPr>
        <w:spacing w:after="0" w:line="189" w:lineRule="exact"/>
        <w:rPr>
          <w:sz w:val="20"/>
          <w:szCs w:val="20"/>
          <w:color w:val="auto"/>
        </w:rPr>
      </w:pPr>
    </w:p>
    <w:tbl>
      <w:tblPr>
        <w:tblLayout w:type="fixed"/>
        <w:tblInd w:w="444" w:type="dxa"/>
        <w:tblCellMar>
          <w:top w:w="0" w:type="dxa"/>
          <w:left w:w="0" w:type="dxa"/>
          <w:bottom w:w="0" w:type="dxa"/>
          <w:right w:w="0" w:type="dxa"/>
        </w:tblCellMar>
      </w:tblPr>
      <w:tr>
        <w:trPr>
          <w:trHeight w:val="171"/>
        </w:trPr>
        <w:tc>
          <w:tcPr>
            <w:tcW w:w="2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3840" w:type="dxa"/>
            <w:vAlign w:val="bottom"/>
          </w:tcPr>
          <w:p>
            <w:pPr>
              <w:spacing w:after="0"/>
              <w:rPr>
                <w:sz w:val="14"/>
                <w:szCs w:val="14"/>
                <w:color w:val="auto"/>
              </w:rPr>
            </w:pPr>
          </w:p>
        </w:tc>
        <w:tc>
          <w:tcPr>
            <w:tcW w:w="840" w:type="dxa"/>
            <w:vAlign w:val="bottom"/>
            <w:tcBorders>
              <w:bottom w:val="single" w:sz="8" w:color="auto"/>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2920" w:type="dxa"/>
            <w:vAlign w:val="bottom"/>
            <w:tcBorders>
              <w:bottom w:val="single" w:sz="8" w:color="auto"/>
            </w:tcBorders>
            <w:gridSpan w:val="4"/>
          </w:tcPr>
          <w:p>
            <w:pPr>
              <w:jc w:val="right"/>
              <w:ind w:right="560"/>
              <w:spacing w:after="0"/>
              <w:rPr>
                <w:sz w:val="20"/>
                <w:szCs w:val="20"/>
                <w:color w:val="auto"/>
              </w:rPr>
            </w:pPr>
            <w:r>
              <w:rPr>
                <w:rFonts w:ascii="Arial" w:cs="Arial" w:eastAsia="Arial" w:hAnsi="Arial"/>
                <w:sz w:val="14"/>
                <w:szCs w:val="14"/>
                <w:b w:val="1"/>
                <w:bCs w:val="1"/>
                <w:color w:val="auto"/>
                <w:w w:val="94"/>
              </w:rPr>
              <w:t>Issuer Purchases of Common Shares</w:t>
            </w:r>
          </w:p>
        </w:tc>
        <w:tc>
          <w:tcPr>
            <w:tcW w:w="140" w:type="dxa"/>
            <w:vAlign w:val="bottom"/>
            <w:tcBorders>
              <w:bottom w:val="single" w:sz="8" w:color="auto"/>
            </w:tcBorders>
          </w:tcPr>
          <w:p>
            <w:pPr>
              <w:spacing w:after="0"/>
              <w:rPr>
                <w:sz w:val="14"/>
                <w:szCs w:val="14"/>
                <w:color w:val="auto"/>
              </w:rPr>
            </w:pPr>
          </w:p>
        </w:tc>
        <w:tc>
          <w:tcPr>
            <w:tcW w:w="1100" w:type="dxa"/>
            <w:vAlign w:val="bottom"/>
            <w:tcBorders>
              <w:bottom w:val="single" w:sz="8" w:color="auto"/>
            </w:tcBorders>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2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384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1660" w:type="dxa"/>
            <w:vAlign w:val="bottom"/>
            <w:gridSpan w:val="2"/>
          </w:tcPr>
          <w:p>
            <w:pPr>
              <w:jc w:val="center"/>
              <w:ind w:right="580"/>
              <w:spacing w:after="0" w:line="119" w:lineRule="exact"/>
              <w:rPr>
                <w:sz w:val="20"/>
                <w:szCs w:val="20"/>
                <w:color w:val="auto"/>
              </w:rPr>
            </w:pPr>
            <w:r>
              <w:rPr>
                <w:rFonts w:ascii="Arial" w:cs="Arial" w:eastAsia="Arial" w:hAnsi="Arial"/>
                <w:sz w:val="13"/>
                <w:szCs w:val="13"/>
                <w:b w:val="1"/>
                <w:bCs w:val="1"/>
                <w:color w:val="auto"/>
              </w:rPr>
              <w:t>Total number of</w:t>
            </w:r>
          </w:p>
        </w:tc>
        <w:tc>
          <w:tcPr>
            <w:tcW w:w="1240" w:type="dxa"/>
            <w:vAlign w:val="bottom"/>
            <w:gridSpan w:val="2"/>
          </w:tcPr>
          <w:p>
            <w:pPr>
              <w:ind w:left="20"/>
              <w:spacing w:after="0" w:line="119" w:lineRule="exact"/>
              <w:rPr>
                <w:sz w:val="20"/>
                <w:szCs w:val="20"/>
                <w:color w:val="auto"/>
              </w:rPr>
            </w:pPr>
            <w:r>
              <w:rPr>
                <w:rFonts w:ascii="Arial" w:cs="Arial" w:eastAsia="Arial" w:hAnsi="Arial"/>
                <w:sz w:val="13"/>
                <w:szCs w:val="13"/>
                <w:b w:val="1"/>
                <w:bCs w:val="1"/>
                <w:color w:val="auto"/>
              </w:rPr>
              <w:t>Approximate dollar</w:t>
            </w:r>
          </w:p>
        </w:tc>
        <w:tc>
          <w:tcPr>
            <w:tcW w:w="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3840" w:type="dxa"/>
            <w:vAlign w:val="bottom"/>
          </w:tcPr>
          <w:p>
            <w:pPr>
              <w:spacing w:after="0"/>
              <w:rPr>
                <w:sz w:val="12"/>
                <w:szCs w:val="12"/>
                <w:color w:val="auto"/>
              </w:rPr>
            </w:pPr>
          </w:p>
        </w:tc>
        <w:tc>
          <w:tcPr>
            <w:tcW w:w="1140" w:type="dxa"/>
            <w:vAlign w:val="bottom"/>
            <w:gridSpan w:val="2"/>
            <w:vMerge w:val="restart"/>
          </w:tcPr>
          <w:p>
            <w:pPr>
              <w:jc w:val="center"/>
              <w:ind w:right="300"/>
              <w:spacing w:after="0"/>
              <w:rPr>
                <w:sz w:val="20"/>
                <w:szCs w:val="20"/>
                <w:color w:val="auto"/>
              </w:rPr>
            </w:pPr>
            <w:r>
              <w:rPr>
                <w:rFonts w:ascii="Arial" w:cs="Arial" w:eastAsia="Arial" w:hAnsi="Arial"/>
                <w:sz w:val="14"/>
                <w:szCs w:val="14"/>
                <w:b w:val="1"/>
                <w:bCs w:val="1"/>
                <w:color w:val="auto"/>
                <w:w w:val="94"/>
              </w:rPr>
              <w:t>Total number</w:t>
            </w:r>
          </w:p>
        </w:tc>
        <w:tc>
          <w:tcPr>
            <w:tcW w:w="3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60" w:type="dxa"/>
            <w:vAlign w:val="bottom"/>
            <w:gridSpan w:val="2"/>
          </w:tcPr>
          <w:p>
            <w:pPr>
              <w:jc w:val="center"/>
              <w:ind w:right="600"/>
              <w:spacing w:after="0" w:line="149" w:lineRule="exact"/>
              <w:rPr>
                <w:sz w:val="20"/>
                <w:szCs w:val="20"/>
                <w:color w:val="auto"/>
              </w:rPr>
            </w:pPr>
            <w:r>
              <w:rPr>
                <w:rFonts w:ascii="Arial" w:cs="Arial" w:eastAsia="Arial" w:hAnsi="Arial"/>
                <w:sz w:val="14"/>
                <w:szCs w:val="14"/>
                <w:b w:val="1"/>
                <w:bCs w:val="1"/>
                <w:color w:val="auto"/>
                <w:w w:val="88"/>
              </w:rPr>
              <w:t>shares purchased</w:t>
            </w:r>
          </w:p>
        </w:tc>
        <w:tc>
          <w:tcPr>
            <w:tcW w:w="1280" w:type="dxa"/>
            <w:vAlign w:val="bottom"/>
            <w:gridSpan w:val="3"/>
          </w:tcPr>
          <w:p>
            <w:pPr>
              <w:ind w:left="20"/>
              <w:spacing w:after="0" w:line="149" w:lineRule="exact"/>
              <w:rPr>
                <w:sz w:val="20"/>
                <w:szCs w:val="20"/>
                <w:color w:val="auto"/>
              </w:rPr>
            </w:pPr>
            <w:r>
              <w:rPr>
                <w:rFonts w:ascii="Arial" w:cs="Arial" w:eastAsia="Arial" w:hAnsi="Arial"/>
                <w:sz w:val="14"/>
                <w:szCs w:val="14"/>
                <w:b w:val="1"/>
                <w:bCs w:val="1"/>
                <w:color w:val="auto"/>
                <w:w w:val="94"/>
              </w:rPr>
              <w:t>value of shares that</w:t>
            </w: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3840" w:type="dxa"/>
            <w:vAlign w:val="bottom"/>
          </w:tcPr>
          <w:p>
            <w:pPr>
              <w:spacing w:after="0"/>
              <w:rPr>
                <w:sz w:val="12"/>
                <w:szCs w:val="12"/>
                <w:color w:val="auto"/>
              </w:rPr>
            </w:pPr>
          </w:p>
        </w:tc>
        <w:tc>
          <w:tcPr>
            <w:tcW w:w="1140" w:type="dxa"/>
            <w:vAlign w:val="bottom"/>
            <w:gridSpan w:val="2"/>
            <w:vMerge w:val="continue"/>
          </w:tcPr>
          <w:p>
            <w:pPr>
              <w:spacing w:after="0"/>
              <w:rPr>
                <w:sz w:val="12"/>
                <w:szCs w:val="12"/>
                <w:color w:val="auto"/>
              </w:rPr>
            </w:pPr>
          </w:p>
        </w:tc>
        <w:tc>
          <w:tcPr>
            <w:tcW w:w="300" w:type="dxa"/>
            <w:vAlign w:val="bottom"/>
          </w:tcPr>
          <w:p>
            <w:pPr>
              <w:spacing w:after="0"/>
              <w:rPr>
                <w:sz w:val="12"/>
                <w:szCs w:val="12"/>
                <w:color w:val="auto"/>
              </w:rPr>
            </w:pPr>
          </w:p>
        </w:tc>
        <w:tc>
          <w:tcPr>
            <w:tcW w:w="1480" w:type="dxa"/>
            <w:vAlign w:val="bottom"/>
            <w:gridSpan w:val="3"/>
            <w:vMerge w:val="restart"/>
          </w:tcPr>
          <w:p>
            <w:pPr>
              <w:ind w:left="20"/>
              <w:spacing w:after="0"/>
              <w:rPr>
                <w:sz w:val="20"/>
                <w:szCs w:val="20"/>
                <w:color w:val="auto"/>
              </w:rPr>
            </w:pPr>
            <w:r>
              <w:rPr>
                <w:rFonts w:ascii="Arial" w:cs="Arial" w:eastAsia="Arial" w:hAnsi="Arial"/>
                <w:sz w:val="14"/>
                <w:szCs w:val="14"/>
                <w:b w:val="1"/>
                <w:bCs w:val="1"/>
                <w:color w:val="auto"/>
              </w:rPr>
              <w:t>Average price</w:t>
            </w:r>
          </w:p>
        </w:tc>
        <w:tc>
          <w:tcPr>
            <w:tcW w:w="1660" w:type="dxa"/>
            <w:vAlign w:val="bottom"/>
            <w:gridSpan w:val="2"/>
          </w:tcPr>
          <w:p>
            <w:pPr>
              <w:jc w:val="center"/>
              <w:ind w:right="580"/>
              <w:spacing w:after="0" w:line="149" w:lineRule="exact"/>
              <w:rPr>
                <w:sz w:val="20"/>
                <w:szCs w:val="20"/>
                <w:color w:val="auto"/>
              </w:rPr>
            </w:pPr>
            <w:r>
              <w:rPr>
                <w:rFonts w:ascii="Arial" w:cs="Arial" w:eastAsia="Arial" w:hAnsi="Arial"/>
                <w:sz w:val="14"/>
                <w:szCs w:val="14"/>
                <w:b w:val="1"/>
                <w:bCs w:val="1"/>
                <w:color w:val="auto"/>
                <w:w w:val="76"/>
              </w:rPr>
              <w:t>as</w:t>
            </w:r>
          </w:p>
        </w:tc>
        <w:tc>
          <w:tcPr>
            <w:tcW w:w="140" w:type="dxa"/>
            <w:vAlign w:val="bottom"/>
          </w:tcPr>
          <w:p>
            <w:pPr>
              <w:spacing w:after="0"/>
              <w:rPr>
                <w:sz w:val="12"/>
                <w:szCs w:val="12"/>
                <w:color w:val="auto"/>
              </w:rPr>
            </w:pPr>
          </w:p>
        </w:tc>
        <w:tc>
          <w:tcPr>
            <w:tcW w:w="114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91"/>
              </w:rPr>
              <w:t>may yet be</w:t>
            </w:r>
          </w:p>
        </w:tc>
        <w:tc>
          <w:tcPr>
            <w:tcW w:w="0" w:type="dxa"/>
            <w:vAlign w:val="bottom"/>
          </w:tcPr>
          <w:p>
            <w:pPr>
              <w:spacing w:after="0"/>
              <w:rPr>
                <w:sz w:val="1"/>
                <w:szCs w:val="1"/>
                <w:color w:val="auto"/>
              </w:rPr>
            </w:pPr>
          </w:p>
        </w:tc>
      </w:tr>
      <w:tr>
        <w:trPr>
          <w:trHeight w:val="149"/>
        </w:trPr>
        <w:tc>
          <w:tcPr>
            <w:tcW w:w="426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Period</w:t>
            </w:r>
          </w:p>
        </w:tc>
        <w:tc>
          <w:tcPr>
            <w:tcW w:w="11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9"/>
              </w:rPr>
              <w:t>of shares</w:t>
            </w:r>
          </w:p>
        </w:tc>
        <w:tc>
          <w:tcPr>
            <w:tcW w:w="300" w:type="dxa"/>
            <w:vAlign w:val="bottom"/>
          </w:tcPr>
          <w:p>
            <w:pPr>
              <w:spacing w:after="0"/>
              <w:rPr>
                <w:sz w:val="12"/>
                <w:szCs w:val="12"/>
                <w:color w:val="auto"/>
              </w:rPr>
            </w:pPr>
          </w:p>
        </w:tc>
        <w:tc>
          <w:tcPr>
            <w:tcW w:w="1480" w:type="dxa"/>
            <w:vAlign w:val="bottom"/>
            <w:gridSpan w:val="3"/>
            <w:vMerge w:val="continue"/>
          </w:tcPr>
          <w:p>
            <w:pPr>
              <w:spacing w:after="0"/>
              <w:rPr>
                <w:sz w:val="12"/>
                <w:szCs w:val="12"/>
                <w:color w:val="auto"/>
              </w:rPr>
            </w:pPr>
          </w:p>
        </w:tc>
        <w:tc>
          <w:tcPr>
            <w:tcW w:w="1660" w:type="dxa"/>
            <w:vAlign w:val="bottom"/>
            <w:gridSpan w:val="2"/>
          </w:tcPr>
          <w:p>
            <w:pPr>
              <w:jc w:val="center"/>
              <w:ind w:right="580"/>
              <w:spacing w:after="0" w:line="149" w:lineRule="exact"/>
              <w:rPr>
                <w:sz w:val="20"/>
                <w:szCs w:val="20"/>
                <w:color w:val="auto"/>
              </w:rPr>
            </w:pPr>
            <w:r>
              <w:rPr>
                <w:rFonts w:ascii="Arial" w:cs="Arial" w:eastAsia="Arial" w:hAnsi="Arial"/>
                <w:sz w:val="14"/>
                <w:szCs w:val="14"/>
                <w:b w:val="1"/>
                <w:bCs w:val="1"/>
                <w:color w:val="auto"/>
                <w:w w:val="95"/>
              </w:rPr>
              <w:t>part of publicly</w:t>
            </w:r>
          </w:p>
        </w:tc>
        <w:tc>
          <w:tcPr>
            <w:tcW w:w="140" w:type="dxa"/>
            <w:vAlign w:val="bottom"/>
          </w:tcPr>
          <w:p>
            <w:pPr>
              <w:spacing w:after="0"/>
              <w:rPr>
                <w:sz w:val="12"/>
                <w:szCs w:val="12"/>
                <w:color w:val="auto"/>
              </w:rPr>
            </w:pPr>
          </w:p>
        </w:tc>
        <w:tc>
          <w:tcPr>
            <w:tcW w:w="114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90"/>
              </w:rPr>
              <w:t>purchased</w:t>
            </w:r>
          </w:p>
        </w:tc>
        <w:tc>
          <w:tcPr>
            <w:tcW w:w="0" w:type="dxa"/>
            <w:vAlign w:val="bottom"/>
          </w:tcPr>
          <w:p>
            <w:pPr>
              <w:spacing w:after="0"/>
              <w:rPr>
                <w:sz w:val="1"/>
                <w:szCs w:val="1"/>
                <w:color w:val="auto"/>
              </w:rPr>
            </w:pPr>
          </w:p>
        </w:tc>
      </w:tr>
      <w:tr>
        <w:trPr>
          <w:trHeight w:val="158"/>
        </w:trPr>
        <w:tc>
          <w:tcPr>
            <w:tcW w:w="4260" w:type="dxa"/>
            <w:vAlign w:val="bottom"/>
            <w:gridSpan w:val="3"/>
            <w:vMerge w:val="continue"/>
          </w:tcPr>
          <w:p>
            <w:pPr>
              <w:spacing w:after="0"/>
              <w:rPr>
                <w:sz w:val="13"/>
                <w:szCs w:val="13"/>
                <w:color w:val="auto"/>
              </w:rPr>
            </w:pPr>
          </w:p>
        </w:tc>
        <w:tc>
          <w:tcPr>
            <w:tcW w:w="1140" w:type="dxa"/>
            <w:vAlign w:val="bottom"/>
            <w:gridSpan w:val="2"/>
          </w:tcPr>
          <w:p>
            <w:pPr>
              <w:jc w:val="center"/>
              <w:ind w:right="300"/>
              <w:spacing w:after="0" w:line="158" w:lineRule="exact"/>
              <w:rPr>
                <w:sz w:val="20"/>
                <w:szCs w:val="20"/>
                <w:color w:val="auto"/>
              </w:rPr>
            </w:pPr>
            <w:r>
              <w:rPr>
                <w:rFonts w:ascii="Arial" w:cs="Arial" w:eastAsia="Arial" w:hAnsi="Arial"/>
                <w:sz w:val="14"/>
                <w:szCs w:val="14"/>
                <w:b w:val="1"/>
                <w:bCs w:val="1"/>
                <w:color w:val="auto"/>
                <w:w w:val="91"/>
              </w:rPr>
              <w:t xml:space="preserve">purchased </w:t>
            </w:r>
            <w:r>
              <w:rPr>
                <w:rFonts w:ascii="Arial" w:cs="Arial" w:eastAsia="Arial" w:hAnsi="Arial"/>
                <w:sz w:val="14"/>
                <w:szCs w:val="14"/>
                <w:color w:val="auto"/>
                <w:w w:val="91"/>
              </w:rPr>
              <w:t>(3)</w:t>
            </w:r>
          </w:p>
        </w:tc>
        <w:tc>
          <w:tcPr>
            <w:tcW w:w="300" w:type="dxa"/>
            <w:vAlign w:val="bottom"/>
          </w:tcPr>
          <w:p>
            <w:pPr>
              <w:spacing w:after="0"/>
              <w:rPr>
                <w:sz w:val="13"/>
                <w:szCs w:val="13"/>
                <w:color w:val="auto"/>
              </w:rPr>
            </w:pPr>
          </w:p>
        </w:tc>
        <w:tc>
          <w:tcPr>
            <w:tcW w:w="1480" w:type="dxa"/>
            <w:vAlign w:val="bottom"/>
            <w:gridSpan w:val="3"/>
          </w:tcPr>
          <w:p>
            <w:pPr>
              <w:spacing w:after="0" w:line="158" w:lineRule="exact"/>
              <w:rPr>
                <w:sz w:val="20"/>
                <w:szCs w:val="20"/>
                <w:color w:val="auto"/>
              </w:rPr>
            </w:pPr>
            <w:r>
              <w:rPr>
                <w:rFonts w:ascii="Arial" w:cs="Arial" w:eastAsia="Arial" w:hAnsi="Arial"/>
                <w:sz w:val="14"/>
                <w:szCs w:val="14"/>
                <w:b w:val="1"/>
                <w:bCs w:val="1"/>
                <w:color w:val="auto"/>
              </w:rPr>
              <w:t>paid per share</w:t>
            </w:r>
          </w:p>
        </w:tc>
        <w:tc>
          <w:tcPr>
            <w:tcW w:w="1660" w:type="dxa"/>
            <w:vAlign w:val="bottom"/>
            <w:gridSpan w:val="2"/>
          </w:tcPr>
          <w:p>
            <w:pPr>
              <w:jc w:val="center"/>
              <w:ind w:right="600"/>
              <w:spacing w:after="0" w:line="158" w:lineRule="exact"/>
              <w:rPr>
                <w:sz w:val="20"/>
                <w:szCs w:val="20"/>
                <w:color w:val="auto"/>
              </w:rPr>
            </w:pPr>
            <w:r>
              <w:rPr>
                <w:rFonts w:ascii="Arial" w:cs="Arial" w:eastAsia="Arial" w:hAnsi="Arial"/>
                <w:sz w:val="14"/>
                <w:szCs w:val="14"/>
                <w:b w:val="1"/>
                <w:bCs w:val="1"/>
                <w:color w:val="auto"/>
                <w:w w:val="91"/>
              </w:rPr>
              <w:t>announced plan</w:t>
            </w:r>
          </w:p>
        </w:tc>
        <w:tc>
          <w:tcPr>
            <w:tcW w:w="140" w:type="dxa"/>
            <w:vAlign w:val="bottom"/>
          </w:tcPr>
          <w:p>
            <w:pPr>
              <w:spacing w:after="0"/>
              <w:rPr>
                <w:sz w:val="13"/>
                <w:szCs w:val="13"/>
                <w:color w:val="auto"/>
              </w:rPr>
            </w:pPr>
          </w:p>
        </w:tc>
        <w:tc>
          <w:tcPr>
            <w:tcW w:w="1140" w:type="dxa"/>
            <w:vAlign w:val="bottom"/>
            <w:gridSpan w:val="2"/>
          </w:tcPr>
          <w:p>
            <w:pPr>
              <w:jc w:val="center"/>
              <w:ind w:right="200"/>
              <w:spacing w:after="0" w:line="158" w:lineRule="exact"/>
              <w:rPr>
                <w:sz w:val="20"/>
                <w:szCs w:val="20"/>
                <w:color w:val="auto"/>
              </w:rPr>
            </w:pPr>
            <w:r>
              <w:rPr>
                <w:rFonts w:ascii="Arial" w:cs="Arial" w:eastAsia="Arial" w:hAnsi="Arial"/>
                <w:sz w:val="14"/>
                <w:szCs w:val="14"/>
                <w:b w:val="1"/>
                <w:bCs w:val="1"/>
                <w:color w:val="auto"/>
                <w:w w:val="93"/>
              </w:rPr>
              <w:t>under the plan</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00" w:type="dxa"/>
            <w:vAlign w:val="bottom"/>
            <w:tcBorders>
              <w:bottom w:val="single" w:sz="8" w:color="CCEEFF"/>
            </w:tcBorders>
            <w:shd w:val="clear" w:color="auto" w:fill="000000"/>
          </w:tcPr>
          <w:p>
            <w:pPr>
              <w:spacing w:after="0" w:line="20" w:lineRule="exact"/>
              <w:rPr>
                <w:sz w:val="1"/>
                <w:szCs w:val="1"/>
                <w:color w:val="auto"/>
              </w:rPr>
            </w:pPr>
          </w:p>
        </w:tc>
        <w:tc>
          <w:tcPr>
            <w:tcW w:w="3840" w:type="dxa"/>
            <w:vAlign w:val="bottom"/>
            <w:tcBorders>
              <w:bottom w:val="single" w:sz="8" w:color="CCEEFF"/>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CCEEFF"/>
            </w:tcBorders>
          </w:tcPr>
          <w:p>
            <w:pPr>
              <w:spacing w:after="0" w:line="20" w:lineRule="exact"/>
              <w:rPr>
                <w:sz w:val="1"/>
                <w:szCs w:val="1"/>
                <w:color w:val="auto"/>
              </w:rPr>
            </w:pPr>
          </w:p>
        </w:tc>
        <w:tc>
          <w:tcPr>
            <w:tcW w:w="300" w:type="dxa"/>
            <w:vAlign w:val="bottom"/>
            <w:tcBorders>
              <w:bottom w:val="single" w:sz="8" w:color="CCEEFF"/>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CCEEFF"/>
            </w:tcBorders>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3"/>
        </w:trPr>
        <w:tc>
          <w:tcPr>
            <w:tcW w:w="20" w:type="dxa"/>
            <w:vAlign w:val="bottom"/>
          </w:tcPr>
          <w:p>
            <w:pPr>
              <w:spacing w:after="0"/>
              <w:rPr>
                <w:sz w:val="17"/>
                <w:szCs w:val="17"/>
                <w:color w:val="auto"/>
              </w:rPr>
            </w:pPr>
          </w:p>
        </w:tc>
        <w:tc>
          <w:tcPr>
            <w:tcW w:w="4240" w:type="dxa"/>
            <w:vAlign w:val="bottom"/>
            <w:gridSpan w:val="2"/>
            <w:shd w:val="clear" w:color="auto" w:fill="CCEEFF"/>
          </w:tcPr>
          <w:p>
            <w:pPr>
              <w:spacing w:after="0" w:line="203" w:lineRule="exact"/>
              <w:rPr>
                <w:sz w:val="20"/>
                <w:szCs w:val="20"/>
                <w:color w:val="auto"/>
              </w:rPr>
            </w:pPr>
            <w:r>
              <w:rPr>
                <w:rFonts w:ascii="Arial" w:cs="Arial" w:eastAsia="Arial" w:hAnsi="Arial"/>
                <w:sz w:val="18"/>
                <w:szCs w:val="18"/>
                <w:color w:val="auto"/>
              </w:rPr>
              <w:t>January 1, 2020 through January 31, 2020</w:t>
            </w:r>
          </w:p>
        </w:tc>
        <w:tc>
          <w:tcPr>
            <w:tcW w:w="840" w:type="dxa"/>
            <w:vAlign w:val="bottom"/>
            <w:shd w:val="clear" w:color="auto" w:fill="CCEEFF"/>
          </w:tcPr>
          <w:p>
            <w:pPr>
              <w:jc w:val="right"/>
              <w:spacing w:after="0" w:line="203" w:lineRule="exact"/>
              <w:rPr>
                <w:sz w:val="20"/>
                <w:szCs w:val="20"/>
                <w:color w:val="auto"/>
              </w:rPr>
            </w:pPr>
            <w:r>
              <w:rPr>
                <w:rFonts w:ascii="Arial" w:cs="Arial" w:eastAsia="Arial" w:hAnsi="Arial"/>
                <w:sz w:val="18"/>
                <w:szCs w:val="18"/>
                <w:color w:val="auto"/>
              </w:rPr>
              <w:t>70,543</w:t>
            </w:r>
          </w:p>
        </w:tc>
        <w:tc>
          <w:tcPr>
            <w:tcW w:w="3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line="203" w:lineRule="exact"/>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line="203" w:lineRule="exact"/>
              <w:rPr>
                <w:sz w:val="20"/>
                <w:szCs w:val="20"/>
                <w:color w:val="auto"/>
              </w:rPr>
            </w:pPr>
            <w:r>
              <w:rPr>
                <w:rFonts w:ascii="Arial" w:cs="Arial" w:eastAsia="Arial" w:hAnsi="Arial"/>
                <w:sz w:val="18"/>
                <w:szCs w:val="18"/>
                <w:color w:val="auto"/>
              </w:rPr>
              <w:t>9.87</w:t>
            </w:r>
          </w:p>
        </w:tc>
        <w:tc>
          <w:tcPr>
            <w:tcW w:w="60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line="203" w:lineRule="exact"/>
              <w:rPr>
                <w:sz w:val="20"/>
                <w:szCs w:val="20"/>
                <w:color w:val="auto"/>
              </w:rPr>
            </w:pPr>
            <w:r>
              <w:rPr>
                <w:rFonts w:ascii="Arial" w:cs="Arial" w:eastAsia="Arial" w:hAnsi="Arial"/>
                <w:sz w:val="18"/>
                <w:szCs w:val="18"/>
                <w:color w:val="auto"/>
              </w:rPr>
              <w:t>70,543</w:t>
            </w:r>
          </w:p>
        </w:tc>
        <w:tc>
          <w:tcPr>
            <w:tcW w:w="6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line="203" w:lineRule="exact"/>
              <w:rPr>
                <w:sz w:val="20"/>
                <w:szCs w:val="20"/>
                <w:color w:val="auto"/>
              </w:rPr>
            </w:pPr>
            <w:r>
              <w:rPr>
                <w:rFonts w:ascii="Arial" w:cs="Arial" w:eastAsia="Arial" w:hAnsi="Arial"/>
                <w:sz w:val="18"/>
                <w:szCs w:val="18"/>
                <w:color w:val="auto"/>
              </w:rPr>
              <w:t>$</w:t>
            </w:r>
          </w:p>
        </w:tc>
        <w:tc>
          <w:tcPr>
            <w:tcW w:w="1100" w:type="dxa"/>
            <w:vAlign w:val="bottom"/>
            <w:shd w:val="clear" w:color="auto" w:fill="CCEEFF"/>
          </w:tcPr>
          <w:p>
            <w:pPr>
              <w:jc w:val="right"/>
              <w:spacing w:after="0" w:line="203" w:lineRule="exact"/>
              <w:rPr>
                <w:sz w:val="20"/>
                <w:szCs w:val="20"/>
                <w:color w:val="auto"/>
              </w:rPr>
            </w:pPr>
            <w:r>
              <w:rPr>
                <w:rFonts w:ascii="Arial" w:cs="Arial" w:eastAsia="Arial" w:hAnsi="Arial"/>
                <w:sz w:val="18"/>
                <w:szCs w:val="18"/>
                <w:color w:val="auto"/>
              </w:rPr>
              <w:t>15,733</w:t>
            </w:r>
          </w:p>
        </w:tc>
        <w:tc>
          <w:tcPr>
            <w:tcW w:w="4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40" w:type="dxa"/>
            <w:vAlign w:val="bottom"/>
            <w:gridSpan w:val="2"/>
          </w:tcPr>
          <w:p>
            <w:pPr>
              <w:spacing w:after="0"/>
              <w:rPr>
                <w:sz w:val="20"/>
                <w:szCs w:val="20"/>
                <w:color w:val="auto"/>
              </w:rPr>
            </w:pPr>
            <w:r>
              <w:rPr>
                <w:rFonts w:ascii="Arial" w:cs="Arial" w:eastAsia="Arial" w:hAnsi="Arial"/>
                <w:sz w:val="18"/>
                <w:szCs w:val="18"/>
                <w:color w:val="auto"/>
              </w:rPr>
              <w:t>February 1, 2020 through February 29, 2020</w:t>
            </w:r>
          </w:p>
        </w:tc>
        <w:tc>
          <w:tcPr>
            <w:tcW w:w="1140" w:type="dxa"/>
            <w:vAlign w:val="bottom"/>
            <w:gridSpan w:val="2"/>
          </w:tcPr>
          <w:p>
            <w:pPr>
              <w:jc w:val="right"/>
              <w:ind w:right="300"/>
              <w:spacing w:after="0"/>
              <w:rPr>
                <w:sz w:val="20"/>
                <w:szCs w:val="20"/>
                <w:color w:val="auto"/>
              </w:rPr>
            </w:pPr>
            <w:r>
              <w:rPr>
                <w:rFonts w:ascii="Arial" w:cs="Arial" w:eastAsia="Arial" w:hAnsi="Arial"/>
                <w:sz w:val="18"/>
                <w:szCs w:val="18"/>
                <w:color w:val="auto"/>
              </w:rPr>
              <w:t>285,895</w:t>
            </w:r>
          </w:p>
        </w:tc>
        <w:tc>
          <w:tcPr>
            <w:tcW w:w="520" w:type="dxa"/>
            <w:vAlign w:val="bottom"/>
            <w:gridSpan w:val="2"/>
          </w:tcPr>
          <w:p>
            <w:pPr>
              <w:ind w:left="300"/>
              <w:spacing w:after="0"/>
              <w:rPr>
                <w:sz w:val="20"/>
                <w:szCs w:val="20"/>
                <w:color w:val="auto"/>
              </w:rPr>
            </w:pPr>
            <w:r>
              <w:rPr>
                <w:rFonts w:ascii="Arial" w:cs="Arial" w:eastAsia="Arial" w:hAnsi="Arial"/>
                <w:sz w:val="18"/>
                <w:szCs w:val="18"/>
                <w:color w:val="auto"/>
              </w:rPr>
              <w:t>$</w:t>
            </w:r>
          </w:p>
        </w:tc>
        <w:tc>
          <w:tcPr>
            <w:tcW w:w="1260" w:type="dxa"/>
            <w:vAlign w:val="bottom"/>
            <w:gridSpan w:val="2"/>
          </w:tcPr>
          <w:p>
            <w:pPr>
              <w:jc w:val="right"/>
              <w:ind w:right="600"/>
              <w:spacing w:after="0"/>
              <w:rPr>
                <w:sz w:val="20"/>
                <w:szCs w:val="20"/>
                <w:color w:val="auto"/>
              </w:rPr>
            </w:pPr>
            <w:r>
              <w:rPr>
                <w:rFonts w:ascii="Arial" w:cs="Arial" w:eastAsia="Arial" w:hAnsi="Arial"/>
                <w:sz w:val="18"/>
                <w:szCs w:val="18"/>
                <w:color w:val="auto"/>
              </w:rPr>
              <w:t>9.55</w:t>
            </w:r>
          </w:p>
        </w:tc>
        <w:tc>
          <w:tcPr>
            <w:tcW w:w="1660" w:type="dxa"/>
            <w:vAlign w:val="bottom"/>
            <w:gridSpan w:val="2"/>
          </w:tcPr>
          <w:p>
            <w:pPr>
              <w:jc w:val="right"/>
              <w:ind w:right="580"/>
              <w:spacing w:after="0"/>
              <w:rPr>
                <w:sz w:val="20"/>
                <w:szCs w:val="20"/>
                <w:color w:val="auto"/>
              </w:rPr>
            </w:pPr>
            <w:r>
              <w:rPr>
                <w:rFonts w:ascii="Arial" w:cs="Arial" w:eastAsia="Arial" w:hAnsi="Arial"/>
                <w:sz w:val="18"/>
                <w:szCs w:val="18"/>
                <w:color w:val="auto"/>
              </w:rPr>
              <w:t>285,895</w:t>
            </w:r>
          </w:p>
        </w:tc>
        <w:tc>
          <w:tcPr>
            <w:tcW w:w="140" w:type="dxa"/>
            <w:vAlign w:val="bottom"/>
          </w:tcPr>
          <w:p>
            <w:pPr>
              <w:spacing w:after="0"/>
              <w:rPr>
                <w:sz w:val="20"/>
                <w:szCs w:val="20"/>
                <w:color w:val="auto"/>
              </w:rPr>
            </w:pPr>
            <w:r>
              <w:rPr>
                <w:rFonts w:ascii="Arial" w:cs="Arial" w:eastAsia="Arial" w:hAnsi="Arial"/>
                <w:sz w:val="18"/>
                <w:szCs w:val="18"/>
                <w:color w:val="auto"/>
              </w:rPr>
              <w:t>$</w:t>
            </w:r>
          </w:p>
        </w:tc>
        <w:tc>
          <w:tcPr>
            <w:tcW w:w="1140" w:type="dxa"/>
            <w:vAlign w:val="bottom"/>
            <w:gridSpan w:val="2"/>
          </w:tcPr>
          <w:p>
            <w:pPr>
              <w:jc w:val="right"/>
              <w:ind w:right="40"/>
              <w:spacing w:after="0"/>
              <w:rPr>
                <w:sz w:val="20"/>
                <w:szCs w:val="20"/>
                <w:color w:val="auto"/>
              </w:rPr>
            </w:pPr>
            <w:r>
              <w:rPr>
                <w:rFonts w:ascii="Arial" w:cs="Arial" w:eastAsia="Arial" w:hAnsi="Arial"/>
                <w:sz w:val="18"/>
                <w:szCs w:val="18"/>
                <w:color w:val="auto"/>
              </w:rPr>
              <w:t>13,003</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 xml:space="preserve">March 1, 2020 through March 31, 2020 </w:t>
            </w:r>
            <w:r>
              <w:rPr>
                <w:rFonts w:ascii="Arial" w:cs="Arial" w:eastAsia="Arial" w:hAnsi="Arial"/>
                <w:sz w:val="15"/>
                <w:szCs w:val="15"/>
                <w:color w:val="auto"/>
              </w:rPr>
              <w:t>(1)</w:t>
            </w:r>
          </w:p>
        </w:tc>
        <w:tc>
          <w:tcPr>
            <w:tcW w:w="114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1,591,005</w:t>
            </w:r>
          </w:p>
        </w:tc>
        <w:tc>
          <w:tcPr>
            <w:tcW w:w="52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rPr>
              <w:t>$</w:t>
            </w:r>
          </w:p>
        </w:tc>
        <w:tc>
          <w:tcPr>
            <w:tcW w:w="1260" w:type="dxa"/>
            <w:vAlign w:val="bottom"/>
            <w:gridSpan w:val="2"/>
            <w:shd w:val="clear" w:color="auto" w:fill="CCEEFF"/>
          </w:tcPr>
          <w:p>
            <w:pPr>
              <w:jc w:val="right"/>
              <w:ind w:right="600"/>
              <w:spacing w:after="0"/>
              <w:rPr>
                <w:sz w:val="20"/>
                <w:szCs w:val="20"/>
                <w:color w:val="auto"/>
              </w:rPr>
            </w:pPr>
            <w:r>
              <w:rPr>
                <w:rFonts w:ascii="Arial" w:cs="Arial" w:eastAsia="Arial" w:hAnsi="Arial"/>
                <w:sz w:val="18"/>
                <w:szCs w:val="18"/>
                <w:color w:val="auto"/>
              </w:rPr>
              <w:t>7.53</w:t>
            </w:r>
          </w:p>
        </w:tc>
        <w:tc>
          <w:tcPr>
            <w:tcW w:w="166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1,591,005</w:t>
            </w:r>
          </w:p>
        </w:tc>
        <w:tc>
          <w:tcPr>
            <w:tcW w:w="14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11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26,018</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40" w:type="dxa"/>
            <w:vAlign w:val="bottom"/>
            <w:gridSpan w:val="2"/>
          </w:tcPr>
          <w:p>
            <w:pPr>
              <w:spacing w:after="0"/>
              <w:rPr>
                <w:sz w:val="20"/>
                <w:szCs w:val="20"/>
                <w:color w:val="auto"/>
              </w:rPr>
            </w:pPr>
            <w:r>
              <w:rPr>
                <w:rFonts w:ascii="Arial" w:cs="Arial" w:eastAsia="Arial" w:hAnsi="Arial"/>
                <w:sz w:val="18"/>
                <w:szCs w:val="18"/>
                <w:color w:val="auto"/>
              </w:rPr>
              <w:t>April 1, 2020 through April 30, 2020</w:t>
            </w:r>
          </w:p>
        </w:tc>
        <w:tc>
          <w:tcPr>
            <w:tcW w:w="1140" w:type="dxa"/>
            <w:vAlign w:val="bottom"/>
            <w:gridSpan w:val="2"/>
          </w:tcPr>
          <w:p>
            <w:pPr>
              <w:jc w:val="right"/>
              <w:ind w:right="300"/>
              <w:spacing w:after="0"/>
              <w:rPr>
                <w:sz w:val="20"/>
                <w:szCs w:val="20"/>
                <w:color w:val="auto"/>
              </w:rPr>
            </w:pPr>
            <w:r>
              <w:rPr>
                <w:rFonts w:ascii="Arial" w:cs="Arial" w:eastAsia="Arial" w:hAnsi="Arial"/>
                <w:sz w:val="18"/>
                <w:szCs w:val="18"/>
                <w:color w:val="auto"/>
              </w:rPr>
              <w:t>1,316,281</w:t>
            </w:r>
          </w:p>
        </w:tc>
        <w:tc>
          <w:tcPr>
            <w:tcW w:w="520" w:type="dxa"/>
            <w:vAlign w:val="bottom"/>
            <w:gridSpan w:val="2"/>
          </w:tcPr>
          <w:p>
            <w:pPr>
              <w:ind w:left="300"/>
              <w:spacing w:after="0"/>
              <w:rPr>
                <w:sz w:val="20"/>
                <w:szCs w:val="20"/>
                <w:color w:val="auto"/>
              </w:rPr>
            </w:pPr>
            <w:r>
              <w:rPr>
                <w:rFonts w:ascii="Arial" w:cs="Arial" w:eastAsia="Arial" w:hAnsi="Arial"/>
                <w:sz w:val="18"/>
                <w:szCs w:val="18"/>
                <w:color w:val="auto"/>
              </w:rPr>
              <w:t>$</w:t>
            </w:r>
          </w:p>
        </w:tc>
        <w:tc>
          <w:tcPr>
            <w:tcW w:w="1260" w:type="dxa"/>
            <w:vAlign w:val="bottom"/>
            <w:gridSpan w:val="2"/>
          </w:tcPr>
          <w:p>
            <w:pPr>
              <w:jc w:val="right"/>
              <w:ind w:right="600"/>
              <w:spacing w:after="0"/>
              <w:rPr>
                <w:sz w:val="20"/>
                <w:szCs w:val="20"/>
                <w:color w:val="auto"/>
              </w:rPr>
            </w:pPr>
            <w:r>
              <w:rPr>
                <w:rFonts w:ascii="Arial" w:cs="Arial" w:eastAsia="Arial" w:hAnsi="Arial"/>
                <w:sz w:val="18"/>
                <w:szCs w:val="18"/>
                <w:color w:val="auto"/>
              </w:rPr>
              <w:t>8.37</w:t>
            </w:r>
          </w:p>
        </w:tc>
        <w:tc>
          <w:tcPr>
            <w:tcW w:w="1660" w:type="dxa"/>
            <w:vAlign w:val="bottom"/>
            <w:gridSpan w:val="2"/>
          </w:tcPr>
          <w:p>
            <w:pPr>
              <w:jc w:val="right"/>
              <w:ind w:right="580"/>
              <w:spacing w:after="0"/>
              <w:rPr>
                <w:sz w:val="20"/>
                <w:szCs w:val="20"/>
                <w:color w:val="auto"/>
              </w:rPr>
            </w:pPr>
            <w:r>
              <w:rPr>
                <w:rFonts w:ascii="Arial" w:cs="Arial" w:eastAsia="Arial" w:hAnsi="Arial"/>
                <w:sz w:val="18"/>
                <w:szCs w:val="18"/>
                <w:color w:val="auto"/>
              </w:rPr>
              <w:t>1,316,281</w:t>
            </w:r>
          </w:p>
        </w:tc>
        <w:tc>
          <w:tcPr>
            <w:tcW w:w="140" w:type="dxa"/>
            <w:vAlign w:val="bottom"/>
          </w:tcPr>
          <w:p>
            <w:pPr>
              <w:spacing w:after="0"/>
              <w:rPr>
                <w:sz w:val="20"/>
                <w:szCs w:val="20"/>
                <w:color w:val="auto"/>
              </w:rPr>
            </w:pPr>
            <w:r>
              <w:rPr>
                <w:rFonts w:ascii="Arial" w:cs="Arial" w:eastAsia="Arial" w:hAnsi="Arial"/>
                <w:sz w:val="18"/>
                <w:szCs w:val="18"/>
                <w:color w:val="auto"/>
              </w:rPr>
              <w:t>$</w:t>
            </w:r>
          </w:p>
        </w:tc>
        <w:tc>
          <w:tcPr>
            <w:tcW w:w="1140" w:type="dxa"/>
            <w:vAlign w:val="bottom"/>
            <w:gridSpan w:val="2"/>
          </w:tcPr>
          <w:p>
            <w:pPr>
              <w:jc w:val="right"/>
              <w:ind w:right="40"/>
              <w:spacing w:after="0"/>
              <w:rPr>
                <w:sz w:val="20"/>
                <w:szCs w:val="20"/>
                <w:color w:val="auto"/>
              </w:rPr>
            </w:pPr>
            <w:r>
              <w:rPr>
                <w:rFonts w:ascii="Arial" w:cs="Arial" w:eastAsia="Arial" w:hAnsi="Arial"/>
                <w:sz w:val="18"/>
                <w:szCs w:val="18"/>
                <w:color w:val="auto"/>
              </w:rPr>
              <w:t>15,001</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May 1, 2020 through May 31, 2020</w:t>
            </w:r>
          </w:p>
        </w:tc>
        <w:tc>
          <w:tcPr>
            <w:tcW w:w="114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b w:val="1"/>
                <w:bCs w:val="1"/>
                <w:color w:val="auto"/>
              </w:rPr>
              <w:t>—</w:t>
            </w:r>
          </w:p>
        </w:tc>
        <w:tc>
          <w:tcPr>
            <w:tcW w:w="3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ind w:right="680"/>
              <w:spacing w:after="0"/>
              <w:rPr>
                <w:sz w:val="20"/>
                <w:szCs w:val="20"/>
                <w:color w:val="auto"/>
              </w:rPr>
            </w:pPr>
            <w:r>
              <w:rPr>
                <w:rFonts w:ascii="Arial" w:cs="Arial" w:eastAsia="Arial" w:hAnsi="Arial"/>
                <w:sz w:val="18"/>
                <w:szCs w:val="18"/>
                <w:b w:val="1"/>
                <w:bCs w:val="1"/>
                <w:color w:val="auto"/>
              </w:rPr>
              <w:t>—</w:t>
            </w:r>
          </w:p>
        </w:tc>
        <w:tc>
          <w:tcPr>
            <w:tcW w:w="1660" w:type="dxa"/>
            <w:vAlign w:val="bottom"/>
            <w:gridSpan w:val="2"/>
            <w:shd w:val="clear" w:color="auto" w:fill="CCEEFF"/>
          </w:tcPr>
          <w:p>
            <w:pPr>
              <w:jc w:val="right"/>
              <w:ind w:right="680"/>
              <w:spacing w:after="0"/>
              <w:rPr>
                <w:sz w:val="20"/>
                <w:szCs w:val="20"/>
                <w:color w:val="auto"/>
              </w:rPr>
            </w:pPr>
            <w:r>
              <w:rPr>
                <w:rFonts w:ascii="Arial" w:cs="Arial" w:eastAsia="Arial" w:hAnsi="Arial"/>
                <w:sz w:val="18"/>
                <w:szCs w:val="18"/>
                <w:b w:val="1"/>
                <w:bCs w:val="1"/>
                <w:color w:val="auto"/>
              </w:rPr>
              <w:t>—</w:t>
            </w:r>
          </w:p>
        </w:tc>
        <w:tc>
          <w:tcPr>
            <w:tcW w:w="14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11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15,001</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40" w:type="dxa"/>
            <w:vAlign w:val="bottom"/>
            <w:gridSpan w:val="2"/>
          </w:tcPr>
          <w:p>
            <w:pPr>
              <w:spacing w:after="0"/>
              <w:rPr>
                <w:sz w:val="20"/>
                <w:szCs w:val="20"/>
                <w:color w:val="auto"/>
              </w:rPr>
            </w:pPr>
            <w:r>
              <w:rPr>
                <w:rFonts w:ascii="Arial" w:cs="Arial" w:eastAsia="Arial" w:hAnsi="Arial"/>
                <w:sz w:val="18"/>
                <w:szCs w:val="18"/>
                <w:color w:val="auto"/>
              </w:rPr>
              <w:t>June 1, 2020 through June 30, 2020</w:t>
            </w:r>
          </w:p>
        </w:tc>
        <w:tc>
          <w:tcPr>
            <w:tcW w:w="1140" w:type="dxa"/>
            <w:vAlign w:val="bottom"/>
            <w:gridSpan w:val="2"/>
          </w:tcPr>
          <w:p>
            <w:pPr>
              <w:jc w:val="right"/>
              <w:ind w:right="300"/>
              <w:spacing w:after="0"/>
              <w:rPr>
                <w:sz w:val="20"/>
                <w:szCs w:val="20"/>
                <w:color w:val="auto"/>
              </w:rPr>
            </w:pPr>
            <w:r>
              <w:rPr>
                <w:rFonts w:ascii="Arial" w:cs="Arial" w:eastAsia="Arial" w:hAnsi="Arial"/>
                <w:sz w:val="18"/>
                <w:szCs w:val="18"/>
                <w:color w:val="auto"/>
              </w:rPr>
              <w:t>317,513</w:t>
            </w:r>
          </w:p>
        </w:tc>
        <w:tc>
          <w:tcPr>
            <w:tcW w:w="520" w:type="dxa"/>
            <w:vAlign w:val="bottom"/>
            <w:gridSpan w:val="2"/>
          </w:tcPr>
          <w:p>
            <w:pPr>
              <w:ind w:left="300"/>
              <w:spacing w:after="0"/>
              <w:rPr>
                <w:sz w:val="20"/>
                <w:szCs w:val="20"/>
                <w:color w:val="auto"/>
              </w:rPr>
            </w:pPr>
            <w:r>
              <w:rPr>
                <w:rFonts w:ascii="Arial" w:cs="Arial" w:eastAsia="Arial" w:hAnsi="Arial"/>
                <w:sz w:val="18"/>
                <w:szCs w:val="18"/>
                <w:color w:val="auto"/>
              </w:rPr>
              <w:t>$</w:t>
            </w:r>
          </w:p>
        </w:tc>
        <w:tc>
          <w:tcPr>
            <w:tcW w:w="1260" w:type="dxa"/>
            <w:vAlign w:val="bottom"/>
            <w:gridSpan w:val="2"/>
          </w:tcPr>
          <w:p>
            <w:pPr>
              <w:jc w:val="right"/>
              <w:ind w:right="600"/>
              <w:spacing w:after="0"/>
              <w:rPr>
                <w:sz w:val="20"/>
                <w:szCs w:val="20"/>
                <w:color w:val="auto"/>
              </w:rPr>
            </w:pPr>
            <w:r>
              <w:rPr>
                <w:rFonts w:ascii="Arial" w:cs="Arial" w:eastAsia="Arial" w:hAnsi="Arial"/>
                <w:sz w:val="18"/>
                <w:szCs w:val="18"/>
                <w:color w:val="auto"/>
              </w:rPr>
              <w:t>7.97</w:t>
            </w:r>
          </w:p>
        </w:tc>
        <w:tc>
          <w:tcPr>
            <w:tcW w:w="1660" w:type="dxa"/>
            <w:vAlign w:val="bottom"/>
            <w:gridSpan w:val="2"/>
          </w:tcPr>
          <w:p>
            <w:pPr>
              <w:jc w:val="right"/>
              <w:ind w:right="580"/>
              <w:spacing w:after="0"/>
              <w:rPr>
                <w:sz w:val="20"/>
                <w:szCs w:val="20"/>
                <w:color w:val="auto"/>
              </w:rPr>
            </w:pPr>
            <w:r>
              <w:rPr>
                <w:rFonts w:ascii="Arial" w:cs="Arial" w:eastAsia="Arial" w:hAnsi="Arial"/>
                <w:sz w:val="18"/>
                <w:szCs w:val="18"/>
                <w:color w:val="auto"/>
              </w:rPr>
              <w:t>317,513</w:t>
            </w:r>
          </w:p>
        </w:tc>
        <w:tc>
          <w:tcPr>
            <w:tcW w:w="140" w:type="dxa"/>
            <w:vAlign w:val="bottom"/>
          </w:tcPr>
          <w:p>
            <w:pPr>
              <w:spacing w:after="0"/>
              <w:rPr>
                <w:sz w:val="20"/>
                <w:szCs w:val="20"/>
                <w:color w:val="auto"/>
              </w:rPr>
            </w:pPr>
            <w:r>
              <w:rPr>
                <w:rFonts w:ascii="Arial" w:cs="Arial" w:eastAsia="Arial" w:hAnsi="Arial"/>
                <w:sz w:val="18"/>
                <w:szCs w:val="18"/>
                <w:color w:val="auto"/>
              </w:rPr>
              <w:t>$</w:t>
            </w:r>
          </w:p>
        </w:tc>
        <w:tc>
          <w:tcPr>
            <w:tcW w:w="1140" w:type="dxa"/>
            <w:vAlign w:val="bottom"/>
            <w:gridSpan w:val="2"/>
          </w:tcPr>
          <w:p>
            <w:pPr>
              <w:jc w:val="right"/>
              <w:ind w:right="40"/>
              <w:spacing w:after="0"/>
              <w:rPr>
                <w:sz w:val="20"/>
                <w:szCs w:val="20"/>
                <w:color w:val="auto"/>
              </w:rPr>
            </w:pPr>
            <w:r>
              <w:rPr>
                <w:rFonts w:ascii="Arial" w:cs="Arial" w:eastAsia="Arial" w:hAnsi="Arial"/>
                <w:sz w:val="18"/>
                <w:szCs w:val="18"/>
                <w:color w:val="auto"/>
              </w:rPr>
              <w:t>12,470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July 1, 2020 through July 31, 2020</w:t>
            </w:r>
          </w:p>
        </w:tc>
        <w:tc>
          <w:tcPr>
            <w:tcW w:w="114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728,791</w:t>
            </w:r>
          </w:p>
        </w:tc>
        <w:tc>
          <w:tcPr>
            <w:tcW w:w="52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rPr>
              <w:t>$</w:t>
            </w:r>
          </w:p>
        </w:tc>
        <w:tc>
          <w:tcPr>
            <w:tcW w:w="1260" w:type="dxa"/>
            <w:vAlign w:val="bottom"/>
            <w:gridSpan w:val="2"/>
            <w:shd w:val="clear" w:color="auto" w:fill="CCEEFF"/>
          </w:tcPr>
          <w:p>
            <w:pPr>
              <w:jc w:val="right"/>
              <w:ind w:right="600"/>
              <w:spacing w:after="0"/>
              <w:rPr>
                <w:sz w:val="20"/>
                <w:szCs w:val="20"/>
                <w:color w:val="auto"/>
              </w:rPr>
            </w:pPr>
            <w:r>
              <w:rPr>
                <w:rFonts w:ascii="Arial" w:cs="Arial" w:eastAsia="Arial" w:hAnsi="Arial"/>
                <w:sz w:val="18"/>
                <w:szCs w:val="18"/>
                <w:color w:val="auto"/>
              </w:rPr>
              <w:t>8.06</w:t>
            </w:r>
          </w:p>
        </w:tc>
        <w:tc>
          <w:tcPr>
            <w:tcW w:w="166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728,791</w:t>
            </w:r>
          </w:p>
        </w:tc>
        <w:tc>
          <w:tcPr>
            <w:tcW w:w="14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11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6,595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40" w:type="dxa"/>
            <w:vAlign w:val="bottom"/>
            <w:gridSpan w:val="2"/>
          </w:tcPr>
          <w:p>
            <w:pPr>
              <w:spacing w:after="0"/>
              <w:rPr>
                <w:sz w:val="20"/>
                <w:szCs w:val="20"/>
                <w:color w:val="auto"/>
              </w:rPr>
            </w:pPr>
            <w:r>
              <w:rPr>
                <w:rFonts w:ascii="Arial" w:cs="Arial" w:eastAsia="Arial" w:hAnsi="Arial"/>
                <w:sz w:val="18"/>
                <w:szCs w:val="18"/>
                <w:color w:val="auto"/>
              </w:rPr>
              <w:t>August 1, 2020 through August 30, 2020</w:t>
            </w:r>
          </w:p>
        </w:tc>
        <w:tc>
          <w:tcPr>
            <w:tcW w:w="1140" w:type="dxa"/>
            <w:vAlign w:val="bottom"/>
            <w:gridSpan w:val="2"/>
          </w:tcPr>
          <w:p>
            <w:pPr>
              <w:jc w:val="right"/>
              <w:ind w:right="300"/>
              <w:spacing w:after="0"/>
              <w:rPr>
                <w:sz w:val="20"/>
                <w:szCs w:val="20"/>
                <w:color w:val="auto"/>
              </w:rPr>
            </w:pPr>
            <w:r>
              <w:rPr>
                <w:rFonts w:ascii="Arial" w:cs="Arial" w:eastAsia="Arial" w:hAnsi="Arial"/>
                <w:sz w:val="18"/>
                <w:szCs w:val="18"/>
                <w:color w:val="auto"/>
              </w:rPr>
              <w:t>109,446</w:t>
            </w:r>
          </w:p>
        </w:tc>
        <w:tc>
          <w:tcPr>
            <w:tcW w:w="520" w:type="dxa"/>
            <w:vAlign w:val="bottom"/>
            <w:gridSpan w:val="2"/>
          </w:tcPr>
          <w:p>
            <w:pPr>
              <w:ind w:left="300"/>
              <w:spacing w:after="0"/>
              <w:rPr>
                <w:sz w:val="20"/>
                <w:szCs w:val="20"/>
                <w:color w:val="auto"/>
              </w:rPr>
            </w:pPr>
            <w:r>
              <w:rPr>
                <w:rFonts w:ascii="Arial" w:cs="Arial" w:eastAsia="Arial" w:hAnsi="Arial"/>
                <w:sz w:val="18"/>
                <w:szCs w:val="18"/>
                <w:color w:val="auto"/>
              </w:rPr>
              <w:t>$</w:t>
            </w:r>
          </w:p>
        </w:tc>
        <w:tc>
          <w:tcPr>
            <w:tcW w:w="1260" w:type="dxa"/>
            <w:vAlign w:val="bottom"/>
            <w:gridSpan w:val="2"/>
          </w:tcPr>
          <w:p>
            <w:pPr>
              <w:jc w:val="right"/>
              <w:ind w:right="600"/>
              <w:spacing w:after="0"/>
              <w:rPr>
                <w:sz w:val="20"/>
                <w:szCs w:val="20"/>
                <w:color w:val="auto"/>
              </w:rPr>
            </w:pPr>
            <w:r>
              <w:rPr>
                <w:rFonts w:ascii="Arial" w:cs="Arial" w:eastAsia="Arial" w:hAnsi="Arial"/>
                <w:sz w:val="18"/>
                <w:szCs w:val="18"/>
                <w:color w:val="auto"/>
              </w:rPr>
              <w:t>8.87</w:t>
            </w:r>
          </w:p>
        </w:tc>
        <w:tc>
          <w:tcPr>
            <w:tcW w:w="1660" w:type="dxa"/>
            <w:vAlign w:val="bottom"/>
            <w:gridSpan w:val="2"/>
          </w:tcPr>
          <w:p>
            <w:pPr>
              <w:jc w:val="right"/>
              <w:ind w:right="580"/>
              <w:spacing w:after="0"/>
              <w:rPr>
                <w:sz w:val="20"/>
                <w:szCs w:val="20"/>
                <w:color w:val="auto"/>
              </w:rPr>
            </w:pPr>
            <w:r>
              <w:rPr>
                <w:rFonts w:ascii="Arial" w:cs="Arial" w:eastAsia="Arial" w:hAnsi="Arial"/>
                <w:sz w:val="18"/>
                <w:szCs w:val="18"/>
                <w:color w:val="auto"/>
              </w:rPr>
              <w:t>109,446</w:t>
            </w:r>
          </w:p>
        </w:tc>
        <w:tc>
          <w:tcPr>
            <w:tcW w:w="140" w:type="dxa"/>
            <w:vAlign w:val="bottom"/>
          </w:tcPr>
          <w:p>
            <w:pPr>
              <w:spacing w:after="0"/>
              <w:rPr>
                <w:sz w:val="20"/>
                <w:szCs w:val="20"/>
                <w:color w:val="auto"/>
              </w:rPr>
            </w:pPr>
            <w:r>
              <w:rPr>
                <w:rFonts w:ascii="Arial" w:cs="Arial" w:eastAsia="Arial" w:hAnsi="Arial"/>
                <w:sz w:val="18"/>
                <w:szCs w:val="18"/>
                <w:color w:val="auto"/>
              </w:rPr>
              <w:t>$</w:t>
            </w:r>
          </w:p>
        </w:tc>
        <w:tc>
          <w:tcPr>
            <w:tcW w:w="1140" w:type="dxa"/>
            <w:vAlign w:val="bottom"/>
            <w:gridSpan w:val="2"/>
          </w:tcPr>
          <w:p>
            <w:pPr>
              <w:jc w:val="right"/>
              <w:ind w:right="40"/>
              <w:spacing w:after="0"/>
              <w:rPr>
                <w:sz w:val="20"/>
                <w:szCs w:val="20"/>
                <w:color w:val="auto"/>
              </w:rPr>
            </w:pPr>
            <w:r>
              <w:rPr>
                <w:rFonts w:ascii="Arial" w:cs="Arial" w:eastAsia="Arial" w:hAnsi="Arial"/>
                <w:sz w:val="18"/>
                <w:szCs w:val="18"/>
                <w:color w:val="auto"/>
              </w:rPr>
              <w:t>5,625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 xml:space="preserve">September 1, 2020 through September 30, 2020 </w:t>
            </w:r>
            <w:r>
              <w:rPr>
                <w:rFonts w:ascii="Arial" w:cs="Arial" w:eastAsia="Arial" w:hAnsi="Arial"/>
                <w:sz w:val="15"/>
                <w:szCs w:val="15"/>
                <w:color w:val="auto"/>
              </w:rPr>
              <w:t>(2)</w:t>
            </w:r>
          </w:p>
        </w:tc>
        <w:tc>
          <w:tcPr>
            <w:tcW w:w="114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1,537,985</w:t>
            </w:r>
          </w:p>
        </w:tc>
        <w:tc>
          <w:tcPr>
            <w:tcW w:w="52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rPr>
              <w:t>$</w:t>
            </w:r>
          </w:p>
        </w:tc>
        <w:tc>
          <w:tcPr>
            <w:tcW w:w="1260" w:type="dxa"/>
            <w:vAlign w:val="bottom"/>
            <w:gridSpan w:val="2"/>
            <w:shd w:val="clear" w:color="auto" w:fill="CCEEFF"/>
          </w:tcPr>
          <w:p>
            <w:pPr>
              <w:jc w:val="right"/>
              <w:ind w:right="600"/>
              <w:spacing w:after="0"/>
              <w:rPr>
                <w:sz w:val="20"/>
                <w:szCs w:val="20"/>
                <w:color w:val="auto"/>
              </w:rPr>
            </w:pPr>
            <w:r>
              <w:rPr>
                <w:rFonts w:ascii="Arial" w:cs="Arial" w:eastAsia="Arial" w:hAnsi="Arial"/>
                <w:sz w:val="18"/>
                <w:szCs w:val="18"/>
                <w:color w:val="auto"/>
              </w:rPr>
              <w:t>13.48</w:t>
            </w:r>
          </w:p>
        </w:tc>
        <w:tc>
          <w:tcPr>
            <w:tcW w:w="166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1,537,985</w:t>
            </w:r>
          </w:p>
        </w:tc>
        <w:tc>
          <w:tcPr>
            <w:tcW w:w="14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11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34,885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40" w:type="dxa"/>
            <w:vAlign w:val="bottom"/>
            <w:gridSpan w:val="2"/>
          </w:tcPr>
          <w:p>
            <w:pPr>
              <w:spacing w:after="0"/>
              <w:rPr>
                <w:sz w:val="20"/>
                <w:szCs w:val="20"/>
                <w:color w:val="auto"/>
              </w:rPr>
            </w:pPr>
            <w:r>
              <w:rPr>
                <w:rFonts w:ascii="Arial" w:cs="Arial" w:eastAsia="Arial" w:hAnsi="Arial"/>
                <w:sz w:val="18"/>
                <w:szCs w:val="18"/>
                <w:color w:val="auto"/>
              </w:rPr>
              <w:t>October 1, 2020 through October 31, 2020</w:t>
            </w:r>
          </w:p>
        </w:tc>
        <w:tc>
          <w:tcPr>
            <w:tcW w:w="1140" w:type="dxa"/>
            <w:vAlign w:val="bottom"/>
            <w:gridSpan w:val="2"/>
          </w:tcPr>
          <w:p>
            <w:pPr>
              <w:jc w:val="right"/>
              <w:ind w:right="300"/>
              <w:spacing w:after="0"/>
              <w:rPr>
                <w:sz w:val="20"/>
                <w:szCs w:val="20"/>
                <w:color w:val="auto"/>
              </w:rPr>
            </w:pPr>
            <w:r>
              <w:rPr>
                <w:rFonts w:ascii="Arial" w:cs="Arial" w:eastAsia="Arial" w:hAnsi="Arial"/>
                <w:sz w:val="18"/>
                <w:szCs w:val="18"/>
                <w:color w:val="auto"/>
              </w:rPr>
              <w:t>540,116</w:t>
            </w:r>
          </w:p>
        </w:tc>
        <w:tc>
          <w:tcPr>
            <w:tcW w:w="520" w:type="dxa"/>
            <w:vAlign w:val="bottom"/>
            <w:gridSpan w:val="2"/>
          </w:tcPr>
          <w:p>
            <w:pPr>
              <w:ind w:left="300"/>
              <w:spacing w:after="0"/>
              <w:rPr>
                <w:sz w:val="20"/>
                <w:szCs w:val="20"/>
                <w:color w:val="auto"/>
              </w:rPr>
            </w:pPr>
            <w:r>
              <w:rPr>
                <w:rFonts w:ascii="Arial" w:cs="Arial" w:eastAsia="Arial" w:hAnsi="Arial"/>
                <w:sz w:val="18"/>
                <w:szCs w:val="18"/>
                <w:color w:val="auto"/>
              </w:rPr>
              <w:t>$</w:t>
            </w:r>
          </w:p>
        </w:tc>
        <w:tc>
          <w:tcPr>
            <w:tcW w:w="1260" w:type="dxa"/>
            <w:vAlign w:val="bottom"/>
            <w:gridSpan w:val="2"/>
          </w:tcPr>
          <w:p>
            <w:pPr>
              <w:jc w:val="right"/>
              <w:ind w:right="600"/>
              <w:spacing w:after="0"/>
              <w:rPr>
                <w:sz w:val="20"/>
                <w:szCs w:val="20"/>
                <w:color w:val="auto"/>
              </w:rPr>
            </w:pPr>
            <w:r>
              <w:rPr>
                <w:rFonts w:ascii="Arial" w:cs="Arial" w:eastAsia="Arial" w:hAnsi="Arial"/>
                <w:sz w:val="18"/>
                <w:szCs w:val="18"/>
                <w:color w:val="auto"/>
              </w:rPr>
              <w:t>14.38</w:t>
            </w:r>
          </w:p>
        </w:tc>
        <w:tc>
          <w:tcPr>
            <w:tcW w:w="1660" w:type="dxa"/>
            <w:vAlign w:val="bottom"/>
            <w:gridSpan w:val="2"/>
          </w:tcPr>
          <w:p>
            <w:pPr>
              <w:jc w:val="right"/>
              <w:ind w:right="580"/>
              <w:spacing w:after="0"/>
              <w:rPr>
                <w:sz w:val="20"/>
                <w:szCs w:val="20"/>
                <w:color w:val="auto"/>
              </w:rPr>
            </w:pPr>
            <w:r>
              <w:rPr>
                <w:rFonts w:ascii="Arial" w:cs="Arial" w:eastAsia="Arial" w:hAnsi="Arial"/>
                <w:sz w:val="18"/>
                <w:szCs w:val="18"/>
                <w:color w:val="auto"/>
              </w:rPr>
              <w:t>540,116</w:t>
            </w:r>
          </w:p>
        </w:tc>
        <w:tc>
          <w:tcPr>
            <w:tcW w:w="140" w:type="dxa"/>
            <w:vAlign w:val="bottom"/>
          </w:tcPr>
          <w:p>
            <w:pPr>
              <w:spacing w:after="0"/>
              <w:rPr>
                <w:sz w:val="20"/>
                <w:szCs w:val="20"/>
                <w:color w:val="auto"/>
              </w:rPr>
            </w:pPr>
            <w:r>
              <w:rPr>
                <w:rFonts w:ascii="Arial" w:cs="Arial" w:eastAsia="Arial" w:hAnsi="Arial"/>
                <w:sz w:val="18"/>
                <w:szCs w:val="18"/>
                <w:color w:val="auto"/>
              </w:rPr>
              <w:t>$</w:t>
            </w:r>
          </w:p>
        </w:tc>
        <w:tc>
          <w:tcPr>
            <w:tcW w:w="1140" w:type="dxa"/>
            <w:vAlign w:val="bottom"/>
            <w:gridSpan w:val="2"/>
          </w:tcPr>
          <w:p>
            <w:pPr>
              <w:jc w:val="right"/>
              <w:ind w:right="40"/>
              <w:spacing w:after="0"/>
              <w:rPr>
                <w:sz w:val="20"/>
                <w:szCs w:val="20"/>
                <w:color w:val="auto"/>
              </w:rPr>
            </w:pPr>
            <w:r>
              <w:rPr>
                <w:rFonts w:ascii="Arial" w:cs="Arial" w:eastAsia="Arial" w:hAnsi="Arial"/>
                <w:sz w:val="18"/>
                <w:szCs w:val="18"/>
                <w:color w:val="auto"/>
              </w:rPr>
              <w:t>27,117</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November 1, 2020 through November 30, 2020</w:t>
            </w:r>
          </w:p>
        </w:tc>
        <w:tc>
          <w:tcPr>
            <w:tcW w:w="114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20,598</w:t>
            </w:r>
          </w:p>
        </w:tc>
        <w:tc>
          <w:tcPr>
            <w:tcW w:w="52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rPr>
              <w:t>$</w:t>
            </w:r>
          </w:p>
        </w:tc>
        <w:tc>
          <w:tcPr>
            <w:tcW w:w="1260" w:type="dxa"/>
            <w:vAlign w:val="bottom"/>
            <w:gridSpan w:val="2"/>
            <w:shd w:val="clear" w:color="auto" w:fill="CCEEFF"/>
          </w:tcPr>
          <w:p>
            <w:pPr>
              <w:jc w:val="right"/>
              <w:ind w:right="600"/>
              <w:spacing w:after="0"/>
              <w:rPr>
                <w:sz w:val="20"/>
                <w:szCs w:val="20"/>
                <w:color w:val="auto"/>
              </w:rPr>
            </w:pPr>
            <w:r>
              <w:rPr>
                <w:rFonts w:ascii="Arial" w:cs="Arial" w:eastAsia="Arial" w:hAnsi="Arial"/>
                <w:sz w:val="18"/>
                <w:szCs w:val="18"/>
                <w:color w:val="auto"/>
              </w:rPr>
              <w:t>14.39</w:t>
            </w:r>
          </w:p>
        </w:tc>
        <w:tc>
          <w:tcPr>
            <w:tcW w:w="166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20,598</w:t>
            </w:r>
          </w:p>
        </w:tc>
        <w:tc>
          <w:tcPr>
            <w:tcW w:w="14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11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26,821</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40" w:type="dxa"/>
            <w:vAlign w:val="bottom"/>
            <w:gridSpan w:val="2"/>
          </w:tcPr>
          <w:p>
            <w:pPr>
              <w:spacing w:after="0"/>
              <w:rPr>
                <w:sz w:val="20"/>
                <w:szCs w:val="20"/>
                <w:color w:val="auto"/>
              </w:rPr>
            </w:pPr>
            <w:r>
              <w:rPr>
                <w:rFonts w:ascii="Arial" w:cs="Arial" w:eastAsia="Arial" w:hAnsi="Arial"/>
                <w:sz w:val="18"/>
                <w:szCs w:val="18"/>
                <w:color w:val="auto"/>
              </w:rPr>
              <w:t>December 1, 2020 through December 31, 2020</w:t>
            </w:r>
          </w:p>
        </w:tc>
        <w:tc>
          <w:tcPr>
            <w:tcW w:w="1140" w:type="dxa"/>
            <w:vAlign w:val="bottom"/>
            <w:gridSpan w:val="2"/>
          </w:tcPr>
          <w:p>
            <w:pPr>
              <w:jc w:val="right"/>
              <w:ind w:right="300"/>
              <w:spacing w:after="0"/>
              <w:rPr>
                <w:sz w:val="20"/>
                <w:szCs w:val="20"/>
                <w:color w:val="auto"/>
              </w:rPr>
            </w:pPr>
            <w:r>
              <w:rPr>
                <w:rFonts w:ascii="Arial" w:cs="Arial" w:eastAsia="Arial" w:hAnsi="Arial"/>
                <w:sz w:val="18"/>
                <w:szCs w:val="18"/>
                <w:color w:val="auto"/>
              </w:rPr>
              <w:t>218,320</w:t>
            </w:r>
          </w:p>
        </w:tc>
        <w:tc>
          <w:tcPr>
            <w:tcW w:w="520" w:type="dxa"/>
            <w:vAlign w:val="bottom"/>
            <w:gridSpan w:val="2"/>
          </w:tcPr>
          <w:p>
            <w:pPr>
              <w:ind w:left="300"/>
              <w:spacing w:after="0"/>
              <w:rPr>
                <w:sz w:val="20"/>
                <w:szCs w:val="20"/>
                <w:color w:val="auto"/>
              </w:rPr>
            </w:pPr>
            <w:r>
              <w:rPr>
                <w:rFonts w:ascii="Arial" w:cs="Arial" w:eastAsia="Arial" w:hAnsi="Arial"/>
                <w:sz w:val="18"/>
                <w:szCs w:val="18"/>
                <w:color w:val="auto"/>
              </w:rPr>
              <w:t>$</w:t>
            </w:r>
          </w:p>
        </w:tc>
        <w:tc>
          <w:tcPr>
            <w:tcW w:w="1260" w:type="dxa"/>
            <w:vAlign w:val="bottom"/>
            <w:gridSpan w:val="2"/>
          </w:tcPr>
          <w:p>
            <w:pPr>
              <w:jc w:val="right"/>
              <w:ind w:right="600"/>
              <w:spacing w:after="0"/>
              <w:rPr>
                <w:sz w:val="20"/>
                <w:szCs w:val="20"/>
                <w:color w:val="auto"/>
              </w:rPr>
            </w:pPr>
            <w:r>
              <w:rPr>
                <w:rFonts w:ascii="Arial" w:cs="Arial" w:eastAsia="Arial" w:hAnsi="Arial"/>
                <w:sz w:val="18"/>
                <w:szCs w:val="18"/>
                <w:color w:val="auto"/>
              </w:rPr>
              <w:t>16.58</w:t>
            </w:r>
          </w:p>
        </w:tc>
        <w:tc>
          <w:tcPr>
            <w:tcW w:w="1660" w:type="dxa"/>
            <w:vAlign w:val="bottom"/>
            <w:gridSpan w:val="2"/>
          </w:tcPr>
          <w:p>
            <w:pPr>
              <w:jc w:val="right"/>
              <w:ind w:right="580"/>
              <w:spacing w:after="0"/>
              <w:rPr>
                <w:sz w:val="20"/>
                <w:szCs w:val="20"/>
                <w:color w:val="auto"/>
              </w:rPr>
            </w:pPr>
            <w:r>
              <w:rPr>
                <w:rFonts w:ascii="Arial" w:cs="Arial" w:eastAsia="Arial" w:hAnsi="Arial"/>
                <w:sz w:val="18"/>
                <w:szCs w:val="18"/>
                <w:color w:val="auto"/>
              </w:rPr>
              <w:t>218,320</w:t>
            </w:r>
          </w:p>
        </w:tc>
        <w:tc>
          <w:tcPr>
            <w:tcW w:w="140" w:type="dxa"/>
            <w:vAlign w:val="bottom"/>
          </w:tcPr>
          <w:p>
            <w:pPr>
              <w:spacing w:after="0"/>
              <w:rPr>
                <w:sz w:val="20"/>
                <w:szCs w:val="20"/>
                <w:color w:val="auto"/>
              </w:rPr>
            </w:pPr>
            <w:r>
              <w:rPr>
                <w:rFonts w:ascii="Arial" w:cs="Arial" w:eastAsia="Arial" w:hAnsi="Arial"/>
                <w:sz w:val="18"/>
                <w:szCs w:val="18"/>
                <w:color w:val="auto"/>
              </w:rPr>
              <w:t>$</w:t>
            </w:r>
          </w:p>
        </w:tc>
        <w:tc>
          <w:tcPr>
            <w:tcW w:w="1140" w:type="dxa"/>
            <w:vAlign w:val="bottom"/>
            <w:gridSpan w:val="2"/>
          </w:tcPr>
          <w:p>
            <w:pPr>
              <w:jc w:val="right"/>
              <w:ind w:right="40"/>
              <w:spacing w:after="0"/>
              <w:rPr>
                <w:sz w:val="20"/>
                <w:szCs w:val="20"/>
                <w:color w:val="auto"/>
              </w:rPr>
            </w:pPr>
            <w:r>
              <w:rPr>
                <w:rFonts w:ascii="Arial" w:cs="Arial" w:eastAsia="Arial" w:hAnsi="Arial"/>
                <w:sz w:val="18"/>
                <w:szCs w:val="18"/>
                <w:color w:val="auto"/>
              </w:rPr>
              <w:t>23,202</w:t>
            </w: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400" w:type="dxa"/>
            <w:vAlign w:val="bottom"/>
          </w:tcPr>
          <w:p>
            <w:pPr>
              <w:spacing w:after="0"/>
              <w:rPr>
                <w:sz w:val="2"/>
                <w:szCs w:val="2"/>
                <w:color w:val="auto"/>
              </w:rPr>
            </w:pPr>
          </w:p>
        </w:tc>
        <w:tc>
          <w:tcPr>
            <w:tcW w:w="3840" w:type="dxa"/>
            <w:vAlign w:val="bottom"/>
          </w:tcPr>
          <w:p>
            <w:pPr>
              <w:spacing w:after="0"/>
              <w:rPr>
                <w:sz w:val="2"/>
                <w:szCs w:val="2"/>
                <w:color w:val="auto"/>
              </w:rPr>
            </w:pPr>
          </w:p>
        </w:tc>
        <w:tc>
          <w:tcPr>
            <w:tcW w:w="84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300" w:type="dxa"/>
            <w:vAlign w:val="bottom"/>
          </w:tcPr>
          <w:p>
            <w:pPr>
              <w:spacing w:after="0"/>
              <w:rPr>
                <w:sz w:val="2"/>
                <w:szCs w:val="2"/>
                <w:color w:val="auto"/>
              </w:rPr>
            </w:pPr>
          </w:p>
        </w:tc>
        <w:tc>
          <w:tcPr>
            <w:tcW w:w="220" w:type="dxa"/>
            <w:vAlign w:val="bottom"/>
          </w:tcPr>
          <w:p>
            <w:pPr>
              <w:spacing w:after="0"/>
              <w:rPr>
                <w:sz w:val="2"/>
                <w:szCs w:val="2"/>
                <w:color w:val="auto"/>
              </w:rPr>
            </w:pPr>
          </w:p>
        </w:tc>
        <w:tc>
          <w:tcPr>
            <w:tcW w:w="660" w:type="dxa"/>
            <w:vAlign w:val="bottom"/>
          </w:tcPr>
          <w:p>
            <w:pPr>
              <w:spacing w:after="0"/>
              <w:rPr>
                <w:sz w:val="2"/>
                <w:szCs w:val="2"/>
                <w:color w:val="auto"/>
              </w:rPr>
            </w:pPr>
          </w:p>
        </w:tc>
        <w:tc>
          <w:tcPr>
            <w:tcW w:w="600" w:type="dxa"/>
            <w:vAlign w:val="bottom"/>
          </w:tcPr>
          <w:p>
            <w:pPr>
              <w:spacing w:after="0"/>
              <w:rPr>
                <w:sz w:val="2"/>
                <w:szCs w:val="2"/>
                <w:color w:val="auto"/>
              </w:rPr>
            </w:pPr>
          </w:p>
        </w:tc>
        <w:tc>
          <w:tcPr>
            <w:tcW w:w="1060" w:type="dxa"/>
            <w:vAlign w:val="bottom"/>
            <w:shd w:val="clear" w:color="auto" w:fill="000000"/>
          </w:tcPr>
          <w:p>
            <w:pPr>
              <w:spacing w:after="0"/>
              <w:rPr>
                <w:sz w:val="2"/>
                <w:szCs w:val="2"/>
                <w:color w:val="auto"/>
              </w:rPr>
            </w:pPr>
          </w:p>
        </w:tc>
        <w:tc>
          <w:tcPr>
            <w:tcW w:w="600" w:type="dxa"/>
            <w:vAlign w:val="bottom"/>
          </w:tcPr>
          <w:p>
            <w:pPr>
              <w:spacing w:after="0"/>
              <w:rPr>
                <w:sz w:val="2"/>
                <w:szCs w:val="2"/>
                <w:color w:val="auto"/>
              </w:rPr>
            </w:pPr>
          </w:p>
        </w:tc>
        <w:tc>
          <w:tcPr>
            <w:tcW w:w="140" w:type="dxa"/>
            <w:vAlign w:val="bottom"/>
          </w:tcPr>
          <w:p>
            <w:pPr>
              <w:spacing w:after="0"/>
              <w:rPr>
                <w:sz w:val="2"/>
                <w:szCs w:val="2"/>
                <w:color w:val="auto"/>
              </w:rPr>
            </w:pPr>
          </w:p>
        </w:tc>
        <w:tc>
          <w:tcPr>
            <w:tcW w:w="1100" w:type="dxa"/>
            <w:vAlign w:val="bottom"/>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20" w:type="dxa"/>
            <w:vAlign w:val="bottom"/>
            <w:vMerge w:val="continue"/>
          </w:tcPr>
          <w:p>
            <w:pPr>
              <w:spacing w:after="0"/>
              <w:rPr>
                <w:sz w:val="18"/>
                <w:szCs w:val="18"/>
                <w:color w:val="auto"/>
              </w:rPr>
            </w:pPr>
          </w:p>
        </w:tc>
        <w:tc>
          <w:tcPr>
            <w:tcW w:w="42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w:t>
            </w:r>
          </w:p>
        </w:tc>
        <w:tc>
          <w:tcPr>
            <w:tcW w:w="114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b w:val="1"/>
                <w:bCs w:val="1"/>
                <w:color w:val="auto"/>
              </w:rPr>
              <w:t>6,736,493</w:t>
            </w:r>
          </w:p>
        </w:tc>
        <w:tc>
          <w:tcPr>
            <w:tcW w:w="52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rPr>
              <w:t>$</w:t>
            </w:r>
          </w:p>
        </w:tc>
        <w:tc>
          <w:tcPr>
            <w:tcW w:w="1260" w:type="dxa"/>
            <w:vAlign w:val="bottom"/>
            <w:gridSpan w:val="2"/>
            <w:shd w:val="clear" w:color="auto" w:fill="CCEEFF"/>
          </w:tcPr>
          <w:p>
            <w:pPr>
              <w:jc w:val="right"/>
              <w:ind w:right="600"/>
              <w:spacing w:after="0"/>
              <w:rPr>
                <w:sz w:val="20"/>
                <w:szCs w:val="20"/>
                <w:color w:val="auto"/>
              </w:rPr>
            </w:pPr>
            <w:r>
              <w:rPr>
                <w:rFonts w:ascii="Arial" w:cs="Arial" w:eastAsia="Arial" w:hAnsi="Arial"/>
                <w:sz w:val="18"/>
                <w:szCs w:val="18"/>
                <w:b w:val="1"/>
                <w:bCs w:val="1"/>
                <w:color w:val="auto"/>
              </w:rPr>
              <w:t>10.13</w:t>
            </w:r>
          </w:p>
        </w:tc>
        <w:tc>
          <w:tcPr>
            <w:tcW w:w="166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b w:val="1"/>
                <w:bCs w:val="1"/>
                <w:color w:val="auto"/>
              </w:rPr>
              <w:t>6,736,493</w:t>
            </w:r>
          </w:p>
        </w:tc>
        <w:tc>
          <w:tcPr>
            <w:tcW w:w="140" w:type="dxa"/>
            <w:vAlign w:val="bottom"/>
            <w:shd w:val="clear" w:color="auto" w:fill="CCEEFF"/>
          </w:tcPr>
          <w:p>
            <w:pPr>
              <w:spacing w:after="0"/>
              <w:rPr>
                <w:sz w:val="18"/>
                <w:szCs w:val="18"/>
                <w:color w:val="auto"/>
              </w:rPr>
            </w:pPr>
          </w:p>
        </w:tc>
        <w:tc>
          <w:tcPr>
            <w:tcW w:w="110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3840" w:type="dxa"/>
            <w:vAlign w:val="bottom"/>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42" w:lineRule="exact"/>
        <w:rPr>
          <w:sz w:val="20"/>
          <w:szCs w:val="20"/>
          <w:color w:val="auto"/>
        </w:rPr>
      </w:pPr>
    </w:p>
    <w:p>
      <w:pPr>
        <w:ind w:left="424" w:hanging="424"/>
        <w:spacing w:after="0"/>
        <w:tabs>
          <w:tab w:leader="none" w:pos="424" w:val="left"/>
        </w:tabs>
        <w:numPr>
          <w:ilvl w:val="0"/>
          <w:numId w:val="91"/>
        </w:numPr>
        <w:rPr>
          <w:rFonts w:ascii="Arial" w:cs="Arial" w:eastAsia="Arial" w:hAnsi="Arial"/>
          <w:sz w:val="18"/>
          <w:szCs w:val="18"/>
          <w:color w:val="auto"/>
        </w:rPr>
      </w:pPr>
      <w:r>
        <w:rPr>
          <w:rFonts w:ascii="Arial" w:cs="Arial" w:eastAsia="Arial" w:hAnsi="Arial"/>
          <w:sz w:val="18"/>
          <w:szCs w:val="18"/>
          <w:color w:val="auto"/>
        </w:rPr>
        <w:t>In March 2020, our board of directors authorized to increase an additional $25,000 to our program.</w:t>
      </w:r>
    </w:p>
    <w:p>
      <w:pPr>
        <w:spacing w:after="0" w:line="23" w:lineRule="exact"/>
        <w:rPr>
          <w:rFonts w:ascii="Arial" w:cs="Arial" w:eastAsia="Arial" w:hAnsi="Arial"/>
          <w:sz w:val="18"/>
          <w:szCs w:val="18"/>
          <w:color w:val="auto"/>
        </w:rPr>
      </w:pPr>
    </w:p>
    <w:p>
      <w:pPr>
        <w:ind w:left="424" w:hanging="424"/>
        <w:spacing w:after="0"/>
        <w:tabs>
          <w:tab w:leader="none" w:pos="424" w:val="left"/>
        </w:tabs>
        <w:numPr>
          <w:ilvl w:val="0"/>
          <w:numId w:val="91"/>
        </w:numPr>
        <w:rPr>
          <w:rFonts w:ascii="Arial" w:cs="Arial" w:eastAsia="Arial" w:hAnsi="Arial"/>
          <w:sz w:val="18"/>
          <w:szCs w:val="18"/>
          <w:color w:val="auto"/>
        </w:rPr>
      </w:pPr>
      <w:r>
        <w:rPr>
          <w:rFonts w:ascii="Arial" w:cs="Arial" w:eastAsia="Arial" w:hAnsi="Arial"/>
          <w:sz w:val="18"/>
          <w:szCs w:val="18"/>
          <w:color w:val="auto"/>
        </w:rPr>
        <w:t>In September 2020, our board of directors authorized to increase an additional $50,000 to our program.</w:t>
      </w:r>
    </w:p>
    <w:p>
      <w:pPr>
        <w:spacing w:after="0" w:line="9" w:lineRule="exact"/>
        <w:rPr>
          <w:rFonts w:ascii="Arial" w:cs="Arial" w:eastAsia="Arial" w:hAnsi="Arial"/>
          <w:sz w:val="18"/>
          <w:szCs w:val="18"/>
          <w:color w:val="auto"/>
        </w:rPr>
      </w:pPr>
    </w:p>
    <w:p>
      <w:pPr>
        <w:ind w:left="424" w:hanging="424"/>
        <w:spacing w:after="0"/>
        <w:tabs>
          <w:tab w:leader="none" w:pos="424" w:val="left"/>
        </w:tabs>
        <w:numPr>
          <w:ilvl w:val="0"/>
          <w:numId w:val="91"/>
        </w:numPr>
        <w:rPr>
          <w:rFonts w:ascii="Arial" w:cs="Arial" w:eastAsia="Arial" w:hAnsi="Arial"/>
          <w:sz w:val="18"/>
          <w:szCs w:val="18"/>
          <w:color w:val="auto"/>
        </w:rPr>
      </w:pPr>
      <w:r>
        <w:rPr>
          <w:rFonts w:ascii="Arial" w:cs="Arial" w:eastAsia="Arial" w:hAnsi="Arial"/>
          <w:sz w:val="18"/>
          <w:szCs w:val="18"/>
          <w:color w:val="auto"/>
        </w:rPr>
        <w:t>During 2020, we repurchased 2,060,207 of our common shares on the JSE.</w:t>
      </w:r>
    </w:p>
    <w:p>
      <w:pPr>
        <w:spacing w:after="0" w:line="355" w:lineRule="exact"/>
        <w:rPr>
          <w:sz w:val="20"/>
          <w:szCs w:val="20"/>
          <w:color w:val="auto"/>
        </w:rPr>
      </w:pPr>
    </w:p>
    <w:p>
      <w:pPr>
        <w:ind w:left="4"/>
        <w:spacing w:after="0"/>
        <w:tabs>
          <w:tab w:leader="none" w:pos="1184" w:val="left"/>
        </w:tabs>
        <w:rPr>
          <w:sz w:val="20"/>
          <w:szCs w:val="20"/>
          <w:color w:val="auto"/>
        </w:rPr>
      </w:pPr>
      <w:r>
        <w:rPr>
          <w:rFonts w:ascii="Arial" w:cs="Arial" w:eastAsia="Arial" w:hAnsi="Arial"/>
          <w:sz w:val="18"/>
          <w:szCs w:val="18"/>
          <w:b w:val="1"/>
          <w:bCs w:val="1"/>
          <w:color w:val="auto"/>
        </w:rPr>
        <w:t>ITEM 16F.</w:t>
      </w:r>
      <w:r>
        <w:rPr>
          <w:sz w:val="20"/>
          <w:szCs w:val="20"/>
          <w:color w:val="auto"/>
        </w:rPr>
        <w:tab/>
      </w:r>
      <w:r>
        <w:rPr>
          <w:rFonts w:ascii="Arial" w:cs="Arial" w:eastAsia="Arial" w:hAnsi="Arial"/>
          <w:sz w:val="18"/>
          <w:szCs w:val="18"/>
          <w:b w:val="1"/>
          <w:bCs w:val="1"/>
          <w:color w:val="auto"/>
        </w:rPr>
        <w:t>CHANGE IN REGISTRANT’S CERTIFYING ACCOUNTANT</w:t>
      </w:r>
    </w:p>
    <w:p>
      <w:pPr>
        <w:spacing w:after="0" w:line="121" w:lineRule="exact"/>
        <w:rPr>
          <w:sz w:val="20"/>
          <w:szCs w:val="20"/>
          <w:color w:val="auto"/>
        </w:rPr>
      </w:pPr>
    </w:p>
    <w:p>
      <w:pPr>
        <w:ind w:left="444"/>
        <w:spacing w:after="0"/>
        <w:rPr>
          <w:sz w:val="20"/>
          <w:szCs w:val="20"/>
          <w:color w:val="auto"/>
        </w:rPr>
      </w:pPr>
      <w:r>
        <w:rPr>
          <w:rFonts w:ascii="Arial" w:cs="Arial" w:eastAsia="Arial" w:hAnsi="Arial"/>
          <w:sz w:val="18"/>
          <w:szCs w:val="18"/>
          <w:color w:val="auto"/>
        </w:rPr>
        <w:t>None.</w:t>
      </w:r>
    </w:p>
    <w:p>
      <w:pPr>
        <w:spacing w:after="0" w:line="158"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97</w:t>
      </w:r>
    </w:p>
    <w:p>
      <w:pPr>
        <w:sectPr>
          <w:pgSz w:w="11900" w:h="16838" w:orient="portrait"/>
          <w:cols w:equalWidth="0" w:num="1">
            <w:col w:w="11004"/>
          </w:cols>
          <w:pgMar w:left="436" w:top="274" w:right="459" w:bottom="1440" w:gutter="0" w:footer="0" w:header="0"/>
        </w:sectPr>
      </w:pPr>
    </w:p>
    <w:bookmarkStart w:id="111" w:name="page112"/>
    <w:bookmarkEnd w:id="111"/>
    <w:p>
      <w:pPr>
        <w:spacing w:after="0"/>
        <w:tabs>
          <w:tab w:leader="none" w:pos="1180" w:val="left"/>
        </w:tabs>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ITEM 16G.</w:t>
      </w:r>
      <w:r>
        <w:rPr>
          <w:sz w:val="20"/>
          <w:szCs w:val="20"/>
          <w:color w:val="auto"/>
        </w:rPr>
        <w:tab/>
      </w:r>
      <w:r>
        <w:rPr>
          <w:rFonts w:ascii="Arial" w:cs="Arial" w:eastAsia="Arial" w:hAnsi="Arial"/>
          <w:sz w:val="17"/>
          <w:szCs w:val="17"/>
          <w:b w:val="1"/>
          <w:bCs w:val="1"/>
          <w:color w:val="auto"/>
        </w:rPr>
        <w:t>CORPORATE GOVERNANCE</w:t>
      </w:r>
    </w:p>
    <w:p>
      <w:pPr>
        <w:spacing w:after="0" w:line="121" w:lineRule="exact"/>
        <w:rPr>
          <w:sz w:val="20"/>
          <w:szCs w:val="20"/>
          <w:color w:val="auto"/>
        </w:rPr>
      </w:pPr>
    </w:p>
    <w:p>
      <w:pPr>
        <w:jc w:val="both"/>
        <w:ind w:right="60" w:firstLine="440"/>
        <w:spacing w:after="0" w:line="279" w:lineRule="auto"/>
        <w:rPr>
          <w:sz w:val="20"/>
          <w:szCs w:val="20"/>
          <w:color w:val="auto"/>
        </w:rPr>
      </w:pPr>
      <w:r>
        <w:rPr>
          <w:rFonts w:ascii="Arial" w:cs="Arial" w:eastAsia="Arial" w:hAnsi="Arial"/>
          <w:sz w:val="17"/>
          <w:szCs w:val="17"/>
          <w:color w:val="auto"/>
        </w:rPr>
        <w:t>Our corporate governance practices are in compliance with, and are not prohibited by, the laws of Bermuda. Therefore, we are exempt from many of the NYSE corporate governance practices, other than the establishment of a formal audit committee satisfying the requirements of Rule 10A-3 under the Exchange Act and notification of non-compliance with NYSE listing requirements pursuant to Rule 10A-3 promulgated under the Exchange Act. The practices that we follow in lieu of the NYSE’s corporate governance rules are described below.</w:t>
      </w:r>
    </w:p>
    <w:p>
      <w:pPr>
        <w:spacing w:after="0" w:line="77" w:lineRule="exact"/>
        <w:rPr>
          <w:sz w:val="20"/>
          <w:szCs w:val="20"/>
          <w:color w:val="auto"/>
        </w:rPr>
      </w:pPr>
    </w:p>
    <w:p>
      <w:pPr>
        <w:ind w:left="960" w:right="220" w:hanging="532"/>
        <w:spacing w:after="0" w:line="277" w:lineRule="auto"/>
        <w:tabs>
          <w:tab w:leader="none" w:pos="960" w:val="left"/>
        </w:tabs>
        <w:numPr>
          <w:ilvl w:val="0"/>
          <w:numId w:val="92"/>
        </w:numPr>
        <w:rPr>
          <w:rFonts w:ascii="Arial" w:cs="Arial" w:eastAsia="Arial" w:hAnsi="Arial"/>
          <w:sz w:val="18"/>
          <w:szCs w:val="18"/>
          <w:color w:val="auto"/>
        </w:rPr>
      </w:pPr>
      <w:r>
        <w:rPr>
          <w:rFonts w:ascii="Arial" w:cs="Arial" w:eastAsia="Arial" w:hAnsi="Arial"/>
          <w:sz w:val="18"/>
          <w:szCs w:val="18"/>
          <w:color w:val="auto"/>
        </w:rPr>
        <w:t>We are not required under Bermuda law to maintain a board of directors with a majority of independent directors. However, as of March 2021 seven of our eight directors are independent, as that term is defined by the NYSE.</w:t>
      </w:r>
    </w:p>
    <w:p>
      <w:pPr>
        <w:spacing w:after="0" w:line="75" w:lineRule="exact"/>
        <w:rPr>
          <w:rFonts w:ascii="Arial" w:cs="Arial" w:eastAsia="Arial" w:hAnsi="Arial"/>
          <w:sz w:val="18"/>
          <w:szCs w:val="18"/>
          <w:color w:val="auto"/>
        </w:rPr>
      </w:pPr>
    </w:p>
    <w:p>
      <w:pPr>
        <w:jc w:val="both"/>
        <w:ind w:left="960" w:right="260" w:hanging="532"/>
        <w:spacing w:after="0" w:line="263" w:lineRule="auto"/>
        <w:tabs>
          <w:tab w:leader="none" w:pos="960" w:val="left"/>
        </w:tabs>
        <w:numPr>
          <w:ilvl w:val="0"/>
          <w:numId w:val="92"/>
        </w:numPr>
        <w:rPr>
          <w:rFonts w:ascii="Arial" w:cs="Arial" w:eastAsia="Arial" w:hAnsi="Arial"/>
          <w:sz w:val="18"/>
          <w:szCs w:val="18"/>
          <w:color w:val="auto"/>
        </w:rPr>
      </w:pPr>
      <w:r>
        <w:rPr>
          <w:rFonts w:ascii="Arial" w:cs="Arial" w:eastAsia="Arial" w:hAnsi="Arial"/>
          <w:sz w:val="18"/>
          <w:szCs w:val="18"/>
          <w:color w:val="auto"/>
        </w:rPr>
        <w:t>We are not required by Bermuda law to hold regular meetings of the board of directors at which only independent directors are present. However, we regularly hold non-executive sessions of our board of directors, where Mr. Ghesquiere, our President and Chief Executive Officer is not present.</w:t>
      </w:r>
    </w:p>
    <w:p>
      <w:pPr>
        <w:spacing w:after="0" w:line="89" w:lineRule="exact"/>
        <w:rPr>
          <w:rFonts w:ascii="Arial" w:cs="Arial" w:eastAsia="Arial" w:hAnsi="Arial"/>
          <w:sz w:val="18"/>
          <w:szCs w:val="18"/>
          <w:color w:val="auto"/>
        </w:rPr>
      </w:pPr>
    </w:p>
    <w:p>
      <w:pPr>
        <w:ind w:left="960" w:hanging="532"/>
        <w:spacing w:after="0" w:line="273" w:lineRule="auto"/>
        <w:tabs>
          <w:tab w:leader="none" w:pos="960" w:val="left"/>
        </w:tabs>
        <w:numPr>
          <w:ilvl w:val="0"/>
          <w:numId w:val="92"/>
        </w:numPr>
        <w:rPr>
          <w:rFonts w:ascii="Arial" w:cs="Arial" w:eastAsia="Arial" w:hAnsi="Arial"/>
          <w:sz w:val="17"/>
          <w:szCs w:val="17"/>
          <w:color w:val="auto"/>
        </w:rPr>
      </w:pPr>
      <w:r>
        <w:rPr>
          <w:rFonts w:ascii="Arial" w:cs="Arial" w:eastAsia="Arial" w:hAnsi="Arial"/>
          <w:sz w:val="17"/>
          <w:szCs w:val="17"/>
          <w:color w:val="auto"/>
        </w:rPr>
        <w:t>Mr. Shwiel serves as the Chairman of our board of directors and he has been determined to be independent under applicable NYSE rules. If the Chairman of our board of directors is not an independent director, our Corporate Governance Guidelines provide that a lead independent director who is an independent director as defined by applicable NYSE rules will be appointed and annually elected by the independent directors of the board. The lead independent director will be responsible for coordinating the activities of the independent directors and shall perform such other duties and responsibilities as the board may determine. In addition to the duties of all board members, the specific responsibilities of the lead independent director are as follows:</w:t>
      </w:r>
    </w:p>
    <w:p>
      <w:pPr>
        <w:spacing w:after="0" w:line="83" w:lineRule="exact"/>
        <w:rPr>
          <w:rFonts w:ascii="Arial" w:cs="Arial" w:eastAsia="Arial" w:hAnsi="Arial"/>
          <w:sz w:val="17"/>
          <w:szCs w:val="17"/>
          <w:color w:val="auto"/>
        </w:rPr>
      </w:pPr>
    </w:p>
    <w:p>
      <w:pPr>
        <w:ind w:left="1420" w:hanging="331"/>
        <w:spacing w:after="0"/>
        <w:tabs>
          <w:tab w:leader="none" w:pos="1420" w:val="left"/>
        </w:tabs>
        <w:numPr>
          <w:ilvl w:val="1"/>
          <w:numId w:val="92"/>
        </w:numPr>
        <w:rPr>
          <w:rFonts w:ascii="Arial" w:cs="Arial" w:eastAsia="Arial" w:hAnsi="Arial"/>
          <w:sz w:val="18"/>
          <w:szCs w:val="18"/>
          <w:color w:val="auto"/>
        </w:rPr>
      </w:pPr>
      <w:r>
        <w:rPr>
          <w:rFonts w:ascii="Arial" w:cs="Arial" w:eastAsia="Arial" w:hAnsi="Arial"/>
          <w:sz w:val="18"/>
          <w:szCs w:val="18"/>
          <w:color w:val="auto"/>
        </w:rPr>
        <w:t>Act as the principal liaison between the independent directors of the board and the chairman of the board;</w:t>
      </w:r>
    </w:p>
    <w:p>
      <w:pPr>
        <w:spacing w:after="0" w:line="130" w:lineRule="exact"/>
        <w:rPr>
          <w:rFonts w:ascii="Arial" w:cs="Arial" w:eastAsia="Arial" w:hAnsi="Arial"/>
          <w:sz w:val="18"/>
          <w:szCs w:val="18"/>
          <w:color w:val="auto"/>
        </w:rPr>
      </w:pPr>
    </w:p>
    <w:p>
      <w:pPr>
        <w:ind w:left="1420" w:hanging="331"/>
        <w:spacing w:after="0"/>
        <w:tabs>
          <w:tab w:leader="none" w:pos="1420" w:val="left"/>
        </w:tabs>
        <w:numPr>
          <w:ilvl w:val="1"/>
          <w:numId w:val="92"/>
        </w:numPr>
        <w:rPr>
          <w:rFonts w:ascii="Arial" w:cs="Arial" w:eastAsia="Arial" w:hAnsi="Arial"/>
          <w:sz w:val="18"/>
          <w:szCs w:val="18"/>
          <w:color w:val="auto"/>
        </w:rPr>
      </w:pPr>
      <w:r>
        <w:rPr>
          <w:rFonts w:ascii="Arial" w:cs="Arial" w:eastAsia="Arial" w:hAnsi="Arial"/>
          <w:sz w:val="18"/>
          <w:szCs w:val="18"/>
          <w:color w:val="auto"/>
        </w:rPr>
        <w:t>Develop the agenda for and preside at executive sessions of the board’s independent directors when needed;</w:t>
      </w:r>
    </w:p>
    <w:p>
      <w:pPr>
        <w:spacing w:after="0" w:line="130" w:lineRule="exact"/>
        <w:rPr>
          <w:rFonts w:ascii="Arial" w:cs="Arial" w:eastAsia="Arial" w:hAnsi="Arial"/>
          <w:sz w:val="18"/>
          <w:szCs w:val="18"/>
          <w:color w:val="auto"/>
        </w:rPr>
      </w:pPr>
    </w:p>
    <w:p>
      <w:pPr>
        <w:ind w:left="1420" w:right="240" w:hanging="331"/>
        <w:spacing w:after="0" w:line="277" w:lineRule="auto"/>
        <w:tabs>
          <w:tab w:leader="none" w:pos="1420" w:val="left"/>
        </w:tabs>
        <w:numPr>
          <w:ilvl w:val="1"/>
          <w:numId w:val="92"/>
        </w:numPr>
        <w:rPr>
          <w:rFonts w:ascii="Arial" w:cs="Arial" w:eastAsia="Arial" w:hAnsi="Arial"/>
          <w:sz w:val="18"/>
          <w:szCs w:val="18"/>
          <w:color w:val="auto"/>
        </w:rPr>
      </w:pPr>
      <w:r>
        <w:rPr>
          <w:rFonts w:ascii="Arial" w:cs="Arial" w:eastAsia="Arial" w:hAnsi="Arial"/>
          <w:sz w:val="18"/>
          <w:szCs w:val="18"/>
          <w:color w:val="auto"/>
        </w:rPr>
        <w:t>If requested by the chairman, approve with the chairman of the board the agenda for board and board committee meetings and the need for special meetings of the board, and serve as deputy board chairman;</w:t>
      </w:r>
    </w:p>
    <w:p>
      <w:pPr>
        <w:spacing w:after="0" w:line="75" w:lineRule="exact"/>
        <w:rPr>
          <w:rFonts w:ascii="Arial" w:cs="Arial" w:eastAsia="Arial" w:hAnsi="Arial"/>
          <w:sz w:val="18"/>
          <w:szCs w:val="18"/>
          <w:color w:val="auto"/>
        </w:rPr>
      </w:pPr>
    </w:p>
    <w:p>
      <w:pPr>
        <w:ind w:left="1420" w:right="560" w:hanging="331"/>
        <w:spacing w:after="0" w:line="342" w:lineRule="auto"/>
        <w:tabs>
          <w:tab w:leader="none" w:pos="1420" w:val="left"/>
        </w:tabs>
        <w:numPr>
          <w:ilvl w:val="1"/>
          <w:numId w:val="92"/>
        </w:numPr>
        <w:rPr>
          <w:rFonts w:ascii="Arial" w:cs="Arial" w:eastAsia="Arial" w:hAnsi="Arial"/>
          <w:sz w:val="16"/>
          <w:szCs w:val="16"/>
          <w:color w:val="auto"/>
        </w:rPr>
      </w:pPr>
      <w:r>
        <w:rPr>
          <w:rFonts w:ascii="Arial" w:cs="Arial" w:eastAsia="Arial" w:hAnsi="Arial"/>
          <w:sz w:val="16"/>
          <w:szCs w:val="16"/>
          <w:color w:val="auto"/>
        </w:rPr>
        <w:t>Advise the chairman of the board as to the quality, quantity and timeliness of the information submitted by the Company’s management that is necessary or appropriate for the independent directors to effectively and responsibly perform their duties;</w:t>
      </w:r>
    </w:p>
    <w:p>
      <w:pPr>
        <w:spacing w:after="0" w:line="29" w:lineRule="exact"/>
        <w:rPr>
          <w:rFonts w:ascii="Arial" w:cs="Arial" w:eastAsia="Arial" w:hAnsi="Arial"/>
          <w:sz w:val="16"/>
          <w:szCs w:val="16"/>
          <w:color w:val="auto"/>
        </w:rPr>
      </w:pPr>
    </w:p>
    <w:p>
      <w:pPr>
        <w:ind w:left="1420" w:hanging="331"/>
        <w:spacing w:after="0"/>
        <w:tabs>
          <w:tab w:leader="none" w:pos="1420" w:val="left"/>
        </w:tabs>
        <w:numPr>
          <w:ilvl w:val="1"/>
          <w:numId w:val="92"/>
        </w:numPr>
        <w:rPr>
          <w:rFonts w:ascii="Arial" w:cs="Arial" w:eastAsia="Arial" w:hAnsi="Arial"/>
          <w:sz w:val="18"/>
          <w:szCs w:val="18"/>
          <w:color w:val="auto"/>
        </w:rPr>
      </w:pPr>
      <w:r>
        <w:rPr>
          <w:rFonts w:ascii="Arial" w:cs="Arial" w:eastAsia="Arial" w:hAnsi="Arial"/>
          <w:sz w:val="18"/>
          <w:szCs w:val="18"/>
          <w:color w:val="auto"/>
        </w:rPr>
        <w:t>Recommend to the board the retention of advisors and consultants who report directly to the board;</w:t>
      </w:r>
    </w:p>
    <w:p>
      <w:pPr>
        <w:spacing w:after="0" w:line="130" w:lineRule="exact"/>
        <w:rPr>
          <w:rFonts w:ascii="Arial" w:cs="Arial" w:eastAsia="Arial" w:hAnsi="Arial"/>
          <w:sz w:val="18"/>
          <w:szCs w:val="18"/>
          <w:color w:val="auto"/>
        </w:rPr>
      </w:pPr>
    </w:p>
    <w:p>
      <w:pPr>
        <w:ind w:left="1420" w:hanging="331"/>
        <w:spacing w:after="0"/>
        <w:tabs>
          <w:tab w:leader="none" w:pos="1420" w:val="left"/>
        </w:tabs>
        <w:numPr>
          <w:ilvl w:val="1"/>
          <w:numId w:val="92"/>
        </w:numPr>
        <w:rPr>
          <w:rFonts w:ascii="Arial" w:cs="Arial" w:eastAsia="Arial" w:hAnsi="Arial"/>
          <w:sz w:val="16"/>
          <w:szCs w:val="16"/>
          <w:color w:val="auto"/>
        </w:rPr>
      </w:pPr>
      <w:r>
        <w:rPr>
          <w:rFonts w:ascii="Arial" w:cs="Arial" w:eastAsia="Arial" w:hAnsi="Arial"/>
          <w:sz w:val="16"/>
          <w:szCs w:val="16"/>
          <w:color w:val="auto"/>
        </w:rPr>
        <w:t>Assist the board and Company officers in ensuring compliance with and implementation of the Corporate Governance Guidelines;</w:t>
      </w:r>
    </w:p>
    <w:p>
      <w:pPr>
        <w:spacing w:after="0" w:line="153" w:lineRule="exact"/>
        <w:rPr>
          <w:rFonts w:ascii="Arial" w:cs="Arial" w:eastAsia="Arial" w:hAnsi="Arial"/>
          <w:sz w:val="16"/>
          <w:szCs w:val="16"/>
          <w:color w:val="auto"/>
        </w:rPr>
      </w:pPr>
    </w:p>
    <w:p>
      <w:pPr>
        <w:ind w:left="1420" w:hanging="331"/>
        <w:spacing w:after="0"/>
        <w:tabs>
          <w:tab w:leader="none" w:pos="1420" w:val="left"/>
        </w:tabs>
        <w:numPr>
          <w:ilvl w:val="1"/>
          <w:numId w:val="92"/>
        </w:numPr>
        <w:rPr>
          <w:rFonts w:ascii="Arial" w:cs="Arial" w:eastAsia="Arial" w:hAnsi="Arial"/>
          <w:sz w:val="18"/>
          <w:szCs w:val="18"/>
          <w:color w:val="auto"/>
        </w:rPr>
      </w:pPr>
      <w:r>
        <w:rPr>
          <w:rFonts w:ascii="Arial" w:cs="Arial" w:eastAsia="Arial" w:hAnsi="Arial"/>
          <w:sz w:val="18"/>
          <w:szCs w:val="18"/>
          <w:color w:val="auto"/>
        </w:rPr>
        <w:t>Serve as chairman of the board when the chairman is not present; and</w:t>
      </w:r>
    </w:p>
    <w:p>
      <w:pPr>
        <w:spacing w:after="0" w:line="130" w:lineRule="exact"/>
        <w:rPr>
          <w:rFonts w:ascii="Arial" w:cs="Arial" w:eastAsia="Arial" w:hAnsi="Arial"/>
          <w:sz w:val="18"/>
          <w:szCs w:val="18"/>
          <w:color w:val="auto"/>
        </w:rPr>
      </w:pPr>
    </w:p>
    <w:p>
      <w:pPr>
        <w:ind w:left="1420" w:hanging="331"/>
        <w:spacing w:after="0"/>
        <w:tabs>
          <w:tab w:leader="none" w:pos="1420" w:val="left"/>
        </w:tabs>
        <w:numPr>
          <w:ilvl w:val="1"/>
          <w:numId w:val="92"/>
        </w:numPr>
        <w:rPr>
          <w:rFonts w:ascii="Arial" w:cs="Arial" w:eastAsia="Arial" w:hAnsi="Arial"/>
          <w:sz w:val="18"/>
          <w:szCs w:val="18"/>
          <w:color w:val="auto"/>
        </w:rPr>
      </w:pPr>
      <w:r>
        <w:rPr>
          <w:rFonts w:ascii="Arial" w:cs="Arial" w:eastAsia="Arial" w:hAnsi="Arial"/>
          <w:sz w:val="18"/>
          <w:szCs w:val="18"/>
          <w:color w:val="auto"/>
        </w:rPr>
        <w:t>Serve as a liaison for consultation and communication with shareholders.</w:t>
      </w:r>
    </w:p>
    <w:p>
      <w:pPr>
        <w:spacing w:after="0" w:line="130" w:lineRule="exact"/>
        <w:rPr>
          <w:rFonts w:ascii="Arial" w:cs="Arial" w:eastAsia="Arial" w:hAnsi="Arial"/>
          <w:sz w:val="18"/>
          <w:szCs w:val="18"/>
          <w:color w:val="auto"/>
        </w:rPr>
      </w:pPr>
    </w:p>
    <w:p>
      <w:pPr>
        <w:ind w:left="960" w:right="120" w:hanging="532"/>
        <w:spacing w:after="0" w:line="291" w:lineRule="auto"/>
        <w:tabs>
          <w:tab w:leader="none" w:pos="960" w:val="left"/>
        </w:tabs>
        <w:numPr>
          <w:ilvl w:val="0"/>
          <w:numId w:val="92"/>
        </w:numPr>
        <w:rPr>
          <w:rFonts w:ascii="Arial" w:cs="Arial" w:eastAsia="Arial" w:hAnsi="Arial"/>
          <w:sz w:val="16"/>
          <w:szCs w:val="16"/>
          <w:color w:val="auto"/>
        </w:rPr>
      </w:pPr>
      <w:r>
        <w:rPr>
          <w:rFonts w:ascii="Arial" w:cs="Arial" w:eastAsia="Arial" w:hAnsi="Arial"/>
          <w:sz w:val="16"/>
          <w:szCs w:val="16"/>
          <w:color w:val="auto"/>
        </w:rPr>
        <w:t>Under Bermuda law, compensation of executive officers need not be determined by an independent committee. We have established a compensation committee that reviews and approves the compensation and benefits for our executive officers and other key executives, makes recommendations to the board regarding compensation matters and is responsible for awarding compensation to our executive officers and other employees under our share compensation plans. The committee also has the discretion to interpret and amend the terms of, and take all other actions necessary to administer, the 2019 Share Incentive Plan. All members of our compensation committee are independent, as that term is defined by the NYSE. The members of our compensation committee are Messrs. Cottingham, Maccarone, Nurek and Shwiel. Our board of directors has also adopted a compensation committee charter.</w:t>
      </w:r>
    </w:p>
    <w:p>
      <w:pPr>
        <w:spacing w:after="0" w:line="9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98</w:t>
      </w:r>
    </w:p>
    <w:p>
      <w:pPr>
        <w:sectPr>
          <w:pgSz w:w="11900" w:h="16838" w:orient="portrait"/>
          <w:cols w:equalWidth="0" w:num="1">
            <w:col w:w="11000"/>
          </w:cols>
          <w:pgMar w:left="440" w:top="270" w:right="459" w:bottom="1440" w:gutter="0" w:footer="0" w:header="0"/>
        </w:sectPr>
      </w:pPr>
    </w:p>
    <w:bookmarkStart w:id="112" w:name="page113"/>
    <w:bookmarkEnd w:id="112"/>
    <w:p>
      <w:pPr>
        <w:ind w:left="540" w:hanging="532"/>
        <w:spacing w:after="0"/>
        <w:tabs>
          <w:tab w:leader="none" w:pos="540" w:val="left"/>
        </w:tabs>
        <w:numPr>
          <w:ilvl w:val="0"/>
          <w:numId w:val="93"/>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We have established an audit committee responsible for (i) advising the board regarding the selection of independent auditors,</w:t>
      </w:r>
    </w:p>
    <w:p>
      <w:pPr>
        <w:spacing w:after="0" w:line="34" w:lineRule="exact"/>
        <w:rPr>
          <w:rFonts w:ascii="Arial" w:cs="Arial" w:eastAsia="Arial" w:hAnsi="Arial"/>
          <w:sz w:val="17"/>
          <w:szCs w:val="17"/>
          <w:color w:val="auto"/>
        </w:rPr>
      </w:pPr>
    </w:p>
    <w:p>
      <w:pPr>
        <w:ind w:left="540" w:right="40"/>
        <w:spacing w:after="0" w:line="271" w:lineRule="auto"/>
        <w:rPr>
          <w:rFonts w:ascii="Arial" w:cs="Arial" w:eastAsia="Arial" w:hAnsi="Arial"/>
          <w:sz w:val="17"/>
          <w:szCs w:val="17"/>
          <w:color w:val="auto"/>
        </w:rPr>
      </w:pPr>
      <w:r>
        <w:rPr>
          <w:rFonts w:ascii="Arial" w:cs="Arial" w:eastAsia="Arial" w:hAnsi="Arial"/>
          <w:sz w:val="17"/>
          <w:szCs w:val="17"/>
          <w:color w:val="auto"/>
        </w:rPr>
        <w:t>(ii) overseeing the Company’s accounting and financial reporting processes, (iii) evaluating our internal controls, and (iv) overseeing compliance with policies and legal requirements with respect to financial reporting. Our audit committee need not comply with the NYSE’s requirements that the audit committee have a minimum of three members or the NYSE’s standards of independence for domestic issuers. Our audit committee has four members, Mr. Cottingham, Mr. Nurek, Ms. Tang and Mr. Shwiel. Our Board determined that all members of the Audit Committee are independent as that term is defined in Rule 10A-3 under the Exchange Act.</w:t>
      </w:r>
    </w:p>
    <w:p>
      <w:pPr>
        <w:spacing w:after="0" w:line="83" w:lineRule="exact"/>
        <w:rPr>
          <w:rFonts w:ascii="Arial" w:cs="Arial" w:eastAsia="Arial" w:hAnsi="Arial"/>
          <w:sz w:val="17"/>
          <w:szCs w:val="17"/>
          <w:color w:val="auto"/>
        </w:rPr>
      </w:pPr>
    </w:p>
    <w:p>
      <w:pPr>
        <w:ind w:left="540" w:right="140" w:hanging="532"/>
        <w:spacing w:after="0" w:line="257" w:lineRule="auto"/>
        <w:tabs>
          <w:tab w:leader="none" w:pos="540" w:val="left"/>
        </w:tabs>
        <w:numPr>
          <w:ilvl w:val="0"/>
          <w:numId w:val="93"/>
        </w:numPr>
        <w:rPr>
          <w:rFonts w:ascii="Arial" w:cs="Arial" w:eastAsia="Arial" w:hAnsi="Arial"/>
          <w:sz w:val="18"/>
          <w:szCs w:val="18"/>
          <w:color w:val="auto"/>
        </w:rPr>
      </w:pPr>
      <w:r>
        <w:rPr>
          <w:rFonts w:ascii="Arial" w:cs="Arial" w:eastAsia="Arial" w:hAnsi="Arial"/>
          <w:sz w:val="18"/>
          <w:szCs w:val="18"/>
          <w:color w:val="auto"/>
        </w:rPr>
        <w:t>We have established a corporate governance and nominating committee, although this committee is not comprised solely of independent directors, as would be required of a domestic issuer. Our corporate governance and nominating committee has four members, Messrs. Cottingham, Maccarone, Nurek, Van der Merwe and Shwiel. As of March 2021, Messrs. Cottingham, Maccarone, Nurek and Shwiel satisfy the NYSE’s standards for director independence. Our board of directors has also adopted a corporate governance and nominating committee charter.</w:t>
      </w:r>
    </w:p>
    <w:p>
      <w:pPr>
        <w:spacing w:after="0" w:line="93" w:lineRule="exact"/>
        <w:rPr>
          <w:rFonts w:ascii="Arial" w:cs="Arial" w:eastAsia="Arial" w:hAnsi="Arial"/>
          <w:sz w:val="18"/>
          <w:szCs w:val="18"/>
          <w:color w:val="auto"/>
        </w:rPr>
      </w:pPr>
    </w:p>
    <w:p>
      <w:pPr>
        <w:ind w:left="540" w:hanging="532"/>
        <w:spacing w:after="0" w:line="273" w:lineRule="auto"/>
        <w:tabs>
          <w:tab w:leader="none" w:pos="540" w:val="left"/>
        </w:tabs>
        <w:numPr>
          <w:ilvl w:val="0"/>
          <w:numId w:val="93"/>
        </w:numPr>
        <w:rPr>
          <w:rFonts w:ascii="Arial" w:cs="Arial" w:eastAsia="Arial" w:hAnsi="Arial"/>
          <w:sz w:val="17"/>
          <w:szCs w:val="17"/>
          <w:color w:val="auto"/>
        </w:rPr>
      </w:pPr>
      <w:r>
        <w:rPr>
          <w:rFonts w:ascii="Arial" w:cs="Arial" w:eastAsia="Arial" w:hAnsi="Arial"/>
          <w:sz w:val="17"/>
          <w:szCs w:val="17"/>
          <w:color w:val="auto"/>
        </w:rPr>
        <w:t>Under Bermuda law, we are not required to obtain shareholder consent prior to issuing securities or adopting share compensation plans. Nonetheless, we sought and received the approval of our shareholders for our 2007 Share Incentive Plan on September 4, 2007, on May 21, 2015 we received shareholder approval for the amendment and restatement of our 2007 Share Incentive Plan as the 2015 Share Incentive Plan, and on May 23, 2019 we received shareholder approval for the amendment and restatement of our 2015 Share Incentive Plan as the 2019 Share Incentive Plan. We are also required under Bermuda law to obtain the consent of the Bermuda Monetary Authority for the issuance of securities in certain circumstances.</w:t>
      </w:r>
    </w:p>
    <w:p>
      <w:pPr>
        <w:spacing w:after="0" w:line="83" w:lineRule="exact"/>
        <w:rPr>
          <w:rFonts w:ascii="Arial" w:cs="Arial" w:eastAsia="Arial" w:hAnsi="Arial"/>
          <w:sz w:val="17"/>
          <w:szCs w:val="17"/>
          <w:color w:val="auto"/>
        </w:rPr>
      </w:pPr>
    </w:p>
    <w:p>
      <w:pPr>
        <w:ind w:left="540" w:right="180" w:hanging="532"/>
        <w:spacing w:after="0" w:line="277" w:lineRule="auto"/>
        <w:tabs>
          <w:tab w:leader="none" w:pos="540" w:val="left"/>
        </w:tabs>
        <w:numPr>
          <w:ilvl w:val="0"/>
          <w:numId w:val="93"/>
        </w:numPr>
        <w:rPr>
          <w:rFonts w:ascii="Arial" w:cs="Arial" w:eastAsia="Arial" w:hAnsi="Arial"/>
          <w:sz w:val="18"/>
          <w:szCs w:val="18"/>
          <w:color w:val="auto"/>
        </w:rPr>
      </w:pPr>
      <w:r>
        <w:rPr>
          <w:rFonts w:ascii="Arial" w:cs="Arial" w:eastAsia="Arial" w:hAnsi="Arial"/>
          <w:sz w:val="18"/>
          <w:szCs w:val="18"/>
          <w:color w:val="auto"/>
        </w:rPr>
        <w:t>Under Bermuda law, we are not required to adopt corporate governance guidelines or a code of business conduct. Nonetheless, we have adopted both corporate governance guidelines and a code of business conduct.</w:t>
      </w:r>
    </w:p>
    <w:p>
      <w:pPr>
        <w:spacing w:after="0" w:line="75" w:lineRule="exact"/>
        <w:rPr>
          <w:rFonts w:ascii="Arial" w:cs="Arial" w:eastAsia="Arial" w:hAnsi="Arial"/>
          <w:sz w:val="18"/>
          <w:szCs w:val="18"/>
          <w:color w:val="auto"/>
        </w:rPr>
      </w:pPr>
    </w:p>
    <w:p>
      <w:pPr>
        <w:ind w:left="540" w:right="80" w:hanging="532"/>
        <w:spacing w:after="0" w:line="277" w:lineRule="auto"/>
        <w:tabs>
          <w:tab w:leader="none" w:pos="540" w:val="left"/>
        </w:tabs>
        <w:numPr>
          <w:ilvl w:val="0"/>
          <w:numId w:val="93"/>
        </w:numPr>
        <w:rPr>
          <w:rFonts w:ascii="Arial" w:cs="Arial" w:eastAsia="Arial" w:hAnsi="Arial"/>
          <w:sz w:val="18"/>
          <w:szCs w:val="18"/>
          <w:color w:val="auto"/>
        </w:rPr>
      </w:pPr>
      <w:r>
        <w:rPr>
          <w:rFonts w:ascii="Arial" w:cs="Arial" w:eastAsia="Arial" w:hAnsi="Arial"/>
          <w:sz w:val="18"/>
          <w:szCs w:val="18"/>
          <w:color w:val="auto"/>
        </w:rPr>
        <w:t>As a foreign private issuer, we are not required to solicit proxies or provide proxy statements to the NYSE. However, we have provided a proxy statement to the NYSE and expect to continue to do so in the future.</w:t>
      </w:r>
    </w:p>
    <w:p>
      <w:pPr>
        <w:spacing w:after="0" w:line="103" w:lineRule="exact"/>
        <w:rPr>
          <w:sz w:val="20"/>
          <w:szCs w:val="20"/>
          <w:color w:val="auto"/>
        </w:rPr>
      </w:pPr>
    </w:p>
    <w:p>
      <w:pPr>
        <w:jc w:val="center"/>
        <w:ind w:right="340"/>
        <w:spacing w:after="0"/>
        <w:rPr>
          <w:sz w:val="20"/>
          <w:szCs w:val="20"/>
          <w:color w:val="auto"/>
        </w:rPr>
      </w:pPr>
      <w:r>
        <w:rPr>
          <w:rFonts w:ascii="Arial" w:cs="Arial" w:eastAsia="Arial" w:hAnsi="Arial"/>
          <w:sz w:val="18"/>
          <w:szCs w:val="18"/>
          <w:color w:val="auto"/>
        </w:rPr>
        <w:t>99</w:t>
      </w:r>
    </w:p>
    <w:p>
      <w:pPr>
        <w:sectPr>
          <w:pgSz w:w="11900" w:h="16838" w:orient="portrait"/>
          <w:cols w:equalWidth="0" w:num="1">
            <w:col w:w="10500"/>
          </w:cols>
          <w:pgMar w:left="860" w:top="274" w:right="539" w:bottom="1440" w:gutter="0" w:footer="0" w:header="0"/>
        </w:sectPr>
      </w:pPr>
    </w:p>
    <w:bookmarkStart w:id="113" w:name="page114"/>
    <w:bookmarkEnd w:id="113"/>
    <w:p>
      <w:pPr>
        <w:jc w:val="center"/>
        <w:ind w:right="-3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PART III</w:t>
      </w:r>
    </w:p>
    <w:p>
      <w:pPr>
        <w:spacing w:after="0" w:line="252" w:lineRule="exact"/>
        <w:rPr>
          <w:sz w:val="20"/>
          <w:szCs w:val="20"/>
          <w:color w:val="auto"/>
        </w:rPr>
      </w:pPr>
    </w:p>
    <w:p>
      <w:pPr>
        <w:spacing w:after="0"/>
        <w:tabs>
          <w:tab w:leader="none" w:pos="1060" w:val="left"/>
        </w:tabs>
        <w:rPr>
          <w:sz w:val="20"/>
          <w:szCs w:val="20"/>
          <w:color w:val="auto"/>
        </w:rPr>
      </w:pPr>
      <w:r>
        <w:rPr>
          <w:rFonts w:ascii="Arial" w:cs="Arial" w:eastAsia="Arial" w:hAnsi="Arial"/>
          <w:sz w:val="18"/>
          <w:szCs w:val="18"/>
          <w:b w:val="1"/>
          <w:bCs w:val="1"/>
          <w:color w:val="auto"/>
        </w:rPr>
        <w:t>ITEM 17.</w:t>
      </w:r>
      <w:r>
        <w:rPr>
          <w:sz w:val="20"/>
          <w:szCs w:val="20"/>
          <w:color w:val="auto"/>
        </w:rPr>
        <w:tab/>
      </w:r>
      <w:r>
        <w:rPr>
          <w:rFonts w:ascii="Arial" w:cs="Arial" w:eastAsia="Arial" w:hAnsi="Arial"/>
          <w:sz w:val="18"/>
          <w:szCs w:val="18"/>
          <w:b w:val="1"/>
          <w:bCs w:val="1"/>
          <w:color w:val="auto"/>
        </w:rPr>
        <w:t>FINANCIAL STATEMENTS</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We have responded to Item 18 “Financial Statements.”</w:t>
      </w:r>
    </w:p>
    <w:p>
      <w:pPr>
        <w:spacing w:after="0" w:line="370" w:lineRule="exact"/>
        <w:rPr>
          <w:sz w:val="20"/>
          <w:szCs w:val="20"/>
          <w:color w:val="auto"/>
        </w:rPr>
      </w:pPr>
    </w:p>
    <w:p>
      <w:pPr>
        <w:spacing w:after="0"/>
        <w:tabs>
          <w:tab w:leader="none" w:pos="1060" w:val="left"/>
        </w:tabs>
        <w:rPr>
          <w:sz w:val="20"/>
          <w:szCs w:val="20"/>
          <w:color w:val="auto"/>
        </w:rPr>
      </w:pPr>
      <w:r>
        <w:rPr>
          <w:rFonts w:ascii="Arial" w:cs="Arial" w:eastAsia="Arial" w:hAnsi="Arial"/>
          <w:sz w:val="18"/>
          <w:szCs w:val="18"/>
          <w:b w:val="1"/>
          <w:bCs w:val="1"/>
          <w:color w:val="auto"/>
        </w:rPr>
        <w:t>ITEM 18.</w:t>
      </w:r>
      <w:r>
        <w:rPr>
          <w:sz w:val="20"/>
          <w:szCs w:val="20"/>
          <w:color w:val="auto"/>
        </w:rPr>
        <w:tab/>
      </w:r>
      <w:r>
        <w:rPr>
          <w:rFonts w:ascii="Arial" w:cs="Arial" w:eastAsia="Arial" w:hAnsi="Arial"/>
          <w:sz w:val="18"/>
          <w:szCs w:val="18"/>
          <w:b w:val="1"/>
          <w:bCs w:val="1"/>
          <w:color w:val="auto"/>
        </w:rPr>
        <w:t>FINANCIAL STATEMENTS</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Reference is made to pages F-1 through F-47 and is incorporated herein by reference.</w:t>
      </w:r>
    </w:p>
    <w:p>
      <w:pPr>
        <w:spacing w:after="0" w:line="244" w:lineRule="exact"/>
        <w:rPr>
          <w:sz w:val="20"/>
          <w:szCs w:val="20"/>
          <w:color w:val="auto"/>
        </w:rPr>
      </w:pPr>
    </w:p>
    <w:tbl>
      <w:tblPr>
        <w:tblLayout w:type="fixed"/>
        <w:tblInd w:w="0" w:type="dxa"/>
        <w:tblCellMar>
          <w:top w:w="0" w:type="dxa"/>
          <w:left w:w="0" w:type="dxa"/>
          <w:bottom w:w="0" w:type="dxa"/>
          <w:right w:w="0" w:type="dxa"/>
        </w:tblCellMar>
      </w:tblPr>
      <w:tr>
        <w:trPr>
          <w:trHeight w:val="186"/>
        </w:trPr>
        <w:tc>
          <w:tcPr>
            <w:tcW w:w="922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Audited Consolidated Financial Statements</w:t>
            </w:r>
          </w:p>
        </w:tc>
        <w:tc>
          <w:tcPr>
            <w:tcW w:w="1740" w:type="dxa"/>
            <w:vAlign w:val="bottom"/>
          </w:tcPr>
          <w:p>
            <w:pPr>
              <w:jc w:val="right"/>
              <w:spacing w:after="0"/>
              <w:rPr>
                <w:sz w:val="20"/>
                <w:szCs w:val="20"/>
                <w:color w:val="auto"/>
              </w:rPr>
            </w:pPr>
            <w:r>
              <w:rPr>
                <w:rFonts w:ascii="Arial" w:cs="Arial" w:eastAsia="Arial" w:hAnsi="Arial"/>
                <w:sz w:val="14"/>
                <w:szCs w:val="14"/>
                <w:b w:val="1"/>
                <w:bCs w:val="1"/>
                <w:color w:val="auto"/>
              </w:rPr>
              <w:t>Page</w:t>
            </w:r>
          </w:p>
        </w:tc>
        <w:tc>
          <w:tcPr>
            <w:tcW w:w="0" w:type="dxa"/>
            <w:vAlign w:val="bottom"/>
          </w:tcPr>
          <w:p>
            <w:pPr>
              <w:spacing w:after="0"/>
              <w:rPr>
                <w:sz w:val="1"/>
                <w:szCs w:val="1"/>
                <w:color w:val="auto"/>
              </w:rPr>
            </w:pPr>
          </w:p>
        </w:tc>
      </w:tr>
      <w:tr>
        <w:trPr>
          <w:trHeight w:val="201"/>
        </w:trPr>
        <w:tc>
          <w:tcPr>
            <w:tcW w:w="9220" w:type="dxa"/>
            <w:vAlign w:val="bottom"/>
            <w:gridSpan w:val="2"/>
            <w:vMerge w:val="continue"/>
          </w:tcPr>
          <w:p>
            <w:pPr>
              <w:spacing w:after="0"/>
              <w:rPr>
                <w:sz w:val="17"/>
                <w:szCs w:val="17"/>
                <w:color w:val="auto"/>
              </w:rPr>
            </w:pPr>
          </w:p>
        </w:tc>
        <w:tc>
          <w:tcPr>
            <w:tcW w:w="17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324"/>
        </w:trPr>
        <w:tc>
          <w:tcPr>
            <w:tcW w:w="9220" w:type="dxa"/>
            <w:vAlign w:val="bottom"/>
            <w:gridSpan w:val="2"/>
          </w:tcPr>
          <w:p>
            <w:pPr>
              <w:spacing w:after="0"/>
              <w:rPr>
                <w:sz w:val="20"/>
                <w:szCs w:val="20"/>
                <w:color w:val="auto"/>
              </w:rPr>
            </w:pPr>
            <w:r>
              <w:rPr>
                <w:rFonts w:ascii="Arial" w:cs="Arial" w:eastAsia="Arial" w:hAnsi="Arial"/>
                <w:sz w:val="18"/>
                <w:szCs w:val="18"/>
                <w:color w:val="auto"/>
              </w:rPr>
              <w:t>Reports of Independent Registered Public Accounting Firm</w:t>
            </w:r>
          </w:p>
        </w:tc>
        <w:tc>
          <w:tcPr>
            <w:tcW w:w="1740" w:type="dxa"/>
            <w:vAlign w:val="bottom"/>
          </w:tcPr>
          <w:p>
            <w:pPr>
              <w:jc w:val="right"/>
              <w:spacing w:after="0"/>
              <w:rPr>
                <w:sz w:val="20"/>
                <w:szCs w:val="20"/>
                <w:color w:val="auto"/>
              </w:rPr>
            </w:pPr>
            <w:r>
              <w:rPr>
                <w:rFonts w:ascii="Arial" w:cs="Arial" w:eastAsia="Arial" w:hAnsi="Arial"/>
                <w:sz w:val="18"/>
                <w:szCs w:val="18"/>
                <w:color w:val="auto"/>
              </w:rPr>
              <w:t>F-2</w:t>
            </w:r>
          </w:p>
        </w:tc>
        <w:tc>
          <w:tcPr>
            <w:tcW w:w="0" w:type="dxa"/>
            <w:vAlign w:val="bottom"/>
          </w:tcPr>
          <w:p>
            <w:pPr>
              <w:spacing w:after="0"/>
              <w:rPr>
                <w:sz w:val="1"/>
                <w:szCs w:val="1"/>
                <w:color w:val="auto"/>
              </w:rPr>
            </w:pPr>
          </w:p>
        </w:tc>
      </w:tr>
      <w:tr>
        <w:trPr>
          <w:trHeight w:val="324"/>
        </w:trPr>
        <w:tc>
          <w:tcPr>
            <w:tcW w:w="9220" w:type="dxa"/>
            <w:vAlign w:val="bottom"/>
            <w:gridSpan w:val="2"/>
          </w:tcPr>
          <w:p>
            <w:pPr>
              <w:spacing w:after="0"/>
              <w:rPr>
                <w:sz w:val="20"/>
                <w:szCs w:val="20"/>
                <w:color w:val="auto"/>
              </w:rPr>
            </w:pPr>
            <w:r>
              <w:rPr>
                <w:rFonts w:ascii="Arial" w:cs="Arial" w:eastAsia="Arial" w:hAnsi="Arial"/>
                <w:sz w:val="18"/>
                <w:szCs w:val="18"/>
                <w:color w:val="auto"/>
              </w:rPr>
              <w:t>Consolidated Statements of Operations for the Years Ended December 31, 2020, 2019 and 2018</w:t>
            </w:r>
          </w:p>
        </w:tc>
        <w:tc>
          <w:tcPr>
            <w:tcW w:w="1740" w:type="dxa"/>
            <w:vAlign w:val="bottom"/>
          </w:tcPr>
          <w:p>
            <w:pPr>
              <w:jc w:val="right"/>
              <w:spacing w:after="0"/>
              <w:rPr>
                <w:sz w:val="20"/>
                <w:szCs w:val="20"/>
                <w:color w:val="auto"/>
              </w:rPr>
            </w:pPr>
            <w:r>
              <w:rPr>
                <w:rFonts w:ascii="Arial" w:cs="Arial" w:eastAsia="Arial" w:hAnsi="Arial"/>
                <w:sz w:val="18"/>
                <w:szCs w:val="18"/>
                <w:color w:val="auto"/>
              </w:rPr>
              <w:t>F-5</w:t>
            </w:r>
          </w:p>
        </w:tc>
        <w:tc>
          <w:tcPr>
            <w:tcW w:w="0" w:type="dxa"/>
            <w:vAlign w:val="bottom"/>
          </w:tcPr>
          <w:p>
            <w:pPr>
              <w:spacing w:after="0"/>
              <w:rPr>
                <w:sz w:val="1"/>
                <w:szCs w:val="1"/>
                <w:color w:val="auto"/>
              </w:rPr>
            </w:pPr>
          </w:p>
        </w:tc>
      </w:tr>
      <w:tr>
        <w:trPr>
          <w:trHeight w:val="324"/>
        </w:trPr>
        <w:tc>
          <w:tcPr>
            <w:tcW w:w="9220" w:type="dxa"/>
            <w:vAlign w:val="bottom"/>
            <w:gridSpan w:val="2"/>
          </w:tcPr>
          <w:p>
            <w:pPr>
              <w:spacing w:after="0"/>
              <w:rPr>
                <w:sz w:val="20"/>
                <w:szCs w:val="20"/>
                <w:color w:val="auto"/>
              </w:rPr>
            </w:pPr>
            <w:r>
              <w:rPr>
                <w:rFonts w:ascii="Arial" w:cs="Arial" w:eastAsia="Arial" w:hAnsi="Arial"/>
                <w:sz w:val="18"/>
                <w:szCs w:val="18"/>
                <w:color w:val="auto"/>
              </w:rPr>
              <w:t>Consolidated Statements of Comprehensive Income for the Years Ended December 31, 2020, 2019 and 2018</w:t>
            </w:r>
          </w:p>
        </w:tc>
        <w:tc>
          <w:tcPr>
            <w:tcW w:w="1740" w:type="dxa"/>
            <w:vAlign w:val="bottom"/>
          </w:tcPr>
          <w:p>
            <w:pPr>
              <w:jc w:val="right"/>
              <w:spacing w:after="0"/>
              <w:rPr>
                <w:sz w:val="20"/>
                <w:szCs w:val="20"/>
                <w:color w:val="auto"/>
              </w:rPr>
            </w:pPr>
            <w:r>
              <w:rPr>
                <w:rFonts w:ascii="Arial" w:cs="Arial" w:eastAsia="Arial" w:hAnsi="Arial"/>
                <w:sz w:val="18"/>
                <w:szCs w:val="18"/>
                <w:color w:val="auto"/>
              </w:rPr>
              <w:t>F-6</w:t>
            </w:r>
          </w:p>
        </w:tc>
        <w:tc>
          <w:tcPr>
            <w:tcW w:w="0" w:type="dxa"/>
            <w:vAlign w:val="bottom"/>
          </w:tcPr>
          <w:p>
            <w:pPr>
              <w:spacing w:after="0"/>
              <w:rPr>
                <w:sz w:val="1"/>
                <w:szCs w:val="1"/>
                <w:color w:val="auto"/>
              </w:rPr>
            </w:pPr>
          </w:p>
        </w:tc>
      </w:tr>
      <w:tr>
        <w:trPr>
          <w:trHeight w:val="324"/>
        </w:trPr>
        <w:tc>
          <w:tcPr>
            <w:tcW w:w="9220" w:type="dxa"/>
            <w:vAlign w:val="bottom"/>
            <w:gridSpan w:val="2"/>
          </w:tcPr>
          <w:p>
            <w:pPr>
              <w:spacing w:after="0"/>
              <w:rPr>
                <w:sz w:val="20"/>
                <w:szCs w:val="20"/>
                <w:color w:val="auto"/>
              </w:rPr>
            </w:pPr>
            <w:r>
              <w:rPr>
                <w:rFonts w:ascii="Arial" w:cs="Arial" w:eastAsia="Arial" w:hAnsi="Arial"/>
                <w:sz w:val="18"/>
                <w:szCs w:val="18"/>
                <w:color w:val="auto"/>
              </w:rPr>
              <w:t>Consolidated Balance Sheets as of December 31, 2020 and 2019</w:t>
            </w:r>
          </w:p>
        </w:tc>
        <w:tc>
          <w:tcPr>
            <w:tcW w:w="1740" w:type="dxa"/>
            <w:vAlign w:val="bottom"/>
          </w:tcPr>
          <w:p>
            <w:pPr>
              <w:jc w:val="right"/>
              <w:spacing w:after="0"/>
              <w:rPr>
                <w:sz w:val="20"/>
                <w:szCs w:val="20"/>
                <w:color w:val="auto"/>
              </w:rPr>
            </w:pPr>
            <w:r>
              <w:rPr>
                <w:rFonts w:ascii="Arial" w:cs="Arial" w:eastAsia="Arial" w:hAnsi="Arial"/>
                <w:sz w:val="18"/>
                <w:szCs w:val="18"/>
                <w:color w:val="auto"/>
              </w:rPr>
              <w:t>F-7</w:t>
            </w:r>
          </w:p>
        </w:tc>
        <w:tc>
          <w:tcPr>
            <w:tcW w:w="0" w:type="dxa"/>
            <w:vAlign w:val="bottom"/>
          </w:tcPr>
          <w:p>
            <w:pPr>
              <w:spacing w:after="0"/>
              <w:rPr>
                <w:sz w:val="1"/>
                <w:szCs w:val="1"/>
                <w:color w:val="auto"/>
              </w:rPr>
            </w:pPr>
          </w:p>
        </w:tc>
      </w:tr>
      <w:tr>
        <w:trPr>
          <w:trHeight w:val="324"/>
        </w:trPr>
        <w:tc>
          <w:tcPr>
            <w:tcW w:w="9220" w:type="dxa"/>
            <w:vAlign w:val="bottom"/>
            <w:gridSpan w:val="2"/>
          </w:tcPr>
          <w:p>
            <w:pPr>
              <w:spacing w:after="0"/>
              <w:rPr>
                <w:sz w:val="20"/>
                <w:szCs w:val="20"/>
                <w:color w:val="auto"/>
              </w:rPr>
            </w:pPr>
            <w:r>
              <w:rPr>
                <w:rFonts w:ascii="Arial" w:cs="Arial" w:eastAsia="Arial" w:hAnsi="Arial"/>
                <w:sz w:val="18"/>
                <w:szCs w:val="18"/>
                <w:color w:val="auto"/>
              </w:rPr>
              <w:t>Consolidated Statements of Shareholders’ Equity for the Years Ended December 31, 2020, 2019 and 2018</w:t>
            </w:r>
          </w:p>
        </w:tc>
        <w:tc>
          <w:tcPr>
            <w:tcW w:w="1740" w:type="dxa"/>
            <w:vAlign w:val="bottom"/>
          </w:tcPr>
          <w:p>
            <w:pPr>
              <w:jc w:val="right"/>
              <w:spacing w:after="0"/>
              <w:rPr>
                <w:sz w:val="20"/>
                <w:szCs w:val="20"/>
                <w:color w:val="auto"/>
              </w:rPr>
            </w:pPr>
            <w:r>
              <w:rPr>
                <w:rFonts w:ascii="Arial" w:cs="Arial" w:eastAsia="Arial" w:hAnsi="Arial"/>
                <w:sz w:val="18"/>
                <w:szCs w:val="18"/>
                <w:color w:val="auto"/>
              </w:rPr>
              <w:t>F-8</w:t>
            </w:r>
          </w:p>
        </w:tc>
        <w:tc>
          <w:tcPr>
            <w:tcW w:w="0" w:type="dxa"/>
            <w:vAlign w:val="bottom"/>
          </w:tcPr>
          <w:p>
            <w:pPr>
              <w:spacing w:after="0"/>
              <w:rPr>
                <w:sz w:val="1"/>
                <w:szCs w:val="1"/>
                <w:color w:val="auto"/>
              </w:rPr>
            </w:pPr>
          </w:p>
        </w:tc>
      </w:tr>
      <w:tr>
        <w:trPr>
          <w:trHeight w:val="324"/>
        </w:trPr>
        <w:tc>
          <w:tcPr>
            <w:tcW w:w="9220" w:type="dxa"/>
            <w:vAlign w:val="bottom"/>
            <w:gridSpan w:val="2"/>
          </w:tcPr>
          <w:p>
            <w:pPr>
              <w:spacing w:after="0"/>
              <w:rPr>
                <w:sz w:val="20"/>
                <w:szCs w:val="20"/>
                <w:color w:val="auto"/>
              </w:rPr>
            </w:pPr>
            <w:r>
              <w:rPr>
                <w:rFonts w:ascii="Arial" w:cs="Arial" w:eastAsia="Arial" w:hAnsi="Arial"/>
                <w:sz w:val="18"/>
                <w:szCs w:val="18"/>
                <w:color w:val="auto"/>
              </w:rPr>
              <w:t>Consolidated Statements of Cash Flows for the Years Ended December 31, 2020, 2019 and 2018</w:t>
            </w:r>
          </w:p>
        </w:tc>
        <w:tc>
          <w:tcPr>
            <w:tcW w:w="1740" w:type="dxa"/>
            <w:vAlign w:val="bottom"/>
          </w:tcPr>
          <w:p>
            <w:pPr>
              <w:jc w:val="right"/>
              <w:spacing w:after="0"/>
              <w:rPr>
                <w:sz w:val="20"/>
                <w:szCs w:val="20"/>
                <w:color w:val="auto"/>
              </w:rPr>
            </w:pPr>
            <w:r>
              <w:rPr>
                <w:rFonts w:ascii="Arial" w:cs="Arial" w:eastAsia="Arial" w:hAnsi="Arial"/>
                <w:sz w:val="18"/>
                <w:szCs w:val="18"/>
                <w:color w:val="auto"/>
              </w:rPr>
              <w:t>F-9</w:t>
            </w:r>
          </w:p>
        </w:tc>
        <w:tc>
          <w:tcPr>
            <w:tcW w:w="0" w:type="dxa"/>
            <w:vAlign w:val="bottom"/>
          </w:tcPr>
          <w:p>
            <w:pPr>
              <w:spacing w:after="0"/>
              <w:rPr>
                <w:sz w:val="1"/>
                <w:szCs w:val="1"/>
                <w:color w:val="auto"/>
              </w:rPr>
            </w:pPr>
          </w:p>
        </w:tc>
      </w:tr>
      <w:tr>
        <w:trPr>
          <w:trHeight w:val="324"/>
        </w:trPr>
        <w:tc>
          <w:tcPr>
            <w:tcW w:w="9220" w:type="dxa"/>
            <w:vAlign w:val="bottom"/>
            <w:gridSpan w:val="2"/>
          </w:tcPr>
          <w:p>
            <w:pPr>
              <w:spacing w:after="0"/>
              <w:rPr>
                <w:sz w:val="20"/>
                <w:szCs w:val="20"/>
                <w:color w:val="auto"/>
              </w:rPr>
            </w:pPr>
            <w:r>
              <w:rPr>
                <w:rFonts w:ascii="Arial" w:cs="Arial" w:eastAsia="Arial" w:hAnsi="Arial"/>
                <w:sz w:val="18"/>
                <w:szCs w:val="18"/>
                <w:color w:val="auto"/>
              </w:rPr>
              <w:t>Notes to Consolidated Financial Statements</w:t>
            </w:r>
          </w:p>
        </w:tc>
        <w:tc>
          <w:tcPr>
            <w:tcW w:w="1740" w:type="dxa"/>
            <w:vAlign w:val="bottom"/>
          </w:tcPr>
          <w:p>
            <w:pPr>
              <w:jc w:val="right"/>
              <w:spacing w:after="0"/>
              <w:rPr>
                <w:sz w:val="20"/>
                <w:szCs w:val="20"/>
                <w:color w:val="auto"/>
              </w:rPr>
            </w:pPr>
            <w:r>
              <w:rPr>
                <w:rFonts w:ascii="Arial" w:cs="Arial" w:eastAsia="Arial" w:hAnsi="Arial"/>
                <w:sz w:val="18"/>
                <w:szCs w:val="18"/>
                <w:color w:val="auto"/>
              </w:rPr>
              <w:t>F-10</w:t>
            </w:r>
          </w:p>
        </w:tc>
        <w:tc>
          <w:tcPr>
            <w:tcW w:w="0" w:type="dxa"/>
            <w:vAlign w:val="bottom"/>
          </w:tcPr>
          <w:p>
            <w:pPr>
              <w:spacing w:after="0"/>
              <w:rPr>
                <w:sz w:val="1"/>
                <w:szCs w:val="1"/>
                <w:color w:val="auto"/>
              </w:rPr>
            </w:pPr>
          </w:p>
        </w:tc>
      </w:tr>
      <w:tr>
        <w:trPr>
          <w:trHeight w:val="324"/>
        </w:trPr>
        <w:tc>
          <w:tcPr>
            <w:tcW w:w="9220" w:type="dxa"/>
            <w:vAlign w:val="bottom"/>
            <w:gridSpan w:val="2"/>
          </w:tcPr>
          <w:p>
            <w:pPr>
              <w:spacing w:after="0"/>
              <w:rPr>
                <w:sz w:val="20"/>
                <w:szCs w:val="20"/>
                <w:color w:val="auto"/>
              </w:rPr>
            </w:pPr>
            <w:r>
              <w:rPr>
                <w:rFonts w:ascii="Arial" w:cs="Arial" w:eastAsia="Arial" w:hAnsi="Arial"/>
                <w:sz w:val="18"/>
                <w:szCs w:val="18"/>
                <w:b w:val="1"/>
                <w:bCs w:val="1"/>
                <w:color w:val="auto"/>
              </w:rPr>
              <w:t>Financial Statement Schedules</w:t>
            </w:r>
          </w:p>
        </w:tc>
        <w:tc>
          <w:tcPr>
            <w:tcW w:w="17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9220" w:type="dxa"/>
            <w:vAlign w:val="bottom"/>
            <w:gridSpan w:val="2"/>
          </w:tcPr>
          <w:p>
            <w:pPr>
              <w:spacing w:after="0"/>
              <w:rPr>
                <w:sz w:val="20"/>
                <w:szCs w:val="20"/>
                <w:color w:val="auto"/>
              </w:rPr>
            </w:pPr>
            <w:r>
              <w:rPr>
                <w:rFonts w:ascii="Arial" w:cs="Arial" w:eastAsia="Arial" w:hAnsi="Arial"/>
                <w:sz w:val="18"/>
                <w:szCs w:val="18"/>
                <w:color w:val="auto"/>
              </w:rPr>
              <w:t>Schedule I – Parent Company Information</w:t>
            </w:r>
          </w:p>
        </w:tc>
        <w:tc>
          <w:tcPr>
            <w:tcW w:w="1740" w:type="dxa"/>
            <w:vAlign w:val="bottom"/>
          </w:tcPr>
          <w:p>
            <w:pPr>
              <w:jc w:val="right"/>
              <w:spacing w:after="0"/>
              <w:rPr>
                <w:sz w:val="20"/>
                <w:szCs w:val="20"/>
                <w:color w:val="auto"/>
              </w:rPr>
            </w:pPr>
            <w:r>
              <w:rPr>
                <w:rFonts w:ascii="Arial" w:cs="Arial" w:eastAsia="Arial" w:hAnsi="Arial"/>
                <w:sz w:val="18"/>
                <w:szCs w:val="18"/>
                <w:color w:val="auto"/>
              </w:rPr>
              <w:t>F-50</w:t>
            </w:r>
          </w:p>
        </w:tc>
        <w:tc>
          <w:tcPr>
            <w:tcW w:w="0" w:type="dxa"/>
            <w:vAlign w:val="bottom"/>
          </w:tcPr>
          <w:p>
            <w:pPr>
              <w:spacing w:after="0"/>
              <w:rPr>
                <w:sz w:val="1"/>
                <w:szCs w:val="1"/>
                <w:color w:val="auto"/>
              </w:rPr>
            </w:pPr>
          </w:p>
        </w:tc>
      </w:tr>
      <w:tr>
        <w:trPr>
          <w:trHeight w:val="324"/>
        </w:trPr>
        <w:tc>
          <w:tcPr>
            <w:tcW w:w="9220" w:type="dxa"/>
            <w:vAlign w:val="bottom"/>
            <w:gridSpan w:val="2"/>
          </w:tcPr>
          <w:p>
            <w:pPr>
              <w:spacing w:after="0"/>
              <w:rPr>
                <w:sz w:val="20"/>
                <w:szCs w:val="20"/>
                <w:color w:val="auto"/>
              </w:rPr>
            </w:pPr>
            <w:r>
              <w:rPr>
                <w:rFonts w:ascii="Arial" w:cs="Arial" w:eastAsia="Arial" w:hAnsi="Arial"/>
                <w:sz w:val="18"/>
                <w:szCs w:val="18"/>
                <w:color w:val="auto"/>
              </w:rPr>
              <w:t>Schedule II – Valuation Accounts</w:t>
            </w:r>
          </w:p>
        </w:tc>
        <w:tc>
          <w:tcPr>
            <w:tcW w:w="1740" w:type="dxa"/>
            <w:vAlign w:val="bottom"/>
          </w:tcPr>
          <w:p>
            <w:pPr>
              <w:jc w:val="right"/>
              <w:spacing w:after="0"/>
              <w:rPr>
                <w:sz w:val="20"/>
                <w:szCs w:val="20"/>
                <w:color w:val="auto"/>
              </w:rPr>
            </w:pPr>
            <w:r>
              <w:rPr>
                <w:rFonts w:ascii="Arial" w:cs="Arial" w:eastAsia="Arial" w:hAnsi="Arial"/>
                <w:sz w:val="18"/>
                <w:szCs w:val="18"/>
                <w:color w:val="auto"/>
              </w:rPr>
              <w:t>F-53</w:t>
            </w:r>
          </w:p>
        </w:tc>
        <w:tc>
          <w:tcPr>
            <w:tcW w:w="0" w:type="dxa"/>
            <w:vAlign w:val="bottom"/>
          </w:tcPr>
          <w:p>
            <w:pPr>
              <w:spacing w:after="0"/>
              <w:rPr>
                <w:sz w:val="1"/>
                <w:szCs w:val="1"/>
                <w:color w:val="auto"/>
              </w:rPr>
            </w:pPr>
          </w:p>
        </w:tc>
      </w:tr>
      <w:tr>
        <w:trPr>
          <w:trHeight w:val="459"/>
        </w:trPr>
        <w:tc>
          <w:tcPr>
            <w:tcW w:w="920" w:type="dxa"/>
            <w:vAlign w:val="bottom"/>
          </w:tcPr>
          <w:p>
            <w:pPr>
              <w:spacing w:after="0"/>
              <w:rPr>
                <w:sz w:val="20"/>
                <w:szCs w:val="20"/>
                <w:color w:val="auto"/>
              </w:rPr>
            </w:pPr>
            <w:r>
              <w:rPr>
                <w:rFonts w:ascii="Arial" w:cs="Arial" w:eastAsia="Arial" w:hAnsi="Arial"/>
                <w:sz w:val="18"/>
                <w:szCs w:val="18"/>
                <w:b w:val="1"/>
                <w:bCs w:val="1"/>
                <w:color w:val="auto"/>
              </w:rPr>
              <w:t>ITEM 19.</w:t>
            </w:r>
          </w:p>
        </w:tc>
        <w:tc>
          <w:tcPr>
            <w:tcW w:w="8300" w:type="dxa"/>
            <w:vAlign w:val="bottom"/>
          </w:tcPr>
          <w:p>
            <w:pPr>
              <w:jc w:val="right"/>
              <w:ind w:right="7170"/>
              <w:spacing w:after="0"/>
              <w:rPr>
                <w:sz w:val="20"/>
                <w:szCs w:val="20"/>
                <w:color w:val="auto"/>
              </w:rPr>
            </w:pPr>
            <w:r>
              <w:rPr>
                <w:rFonts w:ascii="Arial" w:cs="Arial" w:eastAsia="Arial" w:hAnsi="Arial"/>
                <w:sz w:val="18"/>
                <w:szCs w:val="18"/>
                <w:b w:val="1"/>
                <w:bCs w:val="1"/>
                <w:color w:val="auto"/>
              </w:rPr>
              <w:t>EXHIBITS</w:t>
            </w:r>
          </w:p>
        </w:tc>
        <w:tc>
          <w:tcPr>
            <w:tcW w:w="17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9220" w:type="dxa"/>
            <w:vAlign w:val="bottom"/>
            <w:gridSpan w:val="2"/>
          </w:tcPr>
          <w:p>
            <w:pPr>
              <w:ind w:left="440"/>
              <w:spacing w:after="0"/>
              <w:rPr>
                <w:sz w:val="20"/>
                <w:szCs w:val="20"/>
                <w:color w:val="auto"/>
              </w:rPr>
            </w:pPr>
            <w:r>
              <w:rPr>
                <w:rFonts w:ascii="Arial" w:cs="Arial" w:eastAsia="Arial" w:hAnsi="Arial"/>
                <w:sz w:val="18"/>
                <w:szCs w:val="18"/>
                <w:color w:val="auto"/>
              </w:rPr>
              <w:t>The exhibits filed as part of this Annual Report on Form 20-F are listed in the Exhibit Index.</w:t>
            </w:r>
          </w:p>
        </w:tc>
        <w:tc>
          <w:tcPr>
            <w:tcW w:w="17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4"/>
        </w:trPr>
        <w:tc>
          <w:tcPr>
            <w:tcW w:w="920" w:type="dxa"/>
            <w:vAlign w:val="bottom"/>
          </w:tcPr>
          <w:p>
            <w:pPr>
              <w:spacing w:after="0"/>
              <w:rPr>
                <w:sz w:val="24"/>
                <w:szCs w:val="24"/>
                <w:color w:val="auto"/>
              </w:rPr>
            </w:pPr>
          </w:p>
        </w:tc>
        <w:tc>
          <w:tcPr>
            <w:tcW w:w="8300" w:type="dxa"/>
            <w:vAlign w:val="bottom"/>
          </w:tcPr>
          <w:p>
            <w:pPr>
              <w:jc w:val="right"/>
              <w:ind w:right="3490"/>
              <w:spacing w:after="0"/>
              <w:rPr>
                <w:sz w:val="20"/>
                <w:szCs w:val="20"/>
                <w:color w:val="auto"/>
              </w:rPr>
            </w:pPr>
            <w:r>
              <w:rPr>
                <w:rFonts w:ascii="Arial" w:cs="Arial" w:eastAsia="Arial" w:hAnsi="Arial"/>
                <w:sz w:val="18"/>
                <w:szCs w:val="18"/>
                <w:color w:val="auto"/>
              </w:rPr>
              <w:t>100</w:t>
            </w:r>
          </w:p>
        </w:tc>
        <w:tc>
          <w:tcPr>
            <w:tcW w:w="174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0960"/>
          </w:cols>
          <w:pgMar w:left="440" w:top="270" w:right="499" w:bottom="1440" w:gutter="0" w:footer="0" w:header="0"/>
        </w:sectPr>
      </w:pPr>
    </w:p>
    <w:bookmarkStart w:id="114" w:name="page115"/>
    <w:bookmarkEnd w:id="114"/>
    <w:p>
      <w:pPr>
        <w:jc w:val="center"/>
        <w:ind w:right="-3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TEXTAINER GROUP HOLDINGS LIMITED AND SUBSIDIARIES</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INDEX TO FINANCIAL STATEMENTS</w:t>
      </w:r>
    </w:p>
    <w:p>
      <w:pPr>
        <w:spacing w:after="0" w:line="248"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10560" w:type="dxa"/>
            <w:vAlign w:val="bottom"/>
            <w:vMerge w:val="restart"/>
          </w:tcPr>
          <w:p>
            <w:pPr>
              <w:spacing w:after="0"/>
              <w:rPr>
                <w:sz w:val="20"/>
                <w:szCs w:val="20"/>
                <w:color w:val="auto"/>
              </w:rPr>
            </w:pPr>
            <w:r>
              <w:rPr>
                <w:rFonts w:ascii="Arial" w:cs="Arial" w:eastAsia="Arial" w:hAnsi="Arial"/>
                <w:sz w:val="18"/>
                <w:szCs w:val="18"/>
                <w:b w:val="1"/>
                <w:bCs w:val="1"/>
                <w:color w:val="auto"/>
              </w:rPr>
              <w:t>Audited Consolidated Financial Statements</w:t>
            </w:r>
          </w:p>
        </w:tc>
        <w:tc>
          <w:tcPr>
            <w:tcW w:w="40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w w:val="95"/>
              </w:rPr>
              <w:t>Page</w:t>
            </w:r>
          </w:p>
        </w:tc>
        <w:tc>
          <w:tcPr>
            <w:tcW w:w="0" w:type="dxa"/>
            <w:vAlign w:val="bottom"/>
          </w:tcPr>
          <w:p>
            <w:pPr>
              <w:spacing w:after="0"/>
              <w:rPr>
                <w:sz w:val="1"/>
                <w:szCs w:val="1"/>
                <w:color w:val="auto"/>
              </w:rPr>
            </w:pPr>
          </w:p>
        </w:tc>
      </w:tr>
      <w:tr>
        <w:trPr>
          <w:trHeight w:val="182"/>
        </w:trPr>
        <w:tc>
          <w:tcPr>
            <w:tcW w:w="10560" w:type="dxa"/>
            <w:vAlign w:val="bottom"/>
            <w:vMerge w:val="continue"/>
          </w:tcPr>
          <w:p>
            <w:pPr>
              <w:spacing w:after="0"/>
              <w:rPr>
                <w:sz w:val="15"/>
                <w:szCs w:val="15"/>
                <w:color w:val="auto"/>
              </w:rPr>
            </w:pPr>
          </w:p>
        </w:tc>
        <w:tc>
          <w:tcPr>
            <w:tcW w:w="4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16"/>
        </w:trPr>
        <w:tc>
          <w:tcPr>
            <w:tcW w:w="10560" w:type="dxa"/>
            <w:vAlign w:val="bottom"/>
          </w:tcPr>
          <w:p>
            <w:pPr>
              <w:spacing w:after="0"/>
              <w:rPr>
                <w:sz w:val="20"/>
                <w:szCs w:val="20"/>
                <w:color w:val="auto"/>
              </w:rPr>
            </w:pPr>
            <w:r>
              <w:rPr>
                <w:rFonts w:ascii="Arial" w:cs="Arial" w:eastAsia="Arial" w:hAnsi="Arial"/>
                <w:sz w:val="18"/>
                <w:szCs w:val="18"/>
                <w:color w:val="auto"/>
              </w:rPr>
              <w:t>Reports of Independent Registered Public Accounting Firm</w:t>
            </w:r>
          </w:p>
        </w:tc>
        <w:tc>
          <w:tcPr>
            <w:tcW w:w="400" w:type="dxa"/>
            <w:vAlign w:val="bottom"/>
          </w:tcPr>
          <w:p>
            <w:pPr>
              <w:jc w:val="right"/>
              <w:spacing w:after="0"/>
              <w:rPr>
                <w:sz w:val="20"/>
                <w:szCs w:val="20"/>
                <w:color w:val="auto"/>
              </w:rPr>
            </w:pPr>
            <w:r>
              <w:rPr>
                <w:rFonts w:ascii="Arial" w:cs="Arial" w:eastAsia="Arial" w:hAnsi="Arial"/>
                <w:sz w:val="18"/>
                <w:szCs w:val="18"/>
                <w:color w:val="auto"/>
              </w:rPr>
              <w:t>F-2</w:t>
            </w:r>
          </w:p>
        </w:tc>
        <w:tc>
          <w:tcPr>
            <w:tcW w:w="0" w:type="dxa"/>
            <w:vAlign w:val="bottom"/>
          </w:tcPr>
          <w:p>
            <w:pPr>
              <w:spacing w:after="0"/>
              <w:rPr>
                <w:sz w:val="1"/>
                <w:szCs w:val="1"/>
                <w:color w:val="auto"/>
              </w:rPr>
            </w:pPr>
          </w:p>
        </w:tc>
      </w:tr>
      <w:tr>
        <w:trPr>
          <w:trHeight w:val="216"/>
        </w:trPr>
        <w:tc>
          <w:tcPr>
            <w:tcW w:w="10560" w:type="dxa"/>
            <w:vAlign w:val="bottom"/>
          </w:tcPr>
          <w:p>
            <w:pPr>
              <w:spacing w:after="0"/>
              <w:rPr>
                <w:sz w:val="20"/>
                <w:szCs w:val="20"/>
                <w:color w:val="auto"/>
              </w:rPr>
            </w:pPr>
            <w:r>
              <w:rPr>
                <w:rFonts w:ascii="Arial" w:cs="Arial" w:eastAsia="Arial" w:hAnsi="Arial"/>
                <w:sz w:val="18"/>
                <w:szCs w:val="18"/>
                <w:color w:val="auto"/>
              </w:rPr>
              <w:t>Consolidated Statements of Operations for the Years Ended December 31, 2020, 2019 and 2018</w:t>
            </w:r>
          </w:p>
        </w:tc>
        <w:tc>
          <w:tcPr>
            <w:tcW w:w="400" w:type="dxa"/>
            <w:vAlign w:val="bottom"/>
          </w:tcPr>
          <w:p>
            <w:pPr>
              <w:jc w:val="right"/>
              <w:spacing w:after="0"/>
              <w:rPr>
                <w:sz w:val="20"/>
                <w:szCs w:val="20"/>
                <w:color w:val="auto"/>
              </w:rPr>
            </w:pPr>
            <w:r>
              <w:rPr>
                <w:rFonts w:ascii="Arial" w:cs="Arial" w:eastAsia="Arial" w:hAnsi="Arial"/>
                <w:sz w:val="18"/>
                <w:szCs w:val="18"/>
                <w:color w:val="auto"/>
              </w:rPr>
              <w:t>F-5</w:t>
            </w:r>
          </w:p>
        </w:tc>
        <w:tc>
          <w:tcPr>
            <w:tcW w:w="0" w:type="dxa"/>
            <w:vAlign w:val="bottom"/>
          </w:tcPr>
          <w:p>
            <w:pPr>
              <w:spacing w:after="0"/>
              <w:rPr>
                <w:sz w:val="1"/>
                <w:szCs w:val="1"/>
                <w:color w:val="auto"/>
              </w:rPr>
            </w:pPr>
          </w:p>
        </w:tc>
      </w:tr>
      <w:tr>
        <w:trPr>
          <w:trHeight w:val="216"/>
        </w:trPr>
        <w:tc>
          <w:tcPr>
            <w:tcW w:w="10560" w:type="dxa"/>
            <w:vAlign w:val="bottom"/>
          </w:tcPr>
          <w:p>
            <w:pPr>
              <w:spacing w:after="0"/>
              <w:rPr>
                <w:sz w:val="20"/>
                <w:szCs w:val="20"/>
                <w:color w:val="auto"/>
              </w:rPr>
            </w:pPr>
            <w:r>
              <w:rPr>
                <w:rFonts w:ascii="Arial" w:cs="Arial" w:eastAsia="Arial" w:hAnsi="Arial"/>
                <w:sz w:val="18"/>
                <w:szCs w:val="18"/>
                <w:color w:val="auto"/>
              </w:rPr>
              <w:t>Consolidated Statements of Comprehensive Income for the Years Ended December 31, 2020, 2019 and 2018</w:t>
            </w:r>
          </w:p>
        </w:tc>
        <w:tc>
          <w:tcPr>
            <w:tcW w:w="400" w:type="dxa"/>
            <w:vAlign w:val="bottom"/>
          </w:tcPr>
          <w:p>
            <w:pPr>
              <w:jc w:val="right"/>
              <w:spacing w:after="0"/>
              <w:rPr>
                <w:sz w:val="20"/>
                <w:szCs w:val="20"/>
                <w:color w:val="auto"/>
              </w:rPr>
            </w:pPr>
            <w:r>
              <w:rPr>
                <w:rFonts w:ascii="Arial" w:cs="Arial" w:eastAsia="Arial" w:hAnsi="Arial"/>
                <w:sz w:val="18"/>
                <w:szCs w:val="18"/>
                <w:color w:val="auto"/>
              </w:rPr>
              <w:t>F-6</w:t>
            </w:r>
          </w:p>
        </w:tc>
        <w:tc>
          <w:tcPr>
            <w:tcW w:w="0" w:type="dxa"/>
            <w:vAlign w:val="bottom"/>
          </w:tcPr>
          <w:p>
            <w:pPr>
              <w:spacing w:after="0"/>
              <w:rPr>
                <w:sz w:val="1"/>
                <w:szCs w:val="1"/>
                <w:color w:val="auto"/>
              </w:rPr>
            </w:pPr>
          </w:p>
        </w:tc>
      </w:tr>
      <w:tr>
        <w:trPr>
          <w:trHeight w:val="216"/>
        </w:trPr>
        <w:tc>
          <w:tcPr>
            <w:tcW w:w="10560" w:type="dxa"/>
            <w:vAlign w:val="bottom"/>
          </w:tcPr>
          <w:p>
            <w:pPr>
              <w:spacing w:after="0"/>
              <w:rPr>
                <w:sz w:val="20"/>
                <w:szCs w:val="20"/>
                <w:color w:val="auto"/>
              </w:rPr>
            </w:pPr>
            <w:r>
              <w:rPr>
                <w:rFonts w:ascii="Arial" w:cs="Arial" w:eastAsia="Arial" w:hAnsi="Arial"/>
                <w:sz w:val="18"/>
                <w:szCs w:val="18"/>
                <w:color w:val="auto"/>
              </w:rPr>
              <w:t>Consolidated Balance Sheets as of December 31, 2020 and 2019</w:t>
            </w:r>
          </w:p>
        </w:tc>
        <w:tc>
          <w:tcPr>
            <w:tcW w:w="400" w:type="dxa"/>
            <w:vAlign w:val="bottom"/>
          </w:tcPr>
          <w:p>
            <w:pPr>
              <w:jc w:val="right"/>
              <w:spacing w:after="0"/>
              <w:rPr>
                <w:sz w:val="20"/>
                <w:szCs w:val="20"/>
                <w:color w:val="auto"/>
              </w:rPr>
            </w:pPr>
            <w:r>
              <w:rPr>
                <w:rFonts w:ascii="Arial" w:cs="Arial" w:eastAsia="Arial" w:hAnsi="Arial"/>
                <w:sz w:val="18"/>
                <w:szCs w:val="18"/>
                <w:color w:val="auto"/>
              </w:rPr>
              <w:t>F-7</w:t>
            </w:r>
          </w:p>
        </w:tc>
        <w:tc>
          <w:tcPr>
            <w:tcW w:w="0" w:type="dxa"/>
            <w:vAlign w:val="bottom"/>
          </w:tcPr>
          <w:p>
            <w:pPr>
              <w:spacing w:after="0"/>
              <w:rPr>
                <w:sz w:val="1"/>
                <w:szCs w:val="1"/>
                <w:color w:val="auto"/>
              </w:rPr>
            </w:pPr>
          </w:p>
        </w:tc>
      </w:tr>
      <w:tr>
        <w:trPr>
          <w:trHeight w:val="216"/>
        </w:trPr>
        <w:tc>
          <w:tcPr>
            <w:tcW w:w="10560" w:type="dxa"/>
            <w:vAlign w:val="bottom"/>
          </w:tcPr>
          <w:p>
            <w:pPr>
              <w:spacing w:after="0"/>
              <w:rPr>
                <w:sz w:val="20"/>
                <w:szCs w:val="20"/>
                <w:color w:val="auto"/>
              </w:rPr>
            </w:pPr>
            <w:r>
              <w:rPr>
                <w:rFonts w:ascii="Arial" w:cs="Arial" w:eastAsia="Arial" w:hAnsi="Arial"/>
                <w:sz w:val="18"/>
                <w:szCs w:val="18"/>
                <w:color w:val="auto"/>
              </w:rPr>
              <w:t>Consolidated Statements of Shareholders’ Equity for the Years Ended December 31, 2020, 2019 and 2018</w:t>
            </w:r>
          </w:p>
        </w:tc>
        <w:tc>
          <w:tcPr>
            <w:tcW w:w="400" w:type="dxa"/>
            <w:vAlign w:val="bottom"/>
          </w:tcPr>
          <w:p>
            <w:pPr>
              <w:jc w:val="right"/>
              <w:spacing w:after="0"/>
              <w:rPr>
                <w:sz w:val="20"/>
                <w:szCs w:val="20"/>
                <w:color w:val="auto"/>
              </w:rPr>
            </w:pPr>
            <w:r>
              <w:rPr>
                <w:rFonts w:ascii="Arial" w:cs="Arial" w:eastAsia="Arial" w:hAnsi="Arial"/>
                <w:sz w:val="18"/>
                <w:szCs w:val="18"/>
                <w:color w:val="auto"/>
              </w:rPr>
              <w:t>F-8</w:t>
            </w:r>
          </w:p>
        </w:tc>
        <w:tc>
          <w:tcPr>
            <w:tcW w:w="0" w:type="dxa"/>
            <w:vAlign w:val="bottom"/>
          </w:tcPr>
          <w:p>
            <w:pPr>
              <w:spacing w:after="0"/>
              <w:rPr>
                <w:sz w:val="1"/>
                <w:szCs w:val="1"/>
                <w:color w:val="auto"/>
              </w:rPr>
            </w:pPr>
          </w:p>
        </w:tc>
      </w:tr>
      <w:tr>
        <w:trPr>
          <w:trHeight w:val="216"/>
        </w:trPr>
        <w:tc>
          <w:tcPr>
            <w:tcW w:w="10560" w:type="dxa"/>
            <w:vAlign w:val="bottom"/>
          </w:tcPr>
          <w:p>
            <w:pPr>
              <w:spacing w:after="0"/>
              <w:rPr>
                <w:sz w:val="20"/>
                <w:szCs w:val="20"/>
                <w:color w:val="auto"/>
              </w:rPr>
            </w:pPr>
            <w:r>
              <w:rPr>
                <w:rFonts w:ascii="Arial" w:cs="Arial" w:eastAsia="Arial" w:hAnsi="Arial"/>
                <w:sz w:val="18"/>
                <w:szCs w:val="18"/>
                <w:color w:val="auto"/>
              </w:rPr>
              <w:t>Consolidated Statements of Cash Flows for the Years Ended December 31, 2020, 2019 and 2018</w:t>
            </w:r>
          </w:p>
        </w:tc>
        <w:tc>
          <w:tcPr>
            <w:tcW w:w="400" w:type="dxa"/>
            <w:vAlign w:val="bottom"/>
          </w:tcPr>
          <w:p>
            <w:pPr>
              <w:jc w:val="right"/>
              <w:spacing w:after="0"/>
              <w:rPr>
                <w:sz w:val="20"/>
                <w:szCs w:val="20"/>
                <w:color w:val="auto"/>
              </w:rPr>
            </w:pPr>
            <w:r>
              <w:rPr>
                <w:rFonts w:ascii="Arial" w:cs="Arial" w:eastAsia="Arial" w:hAnsi="Arial"/>
                <w:sz w:val="18"/>
                <w:szCs w:val="18"/>
                <w:color w:val="auto"/>
              </w:rPr>
              <w:t>F-9</w:t>
            </w:r>
          </w:p>
        </w:tc>
        <w:tc>
          <w:tcPr>
            <w:tcW w:w="0" w:type="dxa"/>
            <w:vAlign w:val="bottom"/>
          </w:tcPr>
          <w:p>
            <w:pPr>
              <w:spacing w:after="0"/>
              <w:rPr>
                <w:sz w:val="1"/>
                <w:szCs w:val="1"/>
                <w:color w:val="auto"/>
              </w:rPr>
            </w:pPr>
          </w:p>
        </w:tc>
      </w:tr>
      <w:tr>
        <w:trPr>
          <w:trHeight w:val="230"/>
        </w:trPr>
        <w:tc>
          <w:tcPr>
            <w:tcW w:w="10560" w:type="dxa"/>
            <w:vAlign w:val="bottom"/>
          </w:tcPr>
          <w:p>
            <w:pPr>
              <w:spacing w:after="0"/>
              <w:rPr>
                <w:sz w:val="20"/>
                <w:szCs w:val="20"/>
                <w:color w:val="auto"/>
              </w:rPr>
            </w:pPr>
            <w:r>
              <w:rPr>
                <w:rFonts w:ascii="Arial" w:cs="Arial" w:eastAsia="Arial" w:hAnsi="Arial"/>
                <w:sz w:val="18"/>
                <w:szCs w:val="18"/>
                <w:color w:val="auto"/>
              </w:rPr>
              <w:t>Notes to Consolidated Financial Statements</w:t>
            </w:r>
          </w:p>
        </w:tc>
        <w:tc>
          <w:tcPr>
            <w:tcW w:w="400" w:type="dxa"/>
            <w:vAlign w:val="bottom"/>
          </w:tcPr>
          <w:p>
            <w:pPr>
              <w:jc w:val="right"/>
              <w:spacing w:after="0"/>
              <w:rPr>
                <w:sz w:val="20"/>
                <w:szCs w:val="20"/>
                <w:color w:val="auto"/>
              </w:rPr>
            </w:pPr>
            <w:r>
              <w:rPr>
                <w:rFonts w:ascii="Arial" w:cs="Arial" w:eastAsia="Arial" w:hAnsi="Arial"/>
                <w:sz w:val="18"/>
                <w:szCs w:val="18"/>
                <w:color w:val="auto"/>
              </w:rPr>
              <w:t>F-10</w:t>
            </w:r>
          </w:p>
        </w:tc>
        <w:tc>
          <w:tcPr>
            <w:tcW w:w="0" w:type="dxa"/>
            <w:vAlign w:val="bottom"/>
          </w:tcPr>
          <w:p>
            <w:pPr>
              <w:spacing w:after="0"/>
              <w:rPr>
                <w:sz w:val="1"/>
                <w:szCs w:val="1"/>
                <w:color w:val="auto"/>
              </w:rPr>
            </w:pPr>
          </w:p>
        </w:tc>
      </w:tr>
      <w:tr>
        <w:trPr>
          <w:trHeight w:val="418"/>
        </w:trPr>
        <w:tc>
          <w:tcPr>
            <w:tcW w:w="10560" w:type="dxa"/>
            <w:vAlign w:val="bottom"/>
          </w:tcPr>
          <w:p>
            <w:pPr>
              <w:spacing w:after="0"/>
              <w:rPr>
                <w:sz w:val="20"/>
                <w:szCs w:val="20"/>
                <w:color w:val="auto"/>
              </w:rPr>
            </w:pPr>
            <w:r>
              <w:rPr>
                <w:rFonts w:ascii="Arial" w:cs="Arial" w:eastAsia="Arial" w:hAnsi="Arial"/>
                <w:sz w:val="18"/>
                <w:szCs w:val="18"/>
                <w:b w:val="1"/>
                <w:bCs w:val="1"/>
                <w:color w:val="auto"/>
              </w:rPr>
              <w:t>Financial Statement Schedules</w:t>
            </w:r>
          </w:p>
        </w:tc>
        <w:tc>
          <w:tcPr>
            <w:tcW w:w="4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10560" w:type="dxa"/>
            <w:vAlign w:val="bottom"/>
          </w:tcPr>
          <w:p>
            <w:pPr>
              <w:spacing w:after="0"/>
              <w:rPr>
                <w:sz w:val="20"/>
                <w:szCs w:val="20"/>
                <w:color w:val="auto"/>
              </w:rPr>
            </w:pPr>
            <w:r>
              <w:rPr>
                <w:rFonts w:ascii="Arial" w:cs="Arial" w:eastAsia="Arial" w:hAnsi="Arial"/>
                <w:sz w:val="18"/>
                <w:szCs w:val="18"/>
                <w:color w:val="auto"/>
              </w:rPr>
              <w:t>Schedule I – Parent Company Information</w:t>
            </w:r>
          </w:p>
        </w:tc>
        <w:tc>
          <w:tcPr>
            <w:tcW w:w="400" w:type="dxa"/>
            <w:vAlign w:val="bottom"/>
          </w:tcPr>
          <w:p>
            <w:pPr>
              <w:jc w:val="right"/>
              <w:spacing w:after="0"/>
              <w:rPr>
                <w:sz w:val="20"/>
                <w:szCs w:val="20"/>
                <w:color w:val="auto"/>
              </w:rPr>
            </w:pPr>
            <w:r>
              <w:rPr>
                <w:rFonts w:ascii="Arial" w:cs="Arial" w:eastAsia="Arial" w:hAnsi="Arial"/>
                <w:sz w:val="18"/>
                <w:szCs w:val="18"/>
                <w:color w:val="auto"/>
              </w:rPr>
              <w:t>F-50</w:t>
            </w:r>
          </w:p>
        </w:tc>
        <w:tc>
          <w:tcPr>
            <w:tcW w:w="0" w:type="dxa"/>
            <w:vAlign w:val="bottom"/>
          </w:tcPr>
          <w:p>
            <w:pPr>
              <w:spacing w:after="0"/>
              <w:rPr>
                <w:sz w:val="1"/>
                <w:szCs w:val="1"/>
                <w:color w:val="auto"/>
              </w:rPr>
            </w:pPr>
          </w:p>
        </w:tc>
      </w:tr>
      <w:tr>
        <w:trPr>
          <w:trHeight w:val="230"/>
        </w:trPr>
        <w:tc>
          <w:tcPr>
            <w:tcW w:w="10560" w:type="dxa"/>
            <w:vAlign w:val="bottom"/>
          </w:tcPr>
          <w:p>
            <w:pPr>
              <w:spacing w:after="0"/>
              <w:rPr>
                <w:sz w:val="20"/>
                <w:szCs w:val="20"/>
                <w:color w:val="auto"/>
              </w:rPr>
            </w:pPr>
            <w:r>
              <w:rPr>
                <w:rFonts w:ascii="Arial" w:cs="Arial" w:eastAsia="Arial" w:hAnsi="Arial"/>
                <w:sz w:val="18"/>
                <w:szCs w:val="18"/>
                <w:color w:val="auto"/>
              </w:rPr>
              <w:t>Schedule II – Valuation Accounts</w:t>
            </w:r>
          </w:p>
        </w:tc>
        <w:tc>
          <w:tcPr>
            <w:tcW w:w="400" w:type="dxa"/>
            <w:vAlign w:val="bottom"/>
          </w:tcPr>
          <w:p>
            <w:pPr>
              <w:jc w:val="right"/>
              <w:spacing w:after="0"/>
              <w:rPr>
                <w:sz w:val="20"/>
                <w:szCs w:val="20"/>
                <w:color w:val="auto"/>
              </w:rPr>
            </w:pPr>
            <w:r>
              <w:rPr>
                <w:rFonts w:ascii="Arial" w:cs="Arial" w:eastAsia="Arial" w:hAnsi="Arial"/>
                <w:sz w:val="18"/>
                <w:szCs w:val="18"/>
                <w:color w:val="auto"/>
              </w:rPr>
              <w:t>F-53</w:t>
            </w:r>
          </w:p>
        </w:tc>
        <w:tc>
          <w:tcPr>
            <w:tcW w:w="0" w:type="dxa"/>
            <w:vAlign w:val="bottom"/>
          </w:tcPr>
          <w:p>
            <w:pPr>
              <w:spacing w:after="0"/>
              <w:rPr>
                <w:sz w:val="1"/>
                <w:szCs w:val="1"/>
                <w:color w:val="auto"/>
              </w:rPr>
            </w:pPr>
          </w:p>
        </w:tc>
      </w:tr>
      <w:tr>
        <w:trPr>
          <w:trHeight w:val="364"/>
        </w:trPr>
        <w:tc>
          <w:tcPr>
            <w:tcW w:w="10560" w:type="dxa"/>
            <w:vAlign w:val="bottom"/>
          </w:tcPr>
          <w:p>
            <w:pPr>
              <w:ind w:left="5380"/>
              <w:spacing w:after="0"/>
              <w:rPr>
                <w:sz w:val="20"/>
                <w:szCs w:val="20"/>
                <w:color w:val="auto"/>
              </w:rPr>
            </w:pPr>
            <w:r>
              <w:rPr>
                <w:rFonts w:ascii="Arial" w:cs="Arial" w:eastAsia="Arial" w:hAnsi="Arial"/>
                <w:sz w:val="18"/>
                <w:szCs w:val="18"/>
                <w:color w:val="auto"/>
              </w:rPr>
              <w:t>F-1</w:t>
            </w:r>
          </w:p>
        </w:tc>
        <w:tc>
          <w:tcPr>
            <w:tcW w:w="4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0960"/>
          </w:cols>
          <w:pgMar w:left="440" w:top="270" w:right="499" w:bottom="1440" w:gutter="0" w:footer="0" w:header="0"/>
        </w:sectPr>
      </w:pPr>
    </w:p>
    <w:bookmarkStart w:id="115" w:name="page116"/>
    <w:bookmarkEnd w:id="115"/>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Report of Independent Registered Public Accounting Firm</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To the Shareholders and Board of Directors</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Textainer Group Holdings Limited:</w:t>
      </w:r>
    </w:p>
    <w:p>
      <w:pPr>
        <w:spacing w:after="0" w:line="31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Opinion on the Consolidated Financial Statements</w:t>
      </w:r>
    </w:p>
    <w:p>
      <w:pPr>
        <w:spacing w:after="0" w:line="117" w:lineRule="exact"/>
        <w:rPr>
          <w:sz w:val="20"/>
          <w:szCs w:val="20"/>
          <w:color w:val="auto"/>
        </w:rPr>
      </w:pPr>
    </w:p>
    <w:p>
      <w:pPr>
        <w:spacing w:after="0"/>
        <w:rPr>
          <w:sz w:val="20"/>
          <w:szCs w:val="20"/>
          <w:color w:val="auto"/>
        </w:rPr>
      </w:pPr>
      <w:r>
        <w:rPr>
          <w:rFonts w:ascii="Arial" w:cs="Arial" w:eastAsia="Arial" w:hAnsi="Arial"/>
          <w:sz w:val="17"/>
          <w:szCs w:val="17"/>
          <w:color w:val="auto"/>
        </w:rPr>
        <w:t>We have audited the accompanying consolidated balance sheets of Textainer Group Holdings Limited and subsidiaries’ (the Company) as of</w:t>
      </w:r>
    </w:p>
    <w:p>
      <w:pPr>
        <w:spacing w:after="0" w:line="35" w:lineRule="exact"/>
        <w:rPr>
          <w:sz w:val="20"/>
          <w:szCs w:val="20"/>
          <w:color w:val="auto"/>
        </w:rPr>
      </w:pPr>
    </w:p>
    <w:p>
      <w:pPr>
        <w:spacing w:after="0" w:line="253" w:lineRule="auto"/>
        <w:rPr>
          <w:sz w:val="20"/>
          <w:szCs w:val="20"/>
          <w:color w:val="auto"/>
        </w:rPr>
      </w:pPr>
      <w:r>
        <w:rPr>
          <w:rFonts w:ascii="Arial" w:cs="Arial" w:eastAsia="Arial" w:hAnsi="Arial"/>
          <w:sz w:val="18"/>
          <w:szCs w:val="18"/>
          <w:color w:val="auto"/>
        </w:rPr>
        <w:t>December 31, 2020 and 2019, the related consolidated statements of operations, comprehensive income, shareholders’ equity, and cash flows for each of the years in the three-year period ended December 31, 2020, and the related notes and financial statement schedules I to II (collectively, the consolidated financial statements). In our opinion, the consolidated financial statements present fairly, in all material respects, the financial position of the Company as of December 31, 2020 and 2019, and the results of its operations and its cash flows for each of the years in the three-year period ended December 31, 2020, in conformity with U.S. generally accepted accounting principles.</w:t>
      </w:r>
    </w:p>
    <w:p>
      <w:pPr>
        <w:spacing w:after="0" w:line="191" w:lineRule="exact"/>
        <w:rPr>
          <w:sz w:val="20"/>
          <w:szCs w:val="20"/>
          <w:color w:val="auto"/>
        </w:rPr>
      </w:pPr>
    </w:p>
    <w:p>
      <w:pPr>
        <w:spacing w:after="0" w:line="259" w:lineRule="auto"/>
        <w:rPr>
          <w:sz w:val="20"/>
          <w:szCs w:val="20"/>
          <w:color w:val="auto"/>
        </w:rPr>
      </w:pPr>
      <w:r>
        <w:rPr>
          <w:rFonts w:ascii="Arial" w:cs="Arial" w:eastAsia="Arial" w:hAnsi="Arial"/>
          <w:sz w:val="18"/>
          <w:szCs w:val="18"/>
          <w:color w:val="auto"/>
        </w:rPr>
        <w:t>We also have audited, in accordance with the standards of the Public Company Accounting Oversight Board (United States) (PCAOB), the Company’s internal control over financial reporting as of December 31, 2020, based on criteria established in Internal Control – Integrated Framework (2013) issued by the Committee of Sponsoring Organizations of the Treadway Commission, and our report dated March 18, 2021 expressed an unqualified opinion on the effectiveness of the Company’s internal control over financial reporting.</w:t>
      </w:r>
    </w:p>
    <w:p>
      <w:pPr>
        <w:spacing w:after="0" w:line="29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Change in Accounting Principle</w:t>
      </w:r>
    </w:p>
    <w:p>
      <w:pPr>
        <w:spacing w:after="0" w:line="117" w:lineRule="exact"/>
        <w:rPr>
          <w:sz w:val="20"/>
          <w:szCs w:val="20"/>
          <w:color w:val="auto"/>
        </w:rPr>
      </w:pPr>
    </w:p>
    <w:p>
      <w:pPr>
        <w:ind w:right="40"/>
        <w:spacing w:after="0" w:line="277" w:lineRule="auto"/>
        <w:rPr>
          <w:sz w:val="20"/>
          <w:szCs w:val="20"/>
          <w:color w:val="auto"/>
        </w:rPr>
      </w:pPr>
      <w:r>
        <w:rPr>
          <w:rFonts w:ascii="Arial" w:cs="Arial" w:eastAsia="Arial" w:hAnsi="Arial"/>
          <w:sz w:val="18"/>
          <w:szCs w:val="18"/>
          <w:color w:val="auto"/>
        </w:rPr>
        <w:t>As discussed in Note 1 to the consolidated financial statements, the Company has changed its method of accounting for leases as of January 1, 2019 due to the adoption of Accounting Standards Update No. 2016-02, Leases (Topic 842).</w:t>
      </w:r>
    </w:p>
    <w:p>
      <w:pPr>
        <w:spacing w:after="0" w:line="278"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Basis for Opinion</w:t>
      </w:r>
    </w:p>
    <w:p>
      <w:pPr>
        <w:spacing w:after="0" w:line="117" w:lineRule="exact"/>
        <w:rPr>
          <w:sz w:val="20"/>
          <w:szCs w:val="20"/>
          <w:color w:val="auto"/>
        </w:rPr>
      </w:pPr>
    </w:p>
    <w:p>
      <w:pPr>
        <w:ind w:right="80"/>
        <w:spacing w:after="0" w:line="259" w:lineRule="auto"/>
        <w:rPr>
          <w:sz w:val="20"/>
          <w:szCs w:val="20"/>
          <w:color w:val="auto"/>
        </w:rPr>
      </w:pPr>
      <w:r>
        <w:rPr>
          <w:rFonts w:ascii="Arial" w:cs="Arial" w:eastAsia="Arial" w:hAnsi="Arial"/>
          <w:sz w:val="18"/>
          <w:szCs w:val="18"/>
          <w:color w:val="auto"/>
        </w:rPr>
        <w:t>These consolidated financial statements are the responsibility of the Company’s management. Our responsibility is to express an opinion on these consolidated financial statements based on our audits. We are a public accounting firm registered with the PCAOB and are required to be independent with respect to the Company in accordance with the U.S. federal securities laws and the applicable rules and regulations of the Securities and Exchange Commission and the PCAOB.</w:t>
      </w:r>
    </w:p>
    <w:p>
      <w:pPr>
        <w:spacing w:after="0" w:line="187" w:lineRule="exact"/>
        <w:rPr>
          <w:sz w:val="20"/>
          <w:szCs w:val="20"/>
          <w:color w:val="auto"/>
        </w:rPr>
      </w:pPr>
    </w:p>
    <w:p>
      <w:pPr>
        <w:ind w:right="60"/>
        <w:spacing w:after="0" w:line="254" w:lineRule="auto"/>
        <w:rPr>
          <w:sz w:val="20"/>
          <w:szCs w:val="20"/>
          <w:color w:val="auto"/>
        </w:rPr>
      </w:pPr>
      <w:r>
        <w:rPr>
          <w:rFonts w:ascii="Arial" w:cs="Arial" w:eastAsia="Arial" w:hAnsi="Arial"/>
          <w:sz w:val="18"/>
          <w:szCs w:val="18"/>
          <w:color w:val="auto"/>
        </w:rPr>
        <w:t>We conducted our audits in accordance with the standards of the PCAOB. Those standards require that we plan and perform the audit to obtain reasonable assurance about whether the consolidated financial statements are free of material misstatement, whether due to error or fraud. Our audits included performing procedures to assess the risks of material misstatement of the consolidated financial statements, whether due to error or fraud, and performing procedures that respond to those risks. Such procedures included examining, on a test basis, evidence regarding the amounts and disclosures in the consolidated financial statements. Our audits also included evaluating the accounting principles used and significant estimates made by management, as well as evaluating the overall presentation of the consolidated financial statements. We believe that our audits provide a reasonable basis for our opinion.</w:t>
      </w:r>
    </w:p>
    <w:p>
      <w:pPr>
        <w:spacing w:after="0" w:line="30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Critical Audit Matter</w:t>
      </w:r>
    </w:p>
    <w:p>
      <w:pPr>
        <w:spacing w:after="0" w:line="117" w:lineRule="exact"/>
        <w:rPr>
          <w:sz w:val="20"/>
          <w:szCs w:val="20"/>
          <w:color w:val="auto"/>
        </w:rPr>
      </w:pPr>
    </w:p>
    <w:p>
      <w:pPr>
        <w:ind w:right="120"/>
        <w:spacing w:after="0" w:line="275" w:lineRule="auto"/>
        <w:rPr>
          <w:sz w:val="20"/>
          <w:szCs w:val="20"/>
          <w:color w:val="auto"/>
        </w:rPr>
      </w:pPr>
      <w:r>
        <w:rPr>
          <w:rFonts w:ascii="Arial" w:cs="Arial" w:eastAsia="Arial" w:hAnsi="Arial"/>
          <w:sz w:val="17"/>
          <w:szCs w:val="17"/>
          <w:color w:val="auto"/>
        </w:rPr>
        <w:t>The critical audit matter communicated below is a matter arising from the current period audit of the consolidated financial statements that was communicated or required to be communicated to the audit committee and that: (1) relates to accounts or disclosures that are material to the consolidated financial statements and (2) involved our especially challenging, subjective, or complex judgments. The communication of a critical audit matter does not alter in any way our opinion on the consolidated financial statements, taken as a whole, and we are not, by communicating the critical audit matter below, providing a separate opinion on the critical audit matter or on the accounts or disclosures to which it relates.</w:t>
      </w:r>
    </w:p>
    <w:p>
      <w:pPr>
        <w:spacing w:after="0" w:line="28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Residual values of certain container types</w:t>
      </w:r>
    </w:p>
    <w:p>
      <w:pPr>
        <w:spacing w:after="0" w:line="117" w:lineRule="exact"/>
        <w:rPr>
          <w:sz w:val="20"/>
          <w:szCs w:val="20"/>
          <w:color w:val="auto"/>
        </w:rPr>
      </w:pPr>
    </w:p>
    <w:p>
      <w:pPr>
        <w:ind w:right="20"/>
        <w:spacing w:after="0" w:line="289" w:lineRule="auto"/>
        <w:rPr>
          <w:sz w:val="20"/>
          <w:szCs w:val="20"/>
          <w:color w:val="auto"/>
        </w:rPr>
      </w:pPr>
      <w:r>
        <w:rPr>
          <w:rFonts w:ascii="Arial" w:cs="Arial" w:eastAsia="Arial" w:hAnsi="Arial"/>
          <w:sz w:val="16"/>
          <w:szCs w:val="16"/>
          <w:color w:val="auto"/>
        </w:rPr>
        <w:t>As discussed in Note 1 to the consolidated financial statements, the net book value of containers as of December 31, 2020 was $4.1 billion, including $3.9 billion for 20 foot dry, 40 foot dry, 40 foot high cube dry, and 40 foot high cube refrigerated containers. Containers are recorded at cost and depreciated to an estimated residual value on a straight-line basis over the estimated useful lives. To estimate the residual values of the containers, the Company evaluates the average selling prices for used containers over a ten-year period and assesses whether the average selling prices fall within a reasonable range as compared to current residual values. If the average selling prices over the ten-year period are outside of the range, the Company evaluates the trend in average selling prices over three, five, and seven-year periods to corroborate the trend in the ten-year period. The Company then performs a peer comparison to evaluate if there are significant differences between the residual values of the Company’s 20 foot dry, 40 foot dry, 40 foot high cube dry, and 40 foot high cube refrigerated containers as compared to peers within the industry. The collective results of the Company’s methodology provide a framework to allow the Company to estimate when a change in residual values is needed.</w:t>
      </w:r>
    </w:p>
    <w:p>
      <w:pPr>
        <w:spacing w:after="0" w:line="9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F-2</w:t>
      </w:r>
    </w:p>
    <w:p>
      <w:pPr>
        <w:sectPr>
          <w:pgSz w:w="11900" w:h="16838" w:orient="portrait"/>
          <w:cols w:equalWidth="0" w:num="1">
            <w:col w:w="11000"/>
          </w:cols>
          <w:pgMar w:left="440" w:top="270" w:right="459" w:bottom="1440" w:gutter="0" w:footer="0" w:header="0"/>
        </w:sectPr>
      </w:pPr>
    </w:p>
    <w:bookmarkStart w:id="116" w:name="page117"/>
    <w:bookmarkEnd w:id="116"/>
    <w:p>
      <w:pPr>
        <w:ind w:right="4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We identified the assessment of residual values of 20 foot dry, 40 foot dry, 40 foot high cube dry, and 40 foot high cube refrigerated containers as a critical audit matter. This was due to the high degree of auditor judgment required given the significant measurement uncertainty of the residual values and the evaluation of the appropriateness of the methodology used by the Company.</w:t>
      </w:r>
    </w:p>
    <w:p>
      <w:pPr>
        <w:spacing w:after="0" w:line="184" w:lineRule="exact"/>
        <w:rPr>
          <w:sz w:val="20"/>
          <w:szCs w:val="20"/>
          <w:color w:val="auto"/>
        </w:rPr>
      </w:pPr>
    </w:p>
    <w:p>
      <w:pPr>
        <w:spacing w:after="0" w:line="289" w:lineRule="auto"/>
        <w:rPr>
          <w:sz w:val="20"/>
          <w:szCs w:val="20"/>
          <w:color w:val="auto"/>
        </w:rPr>
      </w:pPr>
      <w:r>
        <w:rPr>
          <w:rFonts w:ascii="Arial" w:cs="Arial" w:eastAsia="Arial" w:hAnsi="Arial"/>
          <w:sz w:val="16"/>
          <w:szCs w:val="16"/>
          <w:color w:val="auto"/>
        </w:rPr>
        <w:t>The following are the primary procedures we performed to address this critical audit matter. We evaluated the design and tested the operating effectiveness of certain internal controls related to the Company’s process to determine the residual value of containers. This included controls over the relevance and reliability of the average selling prices for used containers, the appropriateness of the Company’s methodology, including the range and the time periods evaluated, and the peer comparison. We tested the average selling prices for used containers by comparing the prices to third party evidence and considering their relevance and reliability. We performed sensitivity analyses over the average selling prices for used containers based on historical data to assess the impact on the analysis. We compared the average selling prices for used containers to published industry reports. We performed sensitivity analyses over the methodology, specifically the appropriateness of the range as well as the time periods used and evaluated the impact if these were changed. We compared the estimated residual values to publicly available peer data. We evaluated the collective results of the procedures performed to assess the sufficiency of the audit evidence obtained related to the critical audit matter.</w:t>
      </w:r>
    </w:p>
    <w:p>
      <w:pPr>
        <w:spacing w:after="0" w:line="193" w:lineRule="exact"/>
        <w:rPr>
          <w:sz w:val="20"/>
          <w:szCs w:val="20"/>
          <w:color w:val="auto"/>
        </w:rPr>
      </w:pPr>
    </w:p>
    <w:p>
      <w:pPr>
        <w:spacing w:after="0"/>
        <w:rPr>
          <w:sz w:val="20"/>
          <w:szCs w:val="20"/>
          <w:color w:val="auto"/>
        </w:rPr>
      </w:pPr>
      <w:r>
        <w:rPr>
          <w:rFonts w:ascii="Arial" w:cs="Arial" w:eastAsia="Arial" w:hAnsi="Arial"/>
          <w:sz w:val="18"/>
          <w:szCs w:val="18"/>
          <w:color w:val="auto"/>
        </w:rPr>
        <w:t>/s/ KPMG LLP</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We have served as the Company’s auditor since 1987.</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San Francisco, California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March 18, 2021</w:t>
      </w:r>
    </w:p>
    <w:p>
      <w:pPr>
        <w:spacing w:after="0" w:line="143"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F-3</w:t>
      </w:r>
    </w:p>
    <w:p>
      <w:pPr>
        <w:sectPr>
          <w:pgSz w:w="11900" w:h="16838" w:orient="portrait"/>
          <w:cols w:equalWidth="0" w:num="1">
            <w:col w:w="10880"/>
          </w:cols>
          <w:pgMar w:left="440" w:top="274" w:right="579" w:bottom="1440" w:gutter="0" w:footer="0" w:header="0"/>
        </w:sectPr>
      </w:pPr>
    </w:p>
    <w:bookmarkStart w:id="117" w:name="page118"/>
    <w:bookmarkEnd w:id="117"/>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Report of Independent Registered Public Accounting Firm</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To the Shareholders and Board of Directors</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Textainer Group Holdings Limited:</w:t>
      </w:r>
    </w:p>
    <w:p>
      <w:pPr>
        <w:spacing w:after="0" w:line="31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Opinion on Internal Control Over Financial Reporting</w:t>
      </w:r>
    </w:p>
    <w:p>
      <w:pPr>
        <w:spacing w:after="0" w:line="117" w:lineRule="exact"/>
        <w:rPr>
          <w:sz w:val="20"/>
          <w:szCs w:val="20"/>
          <w:color w:val="auto"/>
        </w:rPr>
      </w:pPr>
    </w:p>
    <w:p>
      <w:pPr>
        <w:ind w:right="80"/>
        <w:spacing w:after="0" w:line="257" w:lineRule="auto"/>
        <w:rPr>
          <w:sz w:val="20"/>
          <w:szCs w:val="20"/>
          <w:color w:val="auto"/>
        </w:rPr>
      </w:pPr>
      <w:r>
        <w:rPr>
          <w:rFonts w:ascii="Arial" w:cs="Arial" w:eastAsia="Arial" w:hAnsi="Arial"/>
          <w:sz w:val="18"/>
          <w:szCs w:val="18"/>
          <w:color w:val="auto"/>
        </w:rPr>
        <w:t>We have audited Textainer Group Holdings Limited and subsidiaries’ (the Company) internal control over financial reporting as of December 31, 2020, based on criteria established in Internal Control – Integrated Framework (2013) issued by the Committee of Sponsoring Organizations of the Treadway Commission. In our opinion, the Company maintained, in all material respects, effective internal control over financial reporting as of December 31, 2020, based on criteria established in Internal Control – Integrated Framework (2013) issued by the Committee of Sponsoring Organizations of the Treadway Commission.</w:t>
      </w:r>
    </w:p>
    <w:p>
      <w:pPr>
        <w:spacing w:after="0" w:line="188" w:lineRule="exact"/>
        <w:rPr>
          <w:sz w:val="20"/>
          <w:szCs w:val="20"/>
          <w:color w:val="auto"/>
        </w:rPr>
      </w:pPr>
    </w:p>
    <w:p>
      <w:pPr>
        <w:spacing w:after="0" w:line="257" w:lineRule="auto"/>
        <w:rPr>
          <w:sz w:val="20"/>
          <w:szCs w:val="20"/>
          <w:color w:val="auto"/>
        </w:rPr>
      </w:pPr>
      <w:r>
        <w:rPr>
          <w:rFonts w:ascii="Arial" w:cs="Arial" w:eastAsia="Arial" w:hAnsi="Arial"/>
          <w:sz w:val="18"/>
          <w:szCs w:val="18"/>
          <w:color w:val="auto"/>
        </w:rPr>
        <w:t>We also have audited, in accordance with the standards of the Public Company Accounting Oversight Board (United States) (PCAOB), the consolidated balance sheets of the Company as of December 31, 2020 and 2019, the related consolidated statements of operations, comprehensive income, shareholders’ equity, and cash flows for each of the years in the three-year period ended December 31, 2020, and the related notes and financial statement schedules I to II (collectively, the consolidated financial statements), and our report dated March 18, 2021 expressed an unqualified opinion on those consolidated financial statements.</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Basis for Opinion</w:t>
      </w:r>
    </w:p>
    <w:p>
      <w:pPr>
        <w:spacing w:after="0" w:line="117" w:lineRule="exact"/>
        <w:rPr>
          <w:sz w:val="20"/>
          <w:szCs w:val="20"/>
          <w:color w:val="auto"/>
        </w:rPr>
      </w:pPr>
    </w:p>
    <w:p>
      <w:pPr>
        <w:ind w:right="40"/>
        <w:spacing w:after="0" w:line="275" w:lineRule="auto"/>
        <w:rPr>
          <w:sz w:val="20"/>
          <w:szCs w:val="20"/>
          <w:color w:val="auto"/>
        </w:rPr>
      </w:pPr>
      <w:r>
        <w:rPr>
          <w:rFonts w:ascii="Arial" w:cs="Arial" w:eastAsia="Arial" w:hAnsi="Arial"/>
          <w:sz w:val="17"/>
          <w:szCs w:val="17"/>
          <w:color w:val="auto"/>
        </w:rPr>
        <w:t>The Company’s management is responsible for maintaining effective internal control over financial reporting and for its assessment of the effectiveness of internal control over financial reporting, included in the accompanying Management’s Annual Report on Internal Control Over Financial Reporting. Our responsibility is to express an opinion on the Company’s internal control over financial reporting based on our audit. We are a public accounting firm registered with the PCAOB and are required to be independent with respect to the Company in accordance with the U.S. federal securities laws and the applicable rules and regulations of the Securities and Exchange Commission and the PCAOB.</w:t>
      </w:r>
    </w:p>
    <w:p>
      <w:pPr>
        <w:spacing w:after="0" w:line="176" w:lineRule="exact"/>
        <w:rPr>
          <w:sz w:val="20"/>
          <w:szCs w:val="20"/>
          <w:color w:val="auto"/>
        </w:rPr>
      </w:pPr>
    </w:p>
    <w:p>
      <w:pPr>
        <w:ind w:right="60"/>
        <w:spacing w:after="0" w:line="255" w:lineRule="auto"/>
        <w:rPr>
          <w:sz w:val="20"/>
          <w:szCs w:val="20"/>
          <w:color w:val="auto"/>
        </w:rPr>
      </w:pPr>
      <w:r>
        <w:rPr>
          <w:rFonts w:ascii="Arial" w:cs="Arial" w:eastAsia="Arial" w:hAnsi="Arial"/>
          <w:sz w:val="18"/>
          <w:szCs w:val="18"/>
          <w:color w:val="auto"/>
        </w:rPr>
        <w:t>We conducted our audit in accordance with the standards of the PCAOB. Those standards require that we plan and perform the audit to obtain reasonable assurance about whether effective internal control over financial reporting was maintained in all material respects. Our audit of internal control over financial reporting included obtaining an understanding of internal control over financial reporting, assessing the risk that a material weakness exists, and testing and evaluating the design and operating effectiveness of internal control based on the assessed risk. Our audit also included performing such other procedures as we considered necessary in the circumstances. We believe that our audit provides a reasonable basis for our opinion.</w:t>
      </w:r>
    </w:p>
    <w:p>
      <w:pPr>
        <w:spacing w:after="0" w:line="30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Definition and Limitations of Internal Control Over Financial Reporting</w:t>
      </w:r>
    </w:p>
    <w:p>
      <w:pPr>
        <w:spacing w:after="0" w:line="117" w:lineRule="exact"/>
        <w:rPr>
          <w:sz w:val="20"/>
          <w:szCs w:val="20"/>
          <w:color w:val="auto"/>
        </w:rPr>
      </w:pPr>
    </w:p>
    <w:p>
      <w:pPr>
        <w:ind w:right="100"/>
        <w:spacing w:after="0" w:line="271" w:lineRule="auto"/>
        <w:rPr>
          <w:sz w:val="20"/>
          <w:szCs w:val="20"/>
          <w:color w:val="auto"/>
        </w:rPr>
      </w:pPr>
      <w:r>
        <w:rPr>
          <w:rFonts w:ascii="Arial" w:cs="Arial" w:eastAsia="Arial" w:hAnsi="Arial"/>
          <w:sz w:val="17"/>
          <w:szCs w:val="17"/>
          <w:color w:val="auto"/>
        </w:rPr>
        <w:t>A company’s internal control over financial reporting is a process designed to provide reasonable assurance regarding the reliability of financial reporting and the preparation of financial statements for external purposes in accordance with generally accepted accounting principles. A company’s internal control over financial reporting includes those policies and procedures that (1) pertain to the maintenance of records that, in reasonable detail, accurately and fairly reflect the transactions and dispositions of the assets of the company; (2) provide reasonable assurance that transactions are recorded as necessary to permit preparation of financial statements in accordance with generally accepted accounting principles, and that receipts and expenditures of the company are being made only in accordance with authorizations of management and directors of the company; and (3) provide reasonable assurance regarding prevention or timely detection of unauthorized acquisition, use, or disposition of the company’s assets that could have a material effect on the financial statements.</w:t>
      </w:r>
    </w:p>
    <w:p>
      <w:pPr>
        <w:spacing w:after="0" w:line="178" w:lineRule="exact"/>
        <w:rPr>
          <w:sz w:val="20"/>
          <w:szCs w:val="20"/>
          <w:color w:val="auto"/>
        </w:rPr>
      </w:pPr>
    </w:p>
    <w:p>
      <w:pPr>
        <w:ind w:right="40"/>
        <w:spacing w:after="0" w:line="263" w:lineRule="auto"/>
        <w:rPr>
          <w:sz w:val="20"/>
          <w:szCs w:val="20"/>
          <w:color w:val="auto"/>
        </w:rPr>
      </w:pPr>
      <w:r>
        <w:rPr>
          <w:rFonts w:ascii="Arial" w:cs="Arial" w:eastAsia="Arial" w:hAnsi="Arial"/>
          <w:sz w:val="18"/>
          <w:szCs w:val="18"/>
          <w:color w:val="auto"/>
        </w:rPr>
        <w:t>Because of its inherent limitations, internal control over financial reporting may not prevent or detect misstatements. Also, projections of any evaluation of effectiveness to future periods are subject to the risk that controls may become inadequate because of changes in conditions, or that the degree of compliance with the policies or procedures may deteriorate.</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/s/ KPMG LLP</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San Francisco, California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March 18, 2021</w:t>
      </w:r>
    </w:p>
    <w:p>
      <w:pPr>
        <w:spacing w:after="0" w:line="14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F-4</w:t>
      </w:r>
    </w:p>
    <w:p>
      <w:pPr>
        <w:sectPr>
          <w:pgSz w:w="11900" w:h="16838" w:orient="portrait"/>
          <w:cols w:equalWidth="0" w:num="1">
            <w:col w:w="11000"/>
          </w:cols>
          <w:pgMar w:left="440" w:top="270" w:right="459" w:bottom="1440" w:gutter="0" w:footer="0" w:header="0"/>
        </w:sectPr>
      </w:pPr>
    </w:p>
    <w:bookmarkStart w:id="118" w:name="page119"/>
    <w:bookmarkEnd w:id="118"/>
    <w:p>
      <w:pPr>
        <w:jc w:val="center"/>
        <w:ind w:right="2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TEXTAINER GROUP HOLDINGS LIMITED AND SUBSIDIARIES</w:t>
      </w:r>
    </w:p>
    <w:p>
      <w:pPr>
        <w:spacing w:after="0" w:line="229"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Consolidated Statements of Operations</w:t>
      </w:r>
    </w:p>
    <w:p>
      <w:pPr>
        <w:spacing w:after="0" w:line="23"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Years ended December 31, 2020, 2019 and 2018</w:t>
      </w:r>
    </w:p>
    <w:p>
      <w:pPr>
        <w:spacing w:after="0" w:line="9"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(All currency expressed in United States dollars in thousands, except per share amounts)</w:t>
      </w:r>
    </w:p>
    <w:p>
      <w:pPr>
        <w:spacing w:after="0" w:line="22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7620" w:type="dxa"/>
            <w:vAlign w:val="bottom"/>
            <w:tcBorders>
              <w:bottom w:val="single" w:sz="8" w:color="CCEEFF"/>
            </w:tcBorders>
          </w:tcPr>
          <w:p>
            <w:pPr>
              <w:spacing w:after="0"/>
              <w:rPr>
                <w:sz w:val="14"/>
                <w:szCs w:val="14"/>
                <w:color w:val="auto"/>
              </w:rPr>
            </w:pPr>
          </w:p>
        </w:tc>
        <w:tc>
          <w:tcPr>
            <w:tcW w:w="40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jc w:val="right"/>
              <w:ind w:right="151"/>
              <w:spacing w:after="0"/>
              <w:rPr>
                <w:sz w:val="20"/>
                <w:szCs w:val="20"/>
                <w:color w:val="auto"/>
              </w:rPr>
            </w:pPr>
            <w:r>
              <w:rPr>
                <w:rFonts w:ascii="Arial" w:cs="Arial" w:eastAsia="Arial" w:hAnsi="Arial"/>
                <w:sz w:val="14"/>
                <w:szCs w:val="14"/>
                <w:b w:val="1"/>
                <w:bCs w:val="1"/>
                <w:color w:val="auto"/>
              </w:rPr>
              <w:t>2020</w:t>
            </w:r>
          </w:p>
        </w:tc>
        <w:tc>
          <w:tcPr>
            <w:tcW w:w="320" w:type="dxa"/>
            <w:vAlign w:val="bottom"/>
            <w:tcBorders>
              <w:bottom w:val="single" w:sz="8" w:color="CCEEFF"/>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jc w:val="right"/>
              <w:ind w:right="131"/>
              <w:spacing w:after="0"/>
              <w:rPr>
                <w:sz w:val="20"/>
                <w:szCs w:val="20"/>
                <w:color w:val="auto"/>
              </w:rPr>
            </w:pPr>
            <w:r>
              <w:rPr>
                <w:rFonts w:ascii="Arial" w:cs="Arial" w:eastAsia="Arial" w:hAnsi="Arial"/>
                <w:sz w:val="14"/>
                <w:szCs w:val="14"/>
                <w:b w:val="1"/>
                <w:bCs w:val="1"/>
                <w:color w:val="auto"/>
              </w:rPr>
              <w:t>2019</w:t>
            </w:r>
          </w:p>
        </w:tc>
        <w:tc>
          <w:tcPr>
            <w:tcW w:w="180" w:type="dxa"/>
            <w:vAlign w:val="bottom"/>
            <w:tcBorders>
              <w:bottom w:val="single" w:sz="8" w:color="CCEEFF"/>
            </w:tcBorders>
          </w:tcPr>
          <w:p>
            <w:pPr>
              <w:spacing w:after="0"/>
              <w:rPr>
                <w:sz w:val="14"/>
                <w:szCs w:val="14"/>
                <w:color w:val="auto"/>
              </w:rPr>
            </w:pPr>
          </w:p>
        </w:tc>
        <w:tc>
          <w:tcPr>
            <w:tcW w:w="14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640" w:type="dxa"/>
            <w:vAlign w:val="bottom"/>
            <w:tcBorders>
              <w:bottom w:val="single" w:sz="8" w:color="auto"/>
            </w:tcBorders>
          </w:tcPr>
          <w:p>
            <w:pPr>
              <w:jc w:val="right"/>
              <w:ind w:right="131"/>
              <w:spacing w:after="0"/>
              <w:rPr>
                <w:sz w:val="20"/>
                <w:szCs w:val="20"/>
                <w:color w:val="auto"/>
              </w:rPr>
            </w:pPr>
            <w:r>
              <w:rPr>
                <w:rFonts w:ascii="Arial" w:cs="Arial" w:eastAsia="Arial" w:hAnsi="Arial"/>
                <w:sz w:val="14"/>
                <w:szCs w:val="14"/>
                <w:b w:val="1"/>
                <w:bCs w:val="1"/>
                <w:color w:val="auto"/>
              </w:rPr>
              <w:t>2018</w:t>
            </w:r>
          </w:p>
        </w:tc>
        <w:tc>
          <w:tcPr>
            <w:tcW w:w="120" w:type="dxa"/>
            <w:vAlign w:val="bottom"/>
            <w:tcBorders>
              <w:bottom w:val="single" w:sz="8" w:color="CCEEFF"/>
            </w:tcBorders>
          </w:tcPr>
          <w:p>
            <w:pPr>
              <w:spacing w:after="0"/>
              <w:rPr>
                <w:sz w:val="14"/>
                <w:szCs w:val="14"/>
                <w:color w:val="auto"/>
              </w:rPr>
            </w:pPr>
          </w:p>
        </w:tc>
      </w:tr>
      <w:tr>
        <w:trPr>
          <w:trHeight w:val="196"/>
        </w:trPr>
        <w:tc>
          <w:tcPr>
            <w:tcW w:w="7620" w:type="dxa"/>
            <w:vAlign w:val="bottom"/>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Revenues:</w:t>
            </w:r>
          </w:p>
        </w:tc>
        <w:tc>
          <w:tcPr>
            <w:tcW w:w="4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r>
      <w:tr>
        <w:trPr>
          <w:trHeight w:val="216"/>
        </w:trPr>
        <w:tc>
          <w:tcPr>
            <w:tcW w:w="7620" w:type="dxa"/>
            <w:vAlign w:val="bottom"/>
          </w:tcPr>
          <w:p>
            <w:pPr>
              <w:ind w:left="360"/>
              <w:spacing w:after="0"/>
              <w:rPr>
                <w:sz w:val="20"/>
                <w:szCs w:val="20"/>
                <w:color w:val="auto"/>
              </w:rPr>
            </w:pPr>
            <w:r>
              <w:rPr>
                <w:rFonts w:ascii="Arial" w:cs="Arial" w:eastAsia="Arial" w:hAnsi="Arial"/>
                <w:sz w:val="18"/>
                <w:szCs w:val="18"/>
                <w:color w:val="auto"/>
              </w:rPr>
              <w:t>Lease rental income - owned fleet</w:t>
            </w:r>
          </w:p>
        </w:tc>
        <w:tc>
          <w:tcPr>
            <w:tcW w:w="5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80" w:type="dxa"/>
            <w:vAlign w:val="bottom"/>
            <w:gridSpan w:val="2"/>
          </w:tcPr>
          <w:p>
            <w:pPr>
              <w:jc w:val="right"/>
              <w:ind w:right="320"/>
              <w:spacing w:after="0"/>
              <w:rPr>
                <w:sz w:val="20"/>
                <w:szCs w:val="20"/>
                <w:color w:val="auto"/>
              </w:rPr>
            </w:pPr>
            <w:r>
              <w:rPr>
                <w:rFonts w:ascii="Arial" w:cs="Arial" w:eastAsia="Arial" w:hAnsi="Arial"/>
                <w:sz w:val="18"/>
                <w:szCs w:val="18"/>
                <w:color w:val="auto"/>
                <w:w w:val="98"/>
              </w:rPr>
              <w:t>538,425</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840" w:type="dxa"/>
            <w:vAlign w:val="bottom"/>
            <w:gridSpan w:val="2"/>
          </w:tcPr>
          <w:p>
            <w:pPr>
              <w:jc w:val="right"/>
              <w:ind w:right="180"/>
              <w:spacing w:after="0"/>
              <w:rPr>
                <w:sz w:val="20"/>
                <w:szCs w:val="20"/>
                <w:color w:val="auto"/>
              </w:rPr>
            </w:pPr>
            <w:r>
              <w:rPr>
                <w:rFonts w:ascii="Arial" w:cs="Arial" w:eastAsia="Arial" w:hAnsi="Arial"/>
                <w:sz w:val="18"/>
                <w:szCs w:val="18"/>
                <w:color w:val="auto"/>
                <w:w w:val="98"/>
              </w:rPr>
              <w:t>517,859</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60" w:type="dxa"/>
            <w:vAlign w:val="bottom"/>
            <w:gridSpan w:val="2"/>
          </w:tcPr>
          <w:p>
            <w:pPr>
              <w:jc w:val="right"/>
              <w:ind w:right="120"/>
              <w:spacing w:after="0"/>
              <w:rPr>
                <w:sz w:val="20"/>
                <w:szCs w:val="20"/>
                <w:color w:val="auto"/>
              </w:rPr>
            </w:pPr>
            <w:r>
              <w:rPr>
                <w:rFonts w:ascii="Arial" w:cs="Arial" w:eastAsia="Arial" w:hAnsi="Arial"/>
                <w:sz w:val="18"/>
                <w:szCs w:val="18"/>
                <w:color w:val="auto"/>
                <w:w w:val="95"/>
              </w:rPr>
              <w:t>501,362</w:t>
            </w:r>
          </w:p>
        </w:tc>
      </w:tr>
      <w:tr>
        <w:trPr>
          <w:trHeight w:val="216"/>
        </w:trPr>
        <w:tc>
          <w:tcPr>
            <w:tcW w:w="76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Lease rental income - managed fleet</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62,448</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98"/>
              </w:rPr>
              <w:t>101,901</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5"/>
              </w:rPr>
              <w:t>111,342</w:t>
            </w:r>
          </w:p>
        </w:tc>
      </w:tr>
      <w:tr>
        <w:trPr>
          <w:trHeight w:val="230"/>
        </w:trPr>
        <w:tc>
          <w:tcPr>
            <w:tcW w:w="7620" w:type="dxa"/>
            <w:vAlign w:val="bottom"/>
          </w:tcPr>
          <w:p>
            <w:pPr>
              <w:ind w:left="720"/>
              <w:spacing w:after="0"/>
              <w:rPr>
                <w:sz w:val="20"/>
                <w:szCs w:val="20"/>
                <w:color w:val="auto"/>
              </w:rPr>
            </w:pPr>
            <w:r>
              <w:rPr>
                <w:rFonts w:ascii="Arial" w:cs="Arial" w:eastAsia="Arial" w:hAnsi="Arial"/>
                <w:sz w:val="18"/>
                <w:szCs w:val="18"/>
                <w:color w:val="auto"/>
              </w:rPr>
              <w:t>Lease rental income</w:t>
            </w:r>
          </w:p>
        </w:tc>
        <w:tc>
          <w:tcPr>
            <w:tcW w:w="40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600,873</w:t>
            </w:r>
          </w:p>
        </w:tc>
        <w:tc>
          <w:tcPr>
            <w:tcW w:w="320" w:type="dxa"/>
            <w:vAlign w:val="bottom"/>
          </w:tcPr>
          <w:p>
            <w:pPr>
              <w:spacing w:after="0"/>
              <w:rPr>
                <w:sz w:val="20"/>
                <w:szCs w:val="20"/>
                <w:color w:val="auto"/>
              </w:rPr>
            </w:pPr>
          </w:p>
        </w:tc>
        <w:tc>
          <w:tcPr>
            <w:tcW w:w="80" w:type="dxa"/>
            <w:vAlign w:val="bottom"/>
            <w:tcBorders>
              <w:top w:val="single" w:sz="8" w:color="auto"/>
              <w:bottom w:val="single" w:sz="8" w:color="auto"/>
            </w:tcBorders>
          </w:tcPr>
          <w:p>
            <w:pPr>
              <w:spacing w:after="0"/>
              <w:rPr>
                <w:sz w:val="20"/>
                <w:szCs w:val="20"/>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619,760</w:t>
            </w:r>
          </w:p>
        </w:tc>
        <w:tc>
          <w:tcPr>
            <w:tcW w:w="1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5"/>
              </w:rPr>
              <w:t>612,704</w:t>
            </w:r>
          </w:p>
        </w:tc>
        <w:tc>
          <w:tcPr>
            <w:tcW w:w="120" w:type="dxa"/>
            <w:vAlign w:val="bottom"/>
          </w:tcPr>
          <w:p>
            <w:pPr>
              <w:spacing w:after="0"/>
              <w:rPr>
                <w:sz w:val="20"/>
                <w:szCs w:val="20"/>
                <w:color w:val="auto"/>
              </w:rPr>
            </w:pPr>
          </w:p>
        </w:tc>
      </w:tr>
      <w:tr>
        <w:trPr>
          <w:trHeight w:val="216"/>
        </w:trPr>
        <w:tc>
          <w:tcPr>
            <w:tcW w:w="76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Management fees - non-leasing</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5,271</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7,590</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8,529</w:t>
            </w:r>
          </w:p>
        </w:tc>
      </w:tr>
      <w:tr>
        <w:trPr>
          <w:trHeight w:val="324"/>
        </w:trPr>
        <w:tc>
          <w:tcPr>
            <w:tcW w:w="7620" w:type="dxa"/>
            <w:vAlign w:val="bottom"/>
          </w:tcPr>
          <w:p>
            <w:pPr>
              <w:ind w:left="360"/>
              <w:spacing w:after="0"/>
              <w:rPr>
                <w:sz w:val="20"/>
                <w:szCs w:val="20"/>
                <w:color w:val="auto"/>
              </w:rPr>
            </w:pPr>
            <w:r>
              <w:rPr>
                <w:rFonts w:ascii="Arial" w:cs="Arial" w:eastAsia="Arial" w:hAnsi="Arial"/>
                <w:sz w:val="18"/>
                <w:szCs w:val="18"/>
                <w:color w:val="auto"/>
              </w:rPr>
              <w:t>Trading container sales proceeds</w:t>
            </w:r>
          </w:p>
        </w:tc>
        <w:tc>
          <w:tcPr>
            <w:tcW w:w="4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980" w:type="dxa"/>
            <w:vAlign w:val="bottom"/>
            <w:gridSpan w:val="2"/>
          </w:tcPr>
          <w:p>
            <w:pPr>
              <w:jc w:val="right"/>
              <w:ind w:right="320"/>
              <w:spacing w:after="0"/>
              <w:rPr>
                <w:sz w:val="20"/>
                <w:szCs w:val="20"/>
                <w:color w:val="auto"/>
              </w:rPr>
            </w:pPr>
            <w:r>
              <w:rPr>
                <w:rFonts w:ascii="Arial" w:cs="Arial" w:eastAsia="Arial" w:hAnsi="Arial"/>
                <w:sz w:val="18"/>
                <w:szCs w:val="18"/>
                <w:color w:val="auto"/>
              </w:rPr>
              <w:t>31,941</w:t>
            </w:r>
          </w:p>
        </w:tc>
        <w:tc>
          <w:tcPr>
            <w:tcW w:w="80" w:type="dxa"/>
            <w:vAlign w:val="bottom"/>
          </w:tcPr>
          <w:p>
            <w:pPr>
              <w:spacing w:after="0"/>
              <w:rPr>
                <w:sz w:val="24"/>
                <w:szCs w:val="24"/>
                <w:color w:val="auto"/>
              </w:rPr>
            </w:pPr>
          </w:p>
        </w:tc>
        <w:tc>
          <w:tcPr>
            <w:tcW w:w="840" w:type="dxa"/>
            <w:vAlign w:val="bottom"/>
            <w:gridSpan w:val="2"/>
          </w:tcPr>
          <w:p>
            <w:pPr>
              <w:jc w:val="right"/>
              <w:ind w:right="180"/>
              <w:spacing w:after="0"/>
              <w:rPr>
                <w:sz w:val="20"/>
                <w:szCs w:val="20"/>
                <w:color w:val="auto"/>
              </w:rPr>
            </w:pPr>
            <w:r>
              <w:rPr>
                <w:rFonts w:ascii="Arial" w:cs="Arial" w:eastAsia="Arial" w:hAnsi="Arial"/>
                <w:sz w:val="18"/>
                <w:szCs w:val="18"/>
                <w:color w:val="auto"/>
              </w:rPr>
              <w:t>58,734</w:t>
            </w:r>
          </w:p>
        </w:tc>
        <w:tc>
          <w:tcPr>
            <w:tcW w:w="1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60" w:type="dxa"/>
            <w:vAlign w:val="bottom"/>
            <w:gridSpan w:val="2"/>
          </w:tcPr>
          <w:p>
            <w:pPr>
              <w:jc w:val="right"/>
              <w:ind w:right="120"/>
              <w:spacing w:after="0"/>
              <w:rPr>
                <w:sz w:val="20"/>
                <w:szCs w:val="20"/>
                <w:color w:val="auto"/>
              </w:rPr>
            </w:pPr>
            <w:r>
              <w:rPr>
                <w:rFonts w:ascii="Arial" w:cs="Arial" w:eastAsia="Arial" w:hAnsi="Arial"/>
                <w:sz w:val="18"/>
                <w:szCs w:val="18"/>
                <w:color w:val="auto"/>
              </w:rPr>
              <w:t>19,568</w:t>
            </w:r>
          </w:p>
        </w:tc>
      </w:tr>
      <w:tr>
        <w:trPr>
          <w:trHeight w:val="216"/>
        </w:trPr>
        <w:tc>
          <w:tcPr>
            <w:tcW w:w="76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Cost of trading containers sold</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(28,409)</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(51,336)</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(16,118)</w:t>
            </w:r>
          </w:p>
        </w:tc>
      </w:tr>
      <w:tr>
        <w:trPr>
          <w:trHeight w:val="230"/>
        </w:trPr>
        <w:tc>
          <w:tcPr>
            <w:tcW w:w="7620" w:type="dxa"/>
            <w:vAlign w:val="bottom"/>
          </w:tcPr>
          <w:p>
            <w:pPr>
              <w:ind w:left="720"/>
              <w:spacing w:after="0"/>
              <w:rPr>
                <w:sz w:val="20"/>
                <w:szCs w:val="20"/>
                <w:color w:val="auto"/>
              </w:rPr>
            </w:pPr>
            <w:r>
              <w:rPr>
                <w:rFonts w:ascii="Arial" w:cs="Arial" w:eastAsia="Arial" w:hAnsi="Arial"/>
                <w:sz w:val="18"/>
                <w:szCs w:val="18"/>
                <w:color w:val="auto"/>
              </w:rPr>
              <w:t>Trading container margin</w:t>
            </w:r>
          </w:p>
        </w:tc>
        <w:tc>
          <w:tcPr>
            <w:tcW w:w="40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3,532</w:t>
            </w:r>
          </w:p>
        </w:tc>
        <w:tc>
          <w:tcPr>
            <w:tcW w:w="320" w:type="dxa"/>
            <w:vAlign w:val="bottom"/>
          </w:tcPr>
          <w:p>
            <w:pPr>
              <w:spacing w:after="0"/>
              <w:rPr>
                <w:sz w:val="20"/>
                <w:szCs w:val="20"/>
                <w:color w:val="auto"/>
              </w:rPr>
            </w:pPr>
          </w:p>
        </w:tc>
        <w:tc>
          <w:tcPr>
            <w:tcW w:w="80" w:type="dxa"/>
            <w:vAlign w:val="bottom"/>
            <w:tcBorders>
              <w:top w:val="single" w:sz="8" w:color="auto"/>
              <w:bottom w:val="single" w:sz="8" w:color="auto"/>
            </w:tcBorders>
          </w:tcPr>
          <w:p>
            <w:pPr>
              <w:spacing w:after="0"/>
              <w:rPr>
                <w:sz w:val="20"/>
                <w:szCs w:val="20"/>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7,398</w:t>
            </w:r>
          </w:p>
        </w:tc>
        <w:tc>
          <w:tcPr>
            <w:tcW w:w="1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3,450</w:t>
            </w:r>
          </w:p>
        </w:tc>
        <w:tc>
          <w:tcPr>
            <w:tcW w:w="120" w:type="dxa"/>
            <w:vAlign w:val="bottom"/>
          </w:tcPr>
          <w:p>
            <w:pPr>
              <w:spacing w:after="0"/>
              <w:rPr>
                <w:sz w:val="20"/>
                <w:szCs w:val="20"/>
                <w:color w:val="auto"/>
              </w:rPr>
            </w:pPr>
          </w:p>
        </w:tc>
      </w:tr>
      <w:tr>
        <w:trPr>
          <w:trHeight w:val="216"/>
        </w:trPr>
        <w:tc>
          <w:tcPr>
            <w:tcW w:w="7620" w:type="dxa"/>
            <w:vAlign w:val="bottom"/>
            <w:shd w:val="clear" w:color="auto" w:fill="CCEEFF"/>
          </w:tcPr>
          <w:p>
            <w:pPr>
              <w:spacing w:after="0"/>
              <w:rPr>
                <w:sz w:val="20"/>
                <w:szCs w:val="20"/>
                <w:color w:val="auto"/>
              </w:rPr>
            </w:pPr>
            <w:r>
              <w:rPr>
                <w:rFonts w:ascii="Arial" w:cs="Arial" w:eastAsia="Arial" w:hAnsi="Arial"/>
                <w:sz w:val="18"/>
                <w:szCs w:val="18"/>
                <w:color w:val="auto"/>
              </w:rPr>
              <w:t>Gain on sale of owned fleet containers, net</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27,230</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21,397</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36,071</w:t>
            </w:r>
          </w:p>
        </w:tc>
      </w:tr>
      <w:tr>
        <w:trPr>
          <w:trHeight w:val="324"/>
        </w:trPr>
        <w:tc>
          <w:tcPr>
            <w:tcW w:w="7620" w:type="dxa"/>
            <w:vAlign w:val="bottom"/>
          </w:tcPr>
          <w:p>
            <w:pPr>
              <w:spacing w:after="0"/>
              <w:rPr>
                <w:sz w:val="20"/>
                <w:szCs w:val="20"/>
                <w:color w:val="auto"/>
              </w:rPr>
            </w:pPr>
            <w:r>
              <w:rPr>
                <w:rFonts w:ascii="Arial" w:cs="Arial" w:eastAsia="Arial" w:hAnsi="Arial"/>
                <w:sz w:val="18"/>
                <w:szCs w:val="18"/>
                <w:b w:val="1"/>
                <w:bCs w:val="1"/>
                <w:color w:val="auto"/>
              </w:rPr>
              <w:t>Operating expenses:</w:t>
            </w:r>
          </w:p>
        </w:tc>
        <w:tc>
          <w:tcPr>
            <w:tcW w:w="4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20" w:type="dxa"/>
            <w:vAlign w:val="bottom"/>
          </w:tcPr>
          <w:p>
            <w:pPr>
              <w:spacing w:after="0"/>
              <w:rPr>
                <w:sz w:val="24"/>
                <w:szCs w:val="24"/>
                <w:color w:val="auto"/>
              </w:rPr>
            </w:pPr>
          </w:p>
        </w:tc>
      </w:tr>
      <w:tr>
        <w:trPr>
          <w:trHeight w:val="216"/>
        </w:trPr>
        <w:tc>
          <w:tcPr>
            <w:tcW w:w="76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Direct container expense - owned fleet</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55,222</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45,831</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53,845</w:t>
            </w:r>
          </w:p>
        </w:tc>
      </w:tr>
      <w:tr>
        <w:trPr>
          <w:trHeight w:val="216"/>
        </w:trPr>
        <w:tc>
          <w:tcPr>
            <w:tcW w:w="7620" w:type="dxa"/>
            <w:vAlign w:val="bottom"/>
          </w:tcPr>
          <w:p>
            <w:pPr>
              <w:ind w:left="360"/>
              <w:spacing w:after="0"/>
              <w:rPr>
                <w:sz w:val="20"/>
                <w:szCs w:val="20"/>
                <w:color w:val="auto"/>
              </w:rPr>
            </w:pPr>
            <w:r>
              <w:rPr>
                <w:rFonts w:ascii="Arial" w:cs="Arial" w:eastAsia="Arial" w:hAnsi="Arial"/>
                <w:sz w:val="18"/>
                <w:szCs w:val="18"/>
                <w:color w:val="auto"/>
              </w:rPr>
              <w:t>Distribution expense to managed fleet container investors</w:t>
            </w:r>
          </w:p>
        </w:tc>
        <w:tc>
          <w:tcPr>
            <w:tcW w:w="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80" w:type="dxa"/>
            <w:vAlign w:val="bottom"/>
            <w:gridSpan w:val="2"/>
          </w:tcPr>
          <w:p>
            <w:pPr>
              <w:jc w:val="right"/>
              <w:ind w:right="320"/>
              <w:spacing w:after="0"/>
              <w:rPr>
                <w:sz w:val="20"/>
                <w:szCs w:val="20"/>
                <w:color w:val="auto"/>
              </w:rPr>
            </w:pPr>
            <w:r>
              <w:rPr>
                <w:rFonts w:ascii="Arial" w:cs="Arial" w:eastAsia="Arial" w:hAnsi="Arial"/>
                <w:sz w:val="18"/>
                <w:szCs w:val="18"/>
                <w:color w:val="auto"/>
              </w:rPr>
              <w:t>57,311</w:t>
            </w:r>
          </w:p>
        </w:tc>
        <w:tc>
          <w:tcPr>
            <w:tcW w:w="80" w:type="dxa"/>
            <w:vAlign w:val="bottom"/>
          </w:tcPr>
          <w:p>
            <w:pPr>
              <w:spacing w:after="0"/>
              <w:rPr>
                <w:sz w:val="18"/>
                <w:szCs w:val="18"/>
                <w:color w:val="auto"/>
              </w:rPr>
            </w:pPr>
          </w:p>
        </w:tc>
        <w:tc>
          <w:tcPr>
            <w:tcW w:w="840" w:type="dxa"/>
            <w:vAlign w:val="bottom"/>
            <w:gridSpan w:val="2"/>
          </w:tcPr>
          <w:p>
            <w:pPr>
              <w:jc w:val="right"/>
              <w:ind w:right="180"/>
              <w:spacing w:after="0"/>
              <w:rPr>
                <w:sz w:val="20"/>
                <w:szCs w:val="20"/>
                <w:color w:val="auto"/>
              </w:rPr>
            </w:pPr>
            <w:r>
              <w:rPr>
                <w:rFonts w:ascii="Arial" w:cs="Arial" w:eastAsia="Arial" w:hAnsi="Arial"/>
                <w:sz w:val="18"/>
                <w:szCs w:val="18"/>
                <w:color w:val="auto"/>
              </w:rPr>
              <w:t>93,858</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120"/>
              <w:spacing w:after="0"/>
              <w:rPr>
                <w:sz w:val="20"/>
                <w:szCs w:val="20"/>
                <w:color w:val="auto"/>
              </w:rPr>
            </w:pPr>
            <w:r>
              <w:rPr>
                <w:rFonts w:ascii="Arial" w:cs="Arial" w:eastAsia="Arial" w:hAnsi="Arial"/>
                <w:sz w:val="18"/>
                <w:szCs w:val="18"/>
                <w:color w:val="auto"/>
                <w:w w:val="95"/>
              </w:rPr>
              <w:t>102,992</w:t>
            </w:r>
          </w:p>
        </w:tc>
      </w:tr>
      <w:tr>
        <w:trPr>
          <w:trHeight w:val="216"/>
        </w:trPr>
        <w:tc>
          <w:tcPr>
            <w:tcW w:w="76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Depreciation expense</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w w:val="98"/>
              </w:rPr>
              <w:t>261,665</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98"/>
              </w:rPr>
              <w:t>260,372</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5"/>
              </w:rPr>
              <w:t>249,500</w:t>
            </w:r>
          </w:p>
        </w:tc>
      </w:tr>
      <w:tr>
        <w:trPr>
          <w:trHeight w:val="216"/>
        </w:trPr>
        <w:tc>
          <w:tcPr>
            <w:tcW w:w="7620" w:type="dxa"/>
            <w:vAlign w:val="bottom"/>
          </w:tcPr>
          <w:p>
            <w:pPr>
              <w:ind w:left="360"/>
              <w:spacing w:after="0"/>
              <w:rPr>
                <w:sz w:val="20"/>
                <w:szCs w:val="20"/>
                <w:color w:val="auto"/>
              </w:rPr>
            </w:pPr>
            <w:r>
              <w:rPr>
                <w:rFonts w:ascii="Arial" w:cs="Arial" w:eastAsia="Arial" w:hAnsi="Arial"/>
                <w:sz w:val="18"/>
                <w:szCs w:val="18"/>
                <w:color w:val="auto"/>
              </w:rPr>
              <w:t>Amortization expense</w:t>
            </w:r>
          </w:p>
        </w:tc>
        <w:tc>
          <w:tcPr>
            <w:tcW w:w="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80" w:type="dxa"/>
            <w:vAlign w:val="bottom"/>
            <w:gridSpan w:val="2"/>
          </w:tcPr>
          <w:p>
            <w:pPr>
              <w:jc w:val="right"/>
              <w:ind w:right="320"/>
              <w:spacing w:after="0"/>
              <w:rPr>
                <w:sz w:val="20"/>
                <w:szCs w:val="20"/>
                <w:color w:val="auto"/>
              </w:rPr>
            </w:pPr>
            <w:r>
              <w:rPr>
                <w:rFonts w:ascii="Arial" w:cs="Arial" w:eastAsia="Arial" w:hAnsi="Arial"/>
                <w:sz w:val="18"/>
                <w:szCs w:val="18"/>
                <w:color w:val="auto"/>
              </w:rPr>
              <w:t>2,572</w:t>
            </w:r>
          </w:p>
        </w:tc>
        <w:tc>
          <w:tcPr>
            <w:tcW w:w="80" w:type="dxa"/>
            <w:vAlign w:val="bottom"/>
          </w:tcPr>
          <w:p>
            <w:pPr>
              <w:spacing w:after="0"/>
              <w:rPr>
                <w:sz w:val="18"/>
                <w:szCs w:val="18"/>
                <w:color w:val="auto"/>
              </w:rPr>
            </w:pPr>
          </w:p>
        </w:tc>
        <w:tc>
          <w:tcPr>
            <w:tcW w:w="840" w:type="dxa"/>
            <w:vAlign w:val="bottom"/>
            <w:gridSpan w:val="2"/>
          </w:tcPr>
          <w:p>
            <w:pPr>
              <w:jc w:val="right"/>
              <w:ind w:right="180"/>
              <w:spacing w:after="0"/>
              <w:rPr>
                <w:sz w:val="20"/>
                <w:szCs w:val="20"/>
                <w:color w:val="auto"/>
              </w:rPr>
            </w:pPr>
            <w:r>
              <w:rPr>
                <w:rFonts w:ascii="Arial" w:cs="Arial" w:eastAsia="Arial" w:hAnsi="Arial"/>
                <w:sz w:val="18"/>
                <w:szCs w:val="18"/>
                <w:color w:val="auto"/>
              </w:rPr>
              <w:t>2,093</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120"/>
              <w:spacing w:after="0"/>
              <w:rPr>
                <w:sz w:val="20"/>
                <w:szCs w:val="20"/>
                <w:color w:val="auto"/>
              </w:rPr>
            </w:pPr>
            <w:r>
              <w:rPr>
                <w:rFonts w:ascii="Arial" w:cs="Arial" w:eastAsia="Arial" w:hAnsi="Arial"/>
                <w:sz w:val="18"/>
                <w:szCs w:val="18"/>
                <w:color w:val="auto"/>
              </w:rPr>
              <w:t>3,721</w:t>
            </w:r>
          </w:p>
        </w:tc>
      </w:tr>
      <w:tr>
        <w:trPr>
          <w:trHeight w:val="216"/>
        </w:trPr>
        <w:tc>
          <w:tcPr>
            <w:tcW w:w="76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General and administrative expense</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41,880</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38,142</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44,317</w:t>
            </w:r>
          </w:p>
        </w:tc>
      </w:tr>
      <w:tr>
        <w:trPr>
          <w:trHeight w:val="216"/>
        </w:trPr>
        <w:tc>
          <w:tcPr>
            <w:tcW w:w="7620" w:type="dxa"/>
            <w:vAlign w:val="bottom"/>
          </w:tcPr>
          <w:p>
            <w:pPr>
              <w:ind w:left="360"/>
              <w:spacing w:after="0"/>
              <w:rPr>
                <w:sz w:val="20"/>
                <w:szCs w:val="20"/>
                <w:color w:val="auto"/>
              </w:rPr>
            </w:pPr>
            <w:r>
              <w:rPr>
                <w:rFonts w:ascii="Arial" w:cs="Arial" w:eastAsia="Arial" w:hAnsi="Arial"/>
                <w:sz w:val="18"/>
                <w:szCs w:val="18"/>
                <w:color w:val="auto"/>
              </w:rPr>
              <w:t>Bad debt (recovery) expense, net</w:t>
            </w:r>
          </w:p>
        </w:tc>
        <w:tc>
          <w:tcPr>
            <w:tcW w:w="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80" w:type="dxa"/>
            <w:vAlign w:val="bottom"/>
            <w:gridSpan w:val="2"/>
          </w:tcPr>
          <w:p>
            <w:pPr>
              <w:jc w:val="right"/>
              <w:ind w:right="260"/>
              <w:spacing w:after="0"/>
              <w:rPr>
                <w:sz w:val="20"/>
                <w:szCs w:val="20"/>
                <w:color w:val="auto"/>
              </w:rPr>
            </w:pPr>
            <w:r>
              <w:rPr>
                <w:rFonts w:ascii="Arial" w:cs="Arial" w:eastAsia="Arial" w:hAnsi="Arial"/>
                <w:sz w:val="18"/>
                <w:szCs w:val="18"/>
                <w:color w:val="auto"/>
              </w:rPr>
              <w:t>(1,668)</w:t>
            </w:r>
          </w:p>
        </w:tc>
        <w:tc>
          <w:tcPr>
            <w:tcW w:w="80" w:type="dxa"/>
            <w:vAlign w:val="bottom"/>
          </w:tcPr>
          <w:p>
            <w:pPr>
              <w:spacing w:after="0"/>
              <w:rPr>
                <w:sz w:val="18"/>
                <w:szCs w:val="18"/>
                <w:color w:val="auto"/>
              </w:rPr>
            </w:pPr>
          </w:p>
        </w:tc>
        <w:tc>
          <w:tcPr>
            <w:tcW w:w="840" w:type="dxa"/>
            <w:vAlign w:val="bottom"/>
            <w:gridSpan w:val="2"/>
          </w:tcPr>
          <w:p>
            <w:pPr>
              <w:jc w:val="right"/>
              <w:ind w:right="180"/>
              <w:spacing w:after="0"/>
              <w:rPr>
                <w:sz w:val="20"/>
                <w:szCs w:val="20"/>
                <w:color w:val="auto"/>
              </w:rPr>
            </w:pPr>
            <w:r>
              <w:rPr>
                <w:rFonts w:ascii="Arial" w:cs="Arial" w:eastAsia="Arial" w:hAnsi="Arial"/>
                <w:sz w:val="18"/>
                <w:szCs w:val="18"/>
                <w:color w:val="auto"/>
              </w:rPr>
              <w:t>2,002</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120"/>
              <w:spacing w:after="0"/>
              <w:rPr>
                <w:sz w:val="20"/>
                <w:szCs w:val="20"/>
                <w:color w:val="auto"/>
              </w:rPr>
            </w:pPr>
            <w:r>
              <w:rPr>
                <w:rFonts w:ascii="Arial" w:cs="Arial" w:eastAsia="Arial" w:hAnsi="Arial"/>
                <w:sz w:val="18"/>
                <w:szCs w:val="18"/>
                <w:color w:val="auto"/>
              </w:rPr>
              <w:t>2,697</w:t>
            </w:r>
          </w:p>
        </w:tc>
      </w:tr>
      <w:tr>
        <w:trPr>
          <w:trHeight w:val="216"/>
        </w:trPr>
        <w:tc>
          <w:tcPr>
            <w:tcW w:w="76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Container lessee default (recovery) expense, net</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(1,675)</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7,867</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17,948</w:t>
            </w:r>
          </w:p>
        </w:tc>
      </w:tr>
      <w:tr>
        <w:trPr>
          <w:trHeight w:val="216"/>
        </w:trPr>
        <w:tc>
          <w:tcPr>
            <w:tcW w:w="7620" w:type="dxa"/>
            <w:vAlign w:val="bottom"/>
          </w:tcPr>
          <w:p>
            <w:pPr>
              <w:ind w:left="360"/>
              <w:spacing w:after="0"/>
              <w:rPr>
                <w:sz w:val="20"/>
                <w:szCs w:val="20"/>
                <w:color w:val="auto"/>
              </w:rPr>
            </w:pPr>
            <w:r>
              <w:rPr>
                <w:rFonts w:ascii="Arial" w:cs="Arial" w:eastAsia="Arial" w:hAnsi="Arial"/>
                <w:sz w:val="18"/>
                <w:szCs w:val="18"/>
                <w:color w:val="auto"/>
              </w:rPr>
              <w:t>Gain on insurance recovery and legal settlement</w:t>
            </w:r>
          </w:p>
        </w:tc>
        <w:tc>
          <w:tcPr>
            <w:tcW w:w="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80" w:type="dxa"/>
            <w:vAlign w:val="bottom"/>
            <w:gridSpan w:val="2"/>
          </w:tcPr>
          <w:p>
            <w:pPr>
              <w:jc w:val="right"/>
              <w:ind w:right="42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(14,881)</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60"/>
              <w:spacing w:after="0"/>
              <w:rPr>
                <w:sz w:val="20"/>
                <w:szCs w:val="20"/>
                <w:color w:val="auto"/>
              </w:rPr>
            </w:pPr>
            <w:r>
              <w:rPr>
                <w:rFonts w:ascii="Arial" w:cs="Arial" w:eastAsia="Arial" w:hAnsi="Arial"/>
                <w:sz w:val="18"/>
                <w:szCs w:val="18"/>
                <w:color w:val="auto"/>
              </w:rPr>
              <w:t>(8,692)</w:t>
            </w:r>
          </w:p>
        </w:tc>
      </w:tr>
      <w:tr>
        <w:trPr>
          <w:trHeight w:val="216"/>
        </w:trPr>
        <w:tc>
          <w:tcPr>
            <w:tcW w:w="76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Gain on settlement of pre-existing management agreement</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(1,823)</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r>
      <w:tr>
        <w:trPr>
          <w:trHeight w:val="230"/>
        </w:trPr>
        <w:tc>
          <w:tcPr>
            <w:tcW w:w="7620" w:type="dxa"/>
            <w:vAlign w:val="bottom"/>
          </w:tcPr>
          <w:p>
            <w:pPr>
              <w:ind w:left="720"/>
              <w:spacing w:after="0"/>
              <w:rPr>
                <w:sz w:val="20"/>
                <w:szCs w:val="20"/>
                <w:color w:val="auto"/>
              </w:rPr>
            </w:pPr>
            <w:r>
              <w:rPr>
                <w:rFonts w:ascii="Arial" w:cs="Arial" w:eastAsia="Arial" w:hAnsi="Arial"/>
                <w:sz w:val="18"/>
                <w:szCs w:val="18"/>
                <w:color w:val="auto"/>
              </w:rPr>
              <w:t>Total operating expenses</w:t>
            </w:r>
          </w:p>
        </w:tc>
        <w:tc>
          <w:tcPr>
            <w:tcW w:w="40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415,307</w:t>
            </w:r>
          </w:p>
        </w:tc>
        <w:tc>
          <w:tcPr>
            <w:tcW w:w="320" w:type="dxa"/>
            <w:vAlign w:val="bottom"/>
          </w:tcPr>
          <w:p>
            <w:pPr>
              <w:spacing w:after="0"/>
              <w:rPr>
                <w:sz w:val="20"/>
                <w:szCs w:val="20"/>
                <w:color w:val="auto"/>
              </w:rPr>
            </w:pPr>
          </w:p>
        </w:tc>
        <w:tc>
          <w:tcPr>
            <w:tcW w:w="80" w:type="dxa"/>
            <w:vAlign w:val="bottom"/>
            <w:tcBorders>
              <w:top w:val="single" w:sz="8" w:color="auto"/>
              <w:bottom w:val="single" w:sz="8" w:color="auto"/>
            </w:tcBorders>
          </w:tcPr>
          <w:p>
            <w:pPr>
              <w:spacing w:after="0"/>
              <w:rPr>
                <w:sz w:val="20"/>
                <w:szCs w:val="20"/>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433,461</w:t>
            </w:r>
          </w:p>
        </w:tc>
        <w:tc>
          <w:tcPr>
            <w:tcW w:w="1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5"/>
              </w:rPr>
              <w:t>466,328</w:t>
            </w:r>
          </w:p>
        </w:tc>
        <w:tc>
          <w:tcPr>
            <w:tcW w:w="120" w:type="dxa"/>
            <w:vAlign w:val="bottom"/>
          </w:tcPr>
          <w:p>
            <w:pPr>
              <w:spacing w:after="0"/>
              <w:rPr>
                <w:sz w:val="20"/>
                <w:szCs w:val="20"/>
                <w:color w:val="auto"/>
              </w:rPr>
            </w:pPr>
          </w:p>
        </w:tc>
      </w:tr>
      <w:tr>
        <w:trPr>
          <w:trHeight w:val="216"/>
        </w:trPr>
        <w:tc>
          <w:tcPr>
            <w:tcW w:w="7620" w:type="dxa"/>
            <w:vAlign w:val="bottom"/>
            <w:shd w:val="clear" w:color="auto" w:fill="CCEEFF"/>
          </w:tcPr>
          <w:p>
            <w:pPr>
              <w:ind w:left="720"/>
              <w:spacing w:after="0"/>
              <w:rPr>
                <w:sz w:val="20"/>
                <w:szCs w:val="20"/>
                <w:color w:val="auto"/>
              </w:rPr>
            </w:pPr>
            <w:r>
              <w:rPr>
                <w:rFonts w:ascii="Arial" w:cs="Arial" w:eastAsia="Arial" w:hAnsi="Arial"/>
                <w:sz w:val="18"/>
                <w:szCs w:val="18"/>
                <w:color w:val="auto"/>
              </w:rPr>
              <w:t>Income from operations</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w w:val="98"/>
              </w:rPr>
              <w:t>221,599</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98"/>
              </w:rPr>
              <w:t>222,684</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5"/>
              </w:rPr>
              <w:t>194,426</w:t>
            </w:r>
          </w:p>
        </w:tc>
      </w:tr>
      <w:tr>
        <w:trPr>
          <w:trHeight w:val="223"/>
        </w:trPr>
        <w:tc>
          <w:tcPr>
            <w:tcW w:w="7620" w:type="dxa"/>
            <w:vAlign w:val="bottom"/>
          </w:tcPr>
          <w:p>
            <w:pPr>
              <w:spacing w:after="0"/>
              <w:rPr>
                <w:sz w:val="20"/>
                <w:szCs w:val="20"/>
                <w:color w:val="auto"/>
              </w:rPr>
            </w:pPr>
            <w:r>
              <w:rPr>
                <w:rFonts w:ascii="Arial" w:cs="Arial" w:eastAsia="Arial" w:hAnsi="Arial"/>
                <w:sz w:val="18"/>
                <w:szCs w:val="18"/>
                <w:b w:val="1"/>
                <w:bCs w:val="1"/>
                <w:color w:val="auto"/>
              </w:rPr>
              <w:t>Other (expense) income:</w:t>
            </w:r>
          </w:p>
        </w:tc>
        <w:tc>
          <w:tcPr>
            <w:tcW w:w="40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660" w:type="dxa"/>
            <w:vAlign w:val="bottom"/>
            <w:tcBorders>
              <w:top w:val="single" w:sz="8" w:color="auto"/>
            </w:tcBorders>
          </w:tcPr>
          <w:p>
            <w:pPr>
              <w:spacing w:after="0"/>
              <w:rPr>
                <w:sz w:val="19"/>
                <w:szCs w:val="19"/>
                <w:color w:val="auto"/>
              </w:rPr>
            </w:pPr>
          </w:p>
        </w:tc>
        <w:tc>
          <w:tcPr>
            <w:tcW w:w="320" w:type="dxa"/>
            <w:vAlign w:val="bottom"/>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660" w:type="dxa"/>
            <w:vAlign w:val="bottom"/>
            <w:tcBorders>
              <w:top w:val="single" w:sz="8" w:color="auto"/>
            </w:tcBorders>
          </w:tcPr>
          <w:p>
            <w:pPr>
              <w:spacing w:after="0"/>
              <w:rPr>
                <w:sz w:val="19"/>
                <w:szCs w:val="19"/>
                <w:color w:val="auto"/>
              </w:rPr>
            </w:pPr>
          </w:p>
        </w:tc>
        <w:tc>
          <w:tcPr>
            <w:tcW w:w="1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640" w:type="dxa"/>
            <w:vAlign w:val="bottom"/>
            <w:tcBorders>
              <w:top w:val="single" w:sz="8" w:color="auto"/>
            </w:tcBorders>
          </w:tcPr>
          <w:p>
            <w:pPr>
              <w:spacing w:after="0"/>
              <w:rPr>
                <w:sz w:val="19"/>
                <w:szCs w:val="19"/>
                <w:color w:val="auto"/>
              </w:rPr>
            </w:pPr>
          </w:p>
        </w:tc>
        <w:tc>
          <w:tcPr>
            <w:tcW w:w="120" w:type="dxa"/>
            <w:vAlign w:val="bottom"/>
          </w:tcPr>
          <w:p>
            <w:pPr>
              <w:spacing w:after="0"/>
              <w:rPr>
                <w:sz w:val="19"/>
                <w:szCs w:val="19"/>
                <w:color w:val="auto"/>
              </w:rPr>
            </w:pPr>
          </w:p>
        </w:tc>
      </w:tr>
      <w:tr>
        <w:trPr>
          <w:trHeight w:val="216"/>
        </w:trPr>
        <w:tc>
          <w:tcPr>
            <w:tcW w:w="76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Interest expense</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w w:val="90"/>
              </w:rPr>
              <w:t>(123,230)</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0"/>
              </w:rPr>
              <w:t>(153,185)</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88"/>
              </w:rPr>
              <w:t>(138,427)</w:t>
            </w:r>
          </w:p>
        </w:tc>
      </w:tr>
      <w:tr>
        <w:trPr>
          <w:trHeight w:val="216"/>
        </w:trPr>
        <w:tc>
          <w:tcPr>
            <w:tcW w:w="7620" w:type="dxa"/>
            <w:vAlign w:val="bottom"/>
          </w:tcPr>
          <w:p>
            <w:pPr>
              <w:ind w:left="360"/>
              <w:spacing w:after="0"/>
              <w:rPr>
                <w:sz w:val="20"/>
                <w:szCs w:val="20"/>
                <w:color w:val="auto"/>
              </w:rPr>
            </w:pPr>
            <w:r>
              <w:rPr>
                <w:rFonts w:ascii="Arial" w:cs="Arial" w:eastAsia="Arial" w:hAnsi="Arial"/>
                <w:sz w:val="18"/>
                <w:szCs w:val="18"/>
                <w:color w:val="auto"/>
              </w:rPr>
              <w:t>Write-off of unamortized deferred debt issuance costs and bond discounts</w:t>
            </w:r>
          </w:p>
        </w:tc>
        <w:tc>
          <w:tcPr>
            <w:tcW w:w="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80" w:type="dxa"/>
            <w:vAlign w:val="bottom"/>
            <w:gridSpan w:val="2"/>
          </w:tcPr>
          <w:p>
            <w:pPr>
              <w:jc w:val="right"/>
              <w:ind w:right="260"/>
              <w:spacing w:after="0"/>
              <w:rPr>
                <w:sz w:val="20"/>
                <w:szCs w:val="20"/>
                <w:color w:val="auto"/>
              </w:rPr>
            </w:pPr>
            <w:r>
              <w:rPr>
                <w:rFonts w:ascii="Arial" w:cs="Arial" w:eastAsia="Arial" w:hAnsi="Arial"/>
                <w:sz w:val="18"/>
                <w:szCs w:val="18"/>
                <w:color w:val="auto"/>
              </w:rPr>
              <w:t>(8,750)</w:t>
            </w:r>
          </w:p>
        </w:tc>
        <w:tc>
          <w:tcPr>
            <w:tcW w:w="80" w:type="dxa"/>
            <w:vAlign w:val="bottom"/>
          </w:tcPr>
          <w:p>
            <w:pPr>
              <w:spacing w:after="0"/>
              <w:rPr>
                <w:sz w:val="18"/>
                <w:szCs w:val="18"/>
                <w:color w:val="auto"/>
              </w:rPr>
            </w:pPr>
          </w:p>
        </w:tc>
        <w:tc>
          <w:tcPr>
            <w:tcW w:w="840" w:type="dxa"/>
            <w:vAlign w:val="bottom"/>
            <w:gridSpan w:val="2"/>
          </w:tcPr>
          <w:p>
            <w:pPr>
              <w:jc w:val="right"/>
              <w:ind w:right="28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60"/>
              <w:spacing w:after="0"/>
              <w:rPr>
                <w:sz w:val="20"/>
                <w:szCs w:val="20"/>
                <w:color w:val="auto"/>
              </w:rPr>
            </w:pPr>
            <w:r>
              <w:rPr>
                <w:rFonts w:ascii="Arial" w:cs="Arial" w:eastAsia="Arial" w:hAnsi="Arial"/>
                <w:sz w:val="18"/>
                <w:szCs w:val="18"/>
                <w:color w:val="auto"/>
              </w:rPr>
              <w:t>(881)</w:t>
            </w:r>
          </w:p>
        </w:tc>
      </w:tr>
      <w:tr>
        <w:trPr>
          <w:trHeight w:val="216"/>
        </w:trPr>
        <w:tc>
          <w:tcPr>
            <w:tcW w:w="76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Interest income</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531</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2,505</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1,709</w:t>
            </w:r>
          </w:p>
        </w:tc>
      </w:tr>
      <w:tr>
        <w:trPr>
          <w:trHeight w:val="216"/>
        </w:trPr>
        <w:tc>
          <w:tcPr>
            <w:tcW w:w="7620" w:type="dxa"/>
            <w:vAlign w:val="bottom"/>
          </w:tcPr>
          <w:p>
            <w:pPr>
              <w:ind w:left="360"/>
              <w:spacing w:after="0"/>
              <w:rPr>
                <w:sz w:val="20"/>
                <w:szCs w:val="20"/>
                <w:color w:val="auto"/>
              </w:rPr>
            </w:pPr>
            <w:r>
              <w:rPr>
                <w:rFonts w:ascii="Arial" w:cs="Arial" w:eastAsia="Arial" w:hAnsi="Arial"/>
                <w:sz w:val="18"/>
                <w:szCs w:val="18"/>
                <w:color w:val="auto"/>
              </w:rPr>
              <w:t>Realized (loss) gain on derivative instruments, net</w:t>
            </w:r>
          </w:p>
        </w:tc>
        <w:tc>
          <w:tcPr>
            <w:tcW w:w="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80" w:type="dxa"/>
            <w:vAlign w:val="bottom"/>
            <w:gridSpan w:val="2"/>
          </w:tcPr>
          <w:p>
            <w:pPr>
              <w:jc w:val="right"/>
              <w:ind w:right="260"/>
              <w:spacing w:after="0"/>
              <w:rPr>
                <w:sz w:val="20"/>
                <w:szCs w:val="20"/>
                <w:color w:val="auto"/>
              </w:rPr>
            </w:pPr>
            <w:r>
              <w:rPr>
                <w:rFonts w:ascii="Arial" w:cs="Arial" w:eastAsia="Arial" w:hAnsi="Arial"/>
                <w:sz w:val="18"/>
                <w:szCs w:val="18"/>
                <w:color w:val="auto"/>
              </w:rPr>
              <w:t>(12,295)</w:t>
            </w:r>
          </w:p>
        </w:tc>
        <w:tc>
          <w:tcPr>
            <w:tcW w:w="80" w:type="dxa"/>
            <w:vAlign w:val="bottom"/>
          </w:tcPr>
          <w:p>
            <w:pPr>
              <w:spacing w:after="0"/>
              <w:rPr>
                <w:sz w:val="18"/>
                <w:szCs w:val="18"/>
                <w:color w:val="auto"/>
              </w:rPr>
            </w:pPr>
          </w:p>
        </w:tc>
        <w:tc>
          <w:tcPr>
            <w:tcW w:w="840" w:type="dxa"/>
            <w:vAlign w:val="bottom"/>
            <w:gridSpan w:val="2"/>
          </w:tcPr>
          <w:p>
            <w:pPr>
              <w:jc w:val="right"/>
              <w:ind w:right="180"/>
              <w:spacing w:after="0"/>
              <w:rPr>
                <w:sz w:val="20"/>
                <w:szCs w:val="20"/>
                <w:color w:val="auto"/>
              </w:rPr>
            </w:pPr>
            <w:r>
              <w:rPr>
                <w:rFonts w:ascii="Arial" w:cs="Arial" w:eastAsia="Arial" w:hAnsi="Arial"/>
                <w:sz w:val="18"/>
                <w:szCs w:val="18"/>
                <w:color w:val="auto"/>
              </w:rPr>
              <w:t>1,946</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120"/>
              <w:spacing w:after="0"/>
              <w:rPr>
                <w:sz w:val="20"/>
                <w:szCs w:val="20"/>
                <w:color w:val="auto"/>
              </w:rPr>
            </w:pPr>
            <w:r>
              <w:rPr>
                <w:rFonts w:ascii="Arial" w:cs="Arial" w:eastAsia="Arial" w:hAnsi="Arial"/>
                <w:sz w:val="18"/>
                <w:szCs w:val="18"/>
                <w:color w:val="auto"/>
              </w:rPr>
              <w:t>5,238</w:t>
            </w:r>
          </w:p>
        </w:tc>
      </w:tr>
      <w:tr>
        <w:trPr>
          <w:trHeight w:val="216"/>
        </w:trPr>
        <w:tc>
          <w:tcPr>
            <w:tcW w:w="76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Unrealized loss on derivative instruments, net</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(6,044)</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(15,442)</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(5,790)</w:t>
            </w:r>
          </w:p>
        </w:tc>
      </w:tr>
      <w:tr>
        <w:trPr>
          <w:trHeight w:val="216"/>
        </w:trPr>
        <w:tc>
          <w:tcPr>
            <w:tcW w:w="7620" w:type="dxa"/>
            <w:vAlign w:val="bottom"/>
          </w:tcPr>
          <w:p>
            <w:pPr>
              <w:ind w:left="360"/>
              <w:spacing w:after="0"/>
              <w:rPr>
                <w:sz w:val="20"/>
                <w:szCs w:val="20"/>
                <w:color w:val="auto"/>
              </w:rPr>
            </w:pPr>
            <w:r>
              <w:rPr>
                <w:rFonts w:ascii="Arial" w:cs="Arial" w:eastAsia="Arial" w:hAnsi="Arial"/>
                <w:sz w:val="18"/>
                <w:szCs w:val="18"/>
                <w:color w:val="auto"/>
              </w:rPr>
              <w:t>Other, net</w:t>
            </w:r>
          </w:p>
        </w:tc>
        <w:tc>
          <w:tcPr>
            <w:tcW w:w="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1,488</w:t>
            </w:r>
          </w:p>
        </w:tc>
        <w:tc>
          <w:tcPr>
            <w:tcW w:w="3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(4)</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r>
      <w:tr>
        <w:trPr>
          <w:trHeight w:val="27"/>
        </w:trPr>
        <w:tc>
          <w:tcPr>
            <w:tcW w:w="7620" w:type="dxa"/>
            <w:vAlign w:val="bottom"/>
          </w:tcPr>
          <w:p>
            <w:pPr>
              <w:spacing w:after="0"/>
              <w:rPr>
                <w:sz w:val="2"/>
                <w:szCs w:val="2"/>
                <w:color w:val="auto"/>
              </w:rPr>
            </w:pPr>
          </w:p>
        </w:tc>
        <w:tc>
          <w:tcPr>
            <w:tcW w:w="4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1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r>
      <w:tr>
        <w:trPr>
          <w:trHeight w:val="216"/>
        </w:trPr>
        <w:tc>
          <w:tcPr>
            <w:tcW w:w="7620" w:type="dxa"/>
            <w:vAlign w:val="bottom"/>
            <w:shd w:val="clear" w:color="auto" w:fill="CCEEFF"/>
          </w:tcPr>
          <w:p>
            <w:pPr>
              <w:ind w:left="720"/>
              <w:spacing w:after="0"/>
              <w:rPr>
                <w:sz w:val="20"/>
                <w:szCs w:val="20"/>
                <w:color w:val="auto"/>
              </w:rPr>
            </w:pPr>
            <w:r>
              <w:rPr>
                <w:rFonts w:ascii="Arial" w:cs="Arial" w:eastAsia="Arial" w:hAnsi="Arial"/>
                <w:sz w:val="18"/>
                <w:szCs w:val="18"/>
                <w:color w:val="auto"/>
              </w:rPr>
              <w:t>Net other expense</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w w:val="90"/>
              </w:rPr>
              <w:t>(148,300)</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0"/>
              </w:rPr>
              <w:t>(164,180)</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88"/>
              </w:rPr>
              <w:t>(138,151)</w:t>
            </w:r>
          </w:p>
        </w:tc>
      </w:tr>
      <w:tr>
        <w:trPr>
          <w:trHeight w:val="223"/>
        </w:trPr>
        <w:tc>
          <w:tcPr>
            <w:tcW w:w="7620" w:type="dxa"/>
            <w:vAlign w:val="bottom"/>
          </w:tcPr>
          <w:p>
            <w:pPr>
              <w:ind w:left="720"/>
              <w:spacing w:after="0"/>
              <w:rPr>
                <w:sz w:val="20"/>
                <w:szCs w:val="20"/>
                <w:color w:val="auto"/>
              </w:rPr>
            </w:pPr>
            <w:r>
              <w:rPr>
                <w:rFonts w:ascii="Arial" w:cs="Arial" w:eastAsia="Arial" w:hAnsi="Arial"/>
                <w:sz w:val="18"/>
                <w:szCs w:val="18"/>
                <w:color w:val="auto"/>
              </w:rPr>
              <w:t>Income before income tax and noncontrolling interests</w:t>
            </w:r>
          </w:p>
        </w:tc>
        <w:tc>
          <w:tcPr>
            <w:tcW w:w="40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6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73,299</w:t>
            </w:r>
          </w:p>
        </w:tc>
        <w:tc>
          <w:tcPr>
            <w:tcW w:w="320" w:type="dxa"/>
            <w:vAlign w:val="bottom"/>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6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58,504</w:t>
            </w:r>
          </w:p>
        </w:tc>
        <w:tc>
          <w:tcPr>
            <w:tcW w:w="1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6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56,275</w:t>
            </w:r>
          </w:p>
        </w:tc>
        <w:tc>
          <w:tcPr>
            <w:tcW w:w="120" w:type="dxa"/>
            <w:vAlign w:val="bottom"/>
          </w:tcPr>
          <w:p>
            <w:pPr>
              <w:spacing w:after="0"/>
              <w:rPr>
                <w:sz w:val="19"/>
                <w:szCs w:val="19"/>
                <w:color w:val="auto"/>
              </w:rPr>
            </w:pPr>
          </w:p>
        </w:tc>
      </w:tr>
      <w:tr>
        <w:trPr>
          <w:trHeight w:val="216"/>
        </w:trPr>
        <w:tc>
          <w:tcPr>
            <w:tcW w:w="7620" w:type="dxa"/>
            <w:vAlign w:val="bottom"/>
            <w:shd w:val="clear" w:color="auto" w:fill="CCEEFF"/>
          </w:tcPr>
          <w:p>
            <w:pPr>
              <w:spacing w:after="0"/>
              <w:rPr>
                <w:sz w:val="20"/>
                <w:szCs w:val="20"/>
                <w:color w:val="auto"/>
              </w:rPr>
            </w:pPr>
            <w:r>
              <w:rPr>
                <w:rFonts w:ascii="Arial" w:cs="Arial" w:eastAsia="Arial" w:hAnsi="Arial"/>
                <w:sz w:val="18"/>
                <w:szCs w:val="18"/>
                <w:color w:val="auto"/>
              </w:rPr>
              <w:t>Income tax benefit (expense)</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374</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(1,948)</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(2,025)</w:t>
            </w:r>
          </w:p>
        </w:tc>
      </w:tr>
      <w:tr>
        <w:trPr>
          <w:trHeight w:val="223"/>
        </w:trPr>
        <w:tc>
          <w:tcPr>
            <w:tcW w:w="7620" w:type="dxa"/>
            <w:vAlign w:val="bottom"/>
          </w:tcPr>
          <w:p>
            <w:pPr>
              <w:ind w:left="720"/>
              <w:spacing w:after="0"/>
              <w:rPr>
                <w:sz w:val="20"/>
                <w:szCs w:val="20"/>
                <w:color w:val="auto"/>
              </w:rPr>
            </w:pPr>
            <w:r>
              <w:rPr>
                <w:rFonts w:ascii="Arial" w:cs="Arial" w:eastAsia="Arial" w:hAnsi="Arial"/>
                <w:sz w:val="18"/>
                <w:szCs w:val="18"/>
                <w:b w:val="1"/>
                <w:bCs w:val="1"/>
                <w:color w:val="auto"/>
              </w:rPr>
              <w:t>Net income</w:t>
            </w:r>
          </w:p>
        </w:tc>
        <w:tc>
          <w:tcPr>
            <w:tcW w:w="40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6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73,673</w:t>
            </w:r>
          </w:p>
        </w:tc>
        <w:tc>
          <w:tcPr>
            <w:tcW w:w="320" w:type="dxa"/>
            <w:vAlign w:val="bottom"/>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6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56,556</w:t>
            </w:r>
          </w:p>
        </w:tc>
        <w:tc>
          <w:tcPr>
            <w:tcW w:w="1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6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54,250</w:t>
            </w:r>
          </w:p>
        </w:tc>
        <w:tc>
          <w:tcPr>
            <w:tcW w:w="120" w:type="dxa"/>
            <w:vAlign w:val="bottom"/>
          </w:tcPr>
          <w:p>
            <w:pPr>
              <w:spacing w:after="0"/>
              <w:rPr>
                <w:sz w:val="19"/>
                <w:szCs w:val="19"/>
                <w:color w:val="auto"/>
              </w:rPr>
            </w:pPr>
          </w:p>
        </w:tc>
      </w:tr>
      <w:tr>
        <w:trPr>
          <w:trHeight w:val="216"/>
        </w:trPr>
        <w:tc>
          <w:tcPr>
            <w:tcW w:w="7620" w:type="dxa"/>
            <w:vAlign w:val="bottom"/>
            <w:shd w:val="clear" w:color="auto" w:fill="CCEEFF"/>
          </w:tcPr>
          <w:p>
            <w:pPr>
              <w:spacing w:after="0"/>
              <w:rPr>
                <w:sz w:val="20"/>
                <w:szCs w:val="20"/>
                <w:color w:val="auto"/>
              </w:rPr>
            </w:pPr>
            <w:r>
              <w:rPr>
                <w:rFonts w:ascii="Arial" w:cs="Arial" w:eastAsia="Arial" w:hAnsi="Arial"/>
                <w:sz w:val="18"/>
                <w:szCs w:val="18"/>
                <w:color w:val="auto"/>
              </w:rPr>
              <w:t>Less: Net (income) loss attributable to the noncontrolling interests</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(851)</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168</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(3,872)</w:t>
            </w:r>
          </w:p>
        </w:tc>
      </w:tr>
      <w:tr>
        <w:trPr>
          <w:trHeight w:val="223"/>
        </w:trPr>
        <w:tc>
          <w:tcPr>
            <w:tcW w:w="7620" w:type="dxa"/>
            <w:vAlign w:val="bottom"/>
          </w:tcPr>
          <w:p>
            <w:pPr>
              <w:ind w:left="720"/>
              <w:spacing w:after="0"/>
              <w:rPr>
                <w:sz w:val="20"/>
                <w:szCs w:val="20"/>
                <w:color w:val="auto"/>
              </w:rPr>
            </w:pPr>
            <w:r>
              <w:rPr>
                <w:rFonts w:ascii="Arial" w:cs="Arial" w:eastAsia="Arial" w:hAnsi="Arial"/>
                <w:sz w:val="18"/>
                <w:szCs w:val="18"/>
                <w:b w:val="1"/>
                <w:bCs w:val="1"/>
                <w:color w:val="auto"/>
                <w:w w:val="96"/>
              </w:rPr>
              <w:t>Net income attributable to Textainer Group Holdings Limited common shareholders</w:t>
            </w:r>
          </w:p>
        </w:tc>
        <w:tc>
          <w:tcPr>
            <w:tcW w:w="40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72,822</w:t>
            </w:r>
          </w:p>
        </w:tc>
        <w:tc>
          <w:tcPr>
            <w:tcW w:w="320" w:type="dxa"/>
            <w:vAlign w:val="bottom"/>
          </w:tcPr>
          <w:p>
            <w:pPr>
              <w:spacing w:after="0"/>
              <w:rPr>
                <w:sz w:val="19"/>
                <w:szCs w:val="19"/>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56,724</w:t>
            </w:r>
          </w:p>
        </w:tc>
        <w:tc>
          <w:tcPr>
            <w:tcW w:w="1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50,378</w:t>
            </w:r>
          </w:p>
        </w:tc>
        <w:tc>
          <w:tcPr>
            <w:tcW w:w="120" w:type="dxa"/>
            <w:vAlign w:val="bottom"/>
          </w:tcPr>
          <w:p>
            <w:pPr>
              <w:spacing w:after="0"/>
              <w:rPr>
                <w:sz w:val="19"/>
                <w:szCs w:val="19"/>
                <w:color w:val="auto"/>
              </w:rPr>
            </w:pPr>
          </w:p>
        </w:tc>
      </w:tr>
      <w:tr>
        <w:trPr>
          <w:trHeight w:val="20"/>
        </w:trPr>
        <w:tc>
          <w:tcPr>
            <w:tcW w:w="76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r>
        <w:trPr>
          <w:trHeight w:val="210"/>
        </w:trPr>
        <w:tc>
          <w:tcPr>
            <w:tcW w:w="7620" w:type="dxa"/>
            <w:vAlign w:val="bottom"/>
            <w:shd w:val="clear" w:color="auto" w:fill="CCEEFF"/>
          </w:tcPr>
          <w:p>
            <w:pPr>
              <w:spacing w:after="0"/>
              <w:rPr>
                <w:sz w:val="20"/>
                <w:szCs w:val="20"/>
                <w:color w:val="auto"/>
              </w:rPr>
            </w:pPr>
            <w:r>
              <w:rPr>
                <w:rFonts w:ascii="Arial" w:cs="Arial" w:eastAsia="Arial" w:hAnsi="Arial"/>
                <w:sz w:val="18"/>
                <w:szCs w:val="18"/>
                <w:color w:val="auto"/>
              </w:rPr>
              <w:t>Net income attributable to Textainer Group Holdings Limited common shareholders per share:</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r>
      <w:tr>
        <w:trPr>
          <w:trHeight w:val="216"/>
        </w:trPr>
        <w:tc>
          <w:tcPr>
            <w:tcW w:w="7620" w:type="dxa"/>
            <w:vAlign w:val="bottom"/>
          </w:tcPr>
          <w:p>
            <w:pPr>
              <w:ind w:left="360"/>
              <w:spacing w:after="0"/>
              <w:rPr>
                <w:sz w:val="20"/>
                <w:szCs w:val="20"/>
                <w:color w:val="auto"/>
              </w:rPr>
            </w:pPr>
            <w:r>
              <w:rPr>
                <w:rFonts w:ascii="Arial" w:cs="Arial" w:eastAsia="Arial" w:hAnsi="Arial"/>
                <w:sz w:val="18"/>
                <w:szCs w:val="18"/>
                <w:color w:val="auto"/>
              </w:rPr>
              <w:t>Basic</w:t>
            </w:r>
          </w:p>
        </w:tc>
        <w:tc>
          <w:tcPr>
            <w:tcW w:w="5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80" w:type="dxa"/>
            <w:vAlign w:val="bottom"/>
            <w:gridSpan w:val="2"/>
          </w:tcPr>
          <w:p>
            <w:pPr>
              <w:jc w:val="right"/>
              <w:ind w:right="320"/>
              <w:spacing w:after="0"/>
              <w:rPr>
                <w:sz w:val="20"/>
                <w:szCs w:val="20"/>
                <w:color w:val="auto"/>
              </w:rPr>
            </w:pPr>
            <w:r>
              <w:rPr>
                <w:rFonts w:ascii="Arial" w:cs="Arial" w:eastAsia="Arial" w:hAnsi="Arial"/>
                <w:sz w:val="18"/>
                <w:szCs w:val="18"/>
                <w:color w:val="auto"/>
              </w:rPr>
              <w:t>1.37</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840" w:type="dxa"/>
            <w:vAlign w:val="bottom"/>
            <w:gridSpan w:val="2"/>
          </w:tcPr>
          <w:p>
            <w:pPr>
              <w:jc w:val="right"/>
              <w:ind w:right="180"/>
              <w:spacing w:after="0"/>
              <w:rPr>
                <w:sz w:val="20"/>
                <w:szCs w:val="20"/>
                <w:color w:val="auto"/>
              </w:rPr>
            </w:pPr>
            <w:r>
              <w:rPr>
                <w:rFonts w:ascii="Arial" w:cs="Arial" w:eastAsia="Arial" w:hAnsi="Arial"/>
                <w:sz w:val="18"/>
                <w:szCs w:val="18"/>
                <w:color w:val="auto"/>
              </w:rPr>
              <w:t>0.99</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60" w:type="dxa"/>
            <w:vAlign w:val="bottom"/>
            <w:gridSpan w:val="2"/>
          </w:tcPr>
          <w:p>
            <w:pPr>
              <w:jc w:val="right"/>
              <w:ind w:right="120"/>
              <w:spacing w:after="0"/>
              <w:rPr>
                <w:sz w:val="20"/>
                <w:szCs w:val="20"/>
                <w:color w:val="auto"/>
              </w:rPr>
            </w:pPr>
            <w:r>
              <w:rPr>
                <w:rFonts w:ascii="Arial" w:cs="Arial" w:eastAsia="Arial" w:hAnsi="Arial"/>
                <w:sz w:val="18"/>
                <w:szCs w:val="18"/>
                <w:color w:val="auto"/>
              </w:rPr>
              <w:t>0.88</w:t>
            </w:r>
          </w:p>
        </w:tc>
      </w:tr>
      <w:tr>
        <w:trPr>
          <w:trHeight w:val="216"/>
        </w:trPr>
        <w:tc>
          <w:tcPr>
            <w:tcW w:w="76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Diluted</w:t>
            </w: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1.36</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0.99</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0.88</w:t>
            </w:r>
          </w:p>
        </w:tc>
      </w:tr>
      <w:tr>
        <w:trPr>
          <w:trHeight w:val="216"/>
        </w:trPr>
        <w:tc>
          <w:tcPr>
            <w:tcW w:w="7620" w:type="dxa"/>
            <w:vAlign w:val="bottom"/>
          </w:tcPr>
          <w:p>
            <w:pPr>
              <w:spacing w:after="0"/>
              <w:rPr>
                <w:sz w:val="20"/>
                <w:szCs w:val="20"/>
                <w:color w:val="auto"/>
              </w:rPr>
            </w:pPr>
            <w:r>
              <w:rPr>
                <w:rFonts w:ascii="Arial" w:cs="Arial" w:eastAsia="Arial" w:hAnsi="Arial"/>
                <w:sz w:val="18"/>
                <w:szCs w:val="18"/>
                <w:color w:val="auto"/>
              </w:rPr>
              <w:t>Weighted average shares outstanding (in thousands):</w:t>
            </w:r>
          </w:p>
        </w:tc>
        <w:tc>
          <w:tcPr>
            <w:tcW w:w="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20" w:type="dxa"/>
            <w:vAlign w:val="bottom"/>
          </w:tcPr>
          <w:p>
            <w:pPr>
              <w:spacing w:after="0"/>
              <w:rPr>
                <w:sz w:val="18"/>
                <w:szCs w:val="18"/>
                <w:color w:val="auto"/>
              </w:rPr>
            </w:pPr>
          </w:p>
        </w:tc>
      </w:tr>
      <w:tr>
        <w:trPr>
          <w:trHeight w:val="216"/>
        </w:trPr>
        <w:tc>
          <w:tcPr>
            <w:tcW w:w="76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Basic</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53,271</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57,349</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57,200</w:t>
            </w:r>
          </w:p>
        </w:tc>
      </w:tr>
      <w:tr>
        <w:trPr>
          <w:trHeight w:val="230"/>
        </w:trPr>
        <w:tc>
          <w:tcPr>
            <w:tcW w:w="7620" w:type="dxa"/>
            <w:vAlign w:val="bottom"/>
          </w:tcPr>
          <w:p>
            <w:pPr>
              <w:ind w:left="360"/>
              <w:spacing w:after="0"/>
              <w:rPr>
                <w:sz w:val="20"/>
                <w:szCs w:val="20"/>
                <w:color w:val="auto"/>
              </w:rPr>
            </w:pPr>
            <w:r>
              <w:rPr>
                <w:rFonts w:ascii="Arial" w:cs="Arial" w:eastAsia="Arial" w:hAnsi="Arial"/>
                <w:sz w:val="18"/>
                <w:szCs w:val="18"/>
                <w:color w:val="auto"/>
              </w:rPr>
              <w:t>Diluted</w:t>
            </w:r>
          </w:p>
        </w:tc>
        <w:tc>
          <w:tcPr>
            <w:tcW w:w="4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80" w:type="dxa"/>
            <w:vAlign w:val="bottom"/>
            <w:gridSpan w:val="2"/>
          </w:tcPr>
          <w:p>
            <w:pPr>
              <w:jc w:val="right"/>
              <w:ind w:right="320"/>
              <w:spacing w:after="0"/>
              <w:rPr>
                <w:sz w:val="20"/>
                <w:szCs w:val="20"/>
                <w:color w:val="auto"/>
              </w:rPr>
            </w:pPr>
            <w:r>
              <w:rPr>
                <w:rFonts w:ascii="Arial" w:cs="Arial" w:eastAsia="Arial" w:hAnsi="Arial"/>
                <w:sz w:val="18"/>
                <w:szCs w:val="18"/>
                <w:color w:val="auto"/>
              </w:rPr>
              <w:t>53,481</w:t>
            </w:r>
          </w:p>
        </w:tc>
        <w:tc>
          <w:tcPr>
            <w:tcW w:w="80" w:type="dxa"/>
            <w:vAlign w:val="bottom"/>
          </w:tcPr>
          <w:p>
            <w:pPr>
              <w:spacing w:after="0"/>
              <w:rPr>
                <w:sz w:val="20"/>
                <w:szCs w:val="20"/>
                <w:color w:val="auto"/>
              </w:rPr>
            </w:pPr>
          </w:p>
        </w:tc>
        <w:tc>
          <w:tcPr>
            <w:tcW w:w="840" w:type="dxa"/>
            <w:vAlign w:val="bottom"/>
            <w:gridSpan w:val="2"/>
          </w:tcPr>
          <w:p>
            <w:pPr>
              <w:jc w:val="right"/>
              <w:ind w:right="180"/>
              <w:spacing w:after="0"/>
              <w:rPr>
                <w:sz w:val="20"/>
                <w:szCs w:val="20"/>
                <w:color w:val="auto"/>
              </w:rPr>
            </w:pPr>
            <w:r>
              <w:rPr>
                <w:rFonts w:ascii="Arial" w:cs="Arial" w:eastAsia="Arial" w:hAnsi="Arial"/>
                <w:sz w:val="18"/>
                <w:szCs w:val="18"/>
                <w:color w:val="auto"/>
              </w:rPr>
              <w:t>57,459</w:t>
            </w:r>
          </w:p>
        </w:tc>
        <w:tc>
          <w:tcPr>
            <w:tcW w:w="1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60" w:type="dxa"/>
            <w:vAlign w:val="bottom"/>
            <w:gridSpan w:val="2"/>
          </w:tcPr>
          <w:p>
            <w:pPr>
              <w:jc w:val="right"/>
              <w:ind w:right="120"/>
              <w:spacing w:after="0"/>
              <w:rPr>
                <w:sz w:val="20"/>
                <w:szCs w:val="20"/>
                <w:color w:val="auto"/>
              </w:rPr>
            </w:pPr>
            <w:r>
              <w:rPr>
                <w:rFonts w:ascii="Arial" w:cs="Arial" w:eastAsia="Arial" w:hAnsi="Arial"/>
                <w:sz w:val="18"/>
                <w:szCs w:val="18"/>
                <w:color w:val="auto"/>
              </w:rPr>
              <w:t>57,487</w:t>
            </w:r>
          </w:p>
        </w:tc>
      </w:tr>
    </w:tbl>
    <w:p>
      <w:pPr>
        <w:spacing w:after="0" w:line="187"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See accompanying notes to consolidated financial statements.</w:t>
      </w:r>
    </w:p>
    <w:p>
      <w:pPr>
        <w:spacing w:after="0" w:line="158"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F-5</w:t>
      </w:r>
    </w:p>
    <w:p>
      <w:pPr>
        <w:sectPr>
          <w:pgSz w:w="11900" w:h="16838" w:orient="portrait"/>
          <w:cols w:equalWidth="0" w:num="1">
            <w:col w:w="11020"/>
          </w:cols>
          <w:pgMar w:left="440" w:top="270" w:right="439" w:bottom="1440" w:gutter="0" w:footer="0" w:header="0"/>
        </w:sectPr>
      </w:pPr>
    </w:p>
    <w:bookmarkStart w:id="119" w:name="page120"/>
    <w:bookmarkEnd w:id="119"/>
    <w:p>
      <w:pPr>
        <w:jc w:val="center"/>
        <w:ind w:right="2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TEXTAINER GROUP HOLDINGS LIMITED AND SUBSIDIARIES</w:t>
      </w:r>
    </w:p>
    <w:p>
      <w:pPr>
        <w:spacing w:after="0" w:line="229"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Consolidated Statements of Comprehensive Income</w:t>
      </w:r>
    </w:p>
    <w:p>
      <w:pPr>
        <w:spacing w:after="0" w:line="23"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Years ended December 31, 2020, 2019 and 2018</w:t>
      </w:r>
    </w:p>
    <w:p>
      <w:pPr>
        <w:spacing w:after="0" w:line="9"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(All currency expressed in United States dollars in thousands, except per share amounts)</w:t>
      </w:r>
    </w:p>
    <w:p>
      <w:pPr>
        <w:spacing w:after="0" w:line="22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8620" w:type="dxa"/>
            <w:vAlign w:val="bottom"/>
          </w:tcPr>
          <w:p>
            <w:pPr>
              <w:spacing w:after="0"/>
              <w:rPr>
                <w:sz w:val="14"/>
                <w:szCs w:val="14"/>
                <w:color w:val="auto"/>
              </w:rPr>
            </w:pPr>
          </w:p>
        </w:tc>
        <w:tc>
          <w:tcPr>
            <w:tcW w:w="660" w:type="dxa"/>
            <w:vAlign w:val="bottom"/>
            <w:gridSpan w:val="2"/>
          </w:tcPr>
          <w:p>
            <w:pPr>
              <w:jc w:val="right"/>
              <w:ind w:right="90"/>
              <w:spacing w:after="0"/>
              <w:rPr>
                <w:sz w:val="20"/>
                <w:szCs w:val="20"/>
                <w:color w:val="auto"/>
              </w:rPr>
            </w:pPr>
            <w:r>
              <w:rPr>
                <w:rFonts w:ascii="Arial" w:cs="Arial" w:eastAsia="Arial" w:hAnsi="Arial"/>
                <w:sz w:val="14"/>
                <w:szCs w:val="14"/>
                <w:b w:val="1"/>
                <w:bCs w:val="1"/>
                <w:color w:val="auto"/>
              </w:rPr>
              <w:t>2020</w:t>
            </w:r>
          </w:p>
        </w:tc>
        <w:tc>
          <w:tcPr>
            <w:tcW w:w="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600" w:type="dxa"/>
            <w:vAlign w:val="bottom"/>
          </w:tcPr>
          <w:p>
            <w:pPr>
              <w:jc w:val="right"/>
              <w:ind w:right="72"/>
              <w:spacing w:after="0"/>
              <w:rPr>
                <w:sz w:val="20"/>
                <w:szCs w:val="20"/>
                <w:color w:val="auto"/>
              </w:rPr>
            </w:pPr>
            <w:r>
              <w:rPr>
                <w:rFonts w:ascii="Arial" w:cs="Arial" w:eastAsia="Arial" w:hAnsi="Arial"/>
                <w:sz w:val="14"/>
                <w:szCs w:val="14"/>
                <w:b w:val="1"/>
                <w:bCs w:val="1"/>
                <w:color w:val="auto"/>
              </w:rPr>
              <w:t>2019</w:t>
            </w:r>
          </w:p>
        </w:tc>
        <w:tc>
          <w:tcPr>
            <w:tcW w:w="200" w:type="dxa"/>
            <w:vAlign w:val="bottom"/>
          </w:tcPr>
          <w:p>
            <w:pPr>
              <w:spacing w:after="0"/>
              <w:rPr>
                <w:sz w:val="14"/>
                <w:szCs w:val="14"/>
                <w:color w:val="auto"/>
              </w:rPr>
            </w:pPr>
          </w:p>
        </w:tc>
        <w:tc>
          <w:tcPr>
            <w:tcW w:w="600" w:type="dxa"/>
            <w:vAlign w:val="bottom"/>
          </w:tcPr>
          <w:p>
            <w:pPr>
              <w:jc w:val="right"/>
              <w:ind w:right="52"/>
              <w:spacing w:after="0"/>
              <w:rPr>
                <w:sz w:val="20"/>
                <w:szCs w:val="20"/>
                <w:color w:val="auto"/>
              </w:rPr>
            </w:pPr>
            <w:r>
              <w:rPr>
                <w:rFonts w:ascii="Arial" w:cs="Arial" w:eastAsia="Arial" w:hAnsi="Arial"/>
                <w:sz w:val="14"/>
                <w:szCs w:val="14"/>
                <w:b w:val="1"/>
                <w:bCs w:val="1"/>
                <w:color w:val="auto"/>
              </w:rPr>
              <w:t>2018</w:t>
            </w:r>
          </w:p>
        </w:tc>
        <w:tc>
          <w:tcPr>
            <w:tcW w:w="120" w:type="dxa"/>
            <w:vAlign w:val="bottom"/>
          </w:tcPr>
          <w:p>
            <w:pPr>
              <w:spacing w:after="0"/>
              <w:rPr>
                <w:sz w:val="14"/>
                <w:szCs w:val="14"/>
                <w:color w:val="auto"/>
              </w:rPr>
            </w:pPr>
          </w:p>
        </w:tc>
      </w:tr>
      <w:tr>
        <w:trPr>
          <w:trHeight w:val="209"/>
        </w:trPr>
        <w:tc>
          <w:tcPr>
            <w:tcW w:w="862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Net income</w:t>
            </w:r>
          </w:p>
        </w:tc>
        <w:tc>
          <w:tcPr>
            <w:tcW w:w="20" w:type="dxa"/>
            <w:vAlign w:val="bottom"/>
            <w:tcBorders>
              <w:top w:val="single" w:sz="8" w:color="CCEEFF"/>
            </w:tcBorders>
            <w:shd w:val="clear" w:color="auto" w:fill="CCEEFF"/>
          </w:tcPr>
          <w:p>
            <w:pPr>
              <w:spacing w:after="0"/>
              <w:rPr>
                <w:sz w:val="18"/>
                <w:szCs w:val="18"/>
                <w:color w:val="auto"/>
              </w:rPr>
            </w:pPr>
          </w:p>
        </w:tc>
        <w:tc>
          <w:tcPr>
            <w:tcW w:w="6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73,673</w:t>
            </w:r>
          </w:p>
        </w:tc>
        <w:tc>
          <w:tcPr>
            <w:tcW w:w="2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CCEEFF"/>
            </w:tcBorders>
            <w:shd w:val="clear" w:color="auto" w:fill="CCEEFF"/>
          </w:tcPr>
          <w:p>
            <w:pPr>
              <w:spacing w:after="0"/>
              <w:rPr>
                <w:sz w:val="18"/>
                <w:szCs w:val="18"/>
                <w:color w:val="auto"/>
              </w:rPr>
            </w:pPr>
          </w:p>
        </w:tc>
        <w:tc>
          <w:tcPr>
            <w:tcW w:w="6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56,556</w:t>
            </w:r>
          </w:p>
        </w:tc>
        <w:tc>
          <w:tcPr>
            <w:tcW w:w="200" w:type="dxa"/>
            <w:vAlign w:val="bottom"/>
            <w:tcBorders>
              <w:top w:val="single" w:sz="8" w:color="CCEEFF"/>
            </w:tcBorders>
            <w:shd w:val="clear" w:color="auto" w:fill="CCEEFF"/>
          </w:tcPr>
          <w:p>
            <w:pPr>
              <w:spacing w:after="0"/>
              <w:rPr>
                <w:sz w:val="18"/>
                <w:szCs w:val="18"/>
                <w:color w:val="auto"/>
              </w:rPr>
            </w:pPr>
          </w:p>
        </w:tc>
        <w:tc>
          <w:tcPr>
            <w:tcW w:w="6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54,250</w:t>
            </w:r>
          </w:p>
        </w:tc>
        <w:tc>
          <w:tcPr>
            <w:tcW w:w="120" w:type="dxa"/>
            <w:vAlign w:val="bottom"/>
            <w:tcBorders>
              <w:top w:val="single" w:sz="8" w:color="CCEEFF"/>
            </w:tcBorders>
            <w:shd w:val="clear" w:color="auto" w:fill="CCEEFF"/>
          </w:tcPr>
          <w:p>
            <w:pPr>
              <w:spacing w:after="0"/>
              <w:rPr>
                <w:sz w:val="18"/>
                <w:szCs w:val="18"/>
                <w:color w:val="auto"/>
              </w:rPr>
            </w:pPr>
          </w:p>
        </w:tc>
      </w:tr>
      <w:tr>
        <w:trPr>
          <w:trHeight w:val="216"/>
        </w:trPr>
        <w:tc>
          <w:tcPr>
            <w:tcW w:w="8620" w:type="dxa"/>
            <w:vAlign w:val="bottom"/>
          </w:tcPr>
          <w:p>
            <w:pPr>
              <w:spacing w:after="0"/>
              <w:rPr>
                <w:sz w:val="20"/>
                <w:szCs w:val="20"/>
                <w:color w:val="auto"/>
              </w:rPr>
            </w:pPr>
            <w:r>
              <w:rPr>
                <w:rFonts w:ascii="Arial" w:cs="Arial" w:eastAsia="Arial" w:hAnsi="Arial"/>
                <w:sz w:val="18"/>
                <w:szCs w:val="18"/>
                <w:b w:val="1"/>
                <w:bCs w:val="1"/>
                <w:color w:val="auto"/>
              </w:rPr>
              <w:t>Other comprehensive income (loss), before tax:</w:t>
            </w:r>
          </w:p>
        </w:tc>
        <w:tc>
          <w:tcPr>
            <w:tcW w:w="2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20" w:type="dxa"/>
            <w:vAlign w:val="bottom"/>
          </w:tcPr>
          <w:p>
            <w:pPr>
              <w:spacing w:after="0"/>
              <w:rPr>
                <w:sz w:val="18"/>
                <w:szCs w:val="18"/>
                <w:color w:val="auto"/>
              </w:rPr>
            </w:pPr>
          </w:p>
        </w:tc>
      </w:tr>
      <w:tr>
        <w:trPr>
          <w:trHeight w:val="216"/>
        </w:trPr>
        <w:tc>
          <w:tcPr>
            <w:tcW w:w="86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Change in derivative instruments designated as cash flow hedges</w:t>
            </w:r>
          </w:p>
        </w:tc>
        <w:tc>
          <w:tcPr>
            <w:tcW w:w="880" w:type="dxa"/>
            <w:vAlign w:val="bottom"/>
            <w:gridSpan w:val="4"/>
            <w:shd w:val="clear" w:color="auto" w:fill="CCEEFF"/>
          </w:tcPr>
          <w:p>
            <w:pPr>
              <w:jc w:val="right"/>
              <w:ind w:right="160"/>
              <w:spacing w:after="0"/>
              <w:rPr>
                <w:sz w:val="20"/>
                <w:szCs w:val="20"/>
                <w:color w:val="auto"/>
              </w:rPr>
            </w:pPr>
            <w:r>
              <w:rPr>
                <w:rFonts w:ascii="Arial" w:cs="Arial" w:eastAsia="Arial" w:hAnsi="Arial"/>
                <w:sz w:val="18"/>
                <w:szCs w:val="18"/>
                <w:color w:val="auto"/>
              </w:rPr>
              <w:t>(12,307)</w:t>
            </w:r>
          </w:p>
        </w:tc>
        <w:tc>
          <w:tcPr>
            <w:tcW w:w="8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(110)</w:t>
            </w:r>
          </w:p>
        </w:tc>
        <w:tc>
          <w:tcPr>
            <w:tcW w:w="7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r>
      <w:tr>
        <w:trPr>
          <w:trHeight w:val="216"/>
        </w:trPr>
        <w:tc>
          <w:tcPr>
            <w:tcW w:w="8620" w:type="dxa"/>
            <w:vAlign w:val="bottom"/>
          </w:tcPr>
          <w:p>
            <w:pPr>
              <w:ind w:left="360"/>
              <w:spacing w:after="0"/>
              <w:rPr>
                <w:sz w:val="20"/>
                <w:szCs w:val="20"/>
                <w:color w:val="auto"/>
              </w:rPr>
            </w:pPr>
            <w:r>
              <w:rPr>
                <w:rFonts w:ascii="Arial" w:cs="Arial" w:eastAsia="Arial" w:hAnsi="Arial"/>
                <w:sz w:val="18"/>
                <w:szCs w:val="18"/>
                <w:color w:val="auto"/>
              </w:rPr>
              <w:t>Reclassification of realized loss (gain) on derivative instruments designated as cash flow hedges</w:t>
            </w:r>
          </w:p>
        </w:tc>
        <w:tc>
          <w:tcPr>
            <w:tcW w:w="680" w:type="dxa"/>
            <w:vAlign w:val="bottom"/>
            <w:gridSpan w:val="3"/>
          </w:tcPr>
          <w:p>
            <w:pPr>
              <w:jc w:val="right"/>
              <w:ind w:right="20"/>
              <w:spacing w:after="0"/>
              <w:rPr>
                <w:sz w:val="20"/>
                <w:szCs w:val="20"/>
                <w:color w:val="auto"/>
              </w:rPr>
            </w:pPr>
            <w:r>
              <w:rPr>
                <w:rFonts w:ascii="Arial" w:cs="Arial" w:eastAsia="Arial" w:hAnsi="Arial"/>
                <w:sz w:val="18"/>
                <w:szCs w:val="18"/>
                <w:color w:val="auto"/>
              </w:rPr>
              <w:t>2,806</w:t>
            </w:r>
          </w:p>
        </w:tc>
        <w:tc>
          <w:tcPr>
            <w:tcW w:w="200" w:type="dxa"/>
            <w:vAlign w:val="bottom"/>
          </w:tcPr>
          <w:p>
            <w:pPr>
              <w:spacing w:after="0"/>
              <w:rPr>
                <w:sz w:val="18"/>
                <w:szCs w:val="18"/>
                <w:color w:val="auto"/>
              </w:rPr>
            </w:pPr>
          </w:p>
        </w:tc>
        <w:tc>
          <w:tcPr>
            <w:tcW w:w="800" w:type="dxa"/>
            <w:vAlign w:val="bottom"/>
            <w:gridSpan w:val="2"/>
          </w:tcPr>
          <w:p>
            <w:pPr>
              <w:jc w:val="right"/>
              <w:ind w:right="140"/>
              <w:spacing w:after="0"/>
              <w:rPr>
                <w:sz w:val="20"/>
                <w:szCs w:val="20"/>
                <w:color w:val="auto"/>
              </w:rPr>
            </w:pPr>
            <w:r>
              <w:rPr>
                <w:rFonts w:ascii="Arial" w:cs="Arial" w:eastAsia="Arial" w:hAnsi="Arial"/>
                <w:sz w:val="18"/>
                <w:szCs w:val="18"/>
                <w:color w:val="auto"/>
              </w:rPr>
              <w:t>(7)</w:t>
            </w:r>
          </w:p>
        </w:tc>
        <w:tc>
          <w:tcPr>
            <w:tcW w:w="72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r>
      <w:tr>
        <w:trPr>
          <w:trHeight w:val="216"/>
        </w:trPr>
        <w:tc>
          <w:tcPr>
            <w:tcW w:w="86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Foreign currency translation adjustments</w:t>
            </w:r>
          </w:p>
        </w:tc>
        <w:tc>
          <w:tcPr>
            <w:tcW w:w="680" w:type="dxa"/>
            <w:vAlign w:val="bottom"/>
            <w:gridSpan w:val="3"/>
            <w:shd w:val="clear" w:color="auto" w:fill="CCEEFF"/>
          </w:tcPr>
          <w:p>
            <w:pPr>
              <w:jc w:val="right"/>
              <w:ind w:right="20"/>
              <w:spacing w:after="0"/>
              <w:rPr>
                <w:sz w:val="20"/>
                <w:szCs w:val="20"/>
                <w:color w:val="auto"/>
              </w:rPr>
            </w:pPr>
            <w:r>
              <w:rPr>
                <w:rFonts w:ascii="Arial" w:cs="Arial" w:eastAsia="Arial" w:hAnsi="Arial"/>
                <w:sz w:val="18"/>
                <w:szCs w:val="18"/>
                <w:color w:val="auto"/>
              </w:rPr>
              <w:t>177</w:t>
            </w:r>
          </w:p>
        </w:tc>
        <w:tc>
          <w:tcPr>
            <w:tcW w:w="2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42</w:t>
            </w: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(127)</w:t>
            </w:r>
          </w:p>
        </w:tc>
      </w:tr>
      <w:tr>
        <w:trPr>
          <w:trHeight w:val="223"/>
        </w:trPr>
        <w:tc>
          <w:tcPr>
            <w:tcW w:w="8620" w:type="dxa"/>
            <w:vAlign w:val="bottom"/>
          </w:tcPr>
          <w:p>
            <w:pPr>
              <w:spacing w:after="0"/>
              <w:rPr>
                <w:sz w:val="20"/>
                <w:szCs w:val="20"/>
                <w:color w:val="auto"/>
              </w:rPr>
            </w:pPr>
            <w:r>
              <w:rPr>
                <w:rFonts w:ascii="Arial" w:cs="Arial" w:eastAsia="Arial" w:hAnsi="Arial"/>
                <w:sz w:val="18"/>
                <w:szCs w:val="18"/>
                <w:color w:val="auto"/>
              </w:rPr>
              <w:t>Comprehensive income, before tax</w:t>
            </w:r>
          </w:p>
        </w:tc>
        <w:tc>
          <w:tcPr>
            <w:tcW w:w="20" w:type="dxa"/>
            <w:vAlign w:val="bottom"/>
          </w:tcPr>
          <w:p>
            <w:pPr>
              <w:spacing w:after="0"/>
              <w:rPr>
                <w:sz w:val="19"/>
                <w:szCs w:val="19"/>
                <w:color w:val="auto"/>
              </w:rPr>
            </w:pPr>
          </w:p>
        </w:tc>
        <w:tc>
          <w:tcPr>
            <w:tcW w:w="6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64,349</w:t>
            </w:r>
          </w:p>
        </w:tc>
        <w:tc>
          <w:tcPr>
            <w:tcW w:w="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6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56,481</w:t>
            </w:r>
          </w:p>
        </w:tc>
        <w:tc>
          <w:tcPr>
            <w:tcW w:w="200" w:type="dxa"/>
            <w:vAlign w:val="bottom"/>
          </w:tcPr>
          <w:p>
            <w:pPr>
              <w:spacing w:after="0"/>
              <w:rPr>
                <w:sz w:val="19"/>
                <w:szCs w:val="19"/>
                <w:color w:val="auto"/>
              </w:rPr>
            </w:pPr>
          </w:p>
        </w:tc>
        <w:tc>
          <w:tcPr>
            <w:tcW w:w="6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54,123</w:t>
            </w:r>
          </w:p>
        </w:tc>
        <w:tc>
          <w:tcPr>
            <w:tcW w:w="120" w:type="dxa"/>
            <w:vAlign w:val="bottom"/>
          </w:tcPr>
          <w:p>
            <w:pPr>
              <w:spacing w:after="0"/>
              <w:rPr>
                <w:sz w:val="19"/>
                <w:szCs w:val="19"/>
                <w:color w:val="auto"/>
              </w:rPr>
            </w:pPr>
          </w:p>
        </w:tc>
      </w:tr>
      <w:tr>
        <w:trPr>
          <w:trHeight w:val="216"/>
        </w:trPr>
        <w:tc>
          <w:tcPr>
            <w:tcW w:w="86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Income tax benefit related to items of other comprehensive income (loss)</w:t>
            </w:r>
          </w:p>
        </w:tc>
        <w:tc>
          <w:tcPr>
            <w:tcW w:w="680" w:type="dxa"/>
            <w:vAlign w:val="bottom"/>
            <w:gridSpan w:val="3"/>
            <w:shd w:val="clear" w:color="auto" w:fill="CCEEFF"/>
          </w:tcPr>
          <w:p>
            <w:pPr>
              <w:jc w:val="right"/>
              <w:ind w:right="20"/>
              <w:spacing w:after="0"/>
              <w:rPr>
                <w:sz w:val="20"/>
                <w:szCs w:val="20"/>
                <w:color w:val="auto"/>
              </w:rPr>
            </w:pPr>
            <w:r>
              <w:rPr>
                <w:rFonts w:ascii="Arial" w:cs="Arial" w:eastAsia="Arial" w:hAnsi="Arial"/>
                <w:sz w:val="18"/>
                <w:szCs w:val="18"/>
                <w:color w:val="auto"/>
              </w:rPr>
              <w:t>91</w:t>
            </w:r>
          </w:p>
        </w:tc>
        <w:tc>
          <w:tcPr>
            <w:tcW w:w="2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r>
      <w:tr>
        <w:trPr>
          <w:trHeight w:val="223"/>
        </w:trPr>
        <w:tc>
          <w:tcPr>
            <w:tcW w:w="8620" w:type="dxa"/>
            <w:vAlign w:val="bottom"/>
          </w:tcPr>
          <w:p>
            <w:pPr>
              <w:spacing w:after="0"/>
              <w:rPr>
                <w:sz w:val="20"/>
                <w:szCs w:val="20"/>
                <w:color w:val="auto"/>
              </w:rPr>
            </w:pPr>
            <w:r>
              <w:rPr>
                <w:rFonts w:ascii="Arial" w:cs="Arial" w:eastAsia="Arial" w:hAnsi="Arial"/>
                <w:sz w:val="18"/>
                <w:szCs w:val="18"/>
                <w:color w:val="auto"/>
              </w:rPr>
              <w:t>Comprehensive income, after tax</w:t>
            </w:r>
          </w:p>
        </w:tc>
        <w:tc>
          <w:tcPr>
            <w:tcW w:w="20" w:type="dxa"/>
            <w:vAlign w:val="bottom"/>
          </w:tcPr>
          <w:p>
            <w:pPr>
              <w:spacing w:after="0"/>
              <w:rPr>
                <w:sz w:val="19"/>
                <w:szCs w:val="19"/>
                <w:color w:val="auto"/>
              </w:rPr>
            </w:pPr>
          </w:p>
        </w:tc>
        <w:tc>
          <w:tcPr>
            <w:tcW w:w="6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64,440</w:t>
            </w:r>
          </w:p>
        </w:tc>
        <w:tc>
          <w:tcPr>
            <w:tcW w:w="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6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56,481</w:t>
            </w:r>
          </w:p>
        </w:tc>
        <w:tc>
          <w:tcPr>
            <w:tcW w:w="200" w:type="dxa"/>
            <w:vAlign w:val="bottom"/>
          </w:tcPr>
          <w:p>
            <w:pPr>
              <w:spacing w:after="0"/>
              <w:rPr>
                <w:sz w:val="19"/>
                <w:szCs w:val="19"/>
                <w:color w:val="auto"/>
              </w:rPr>
            </w:pPr>
          </w:p>
        </w:tc>
        <w:tc>
          <w:tcPr>
            <w:tcW w:w="6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54,123</w:t>
            </w:r>
          </w:p>
        </w:tc>
        <w:tc>
          <w:tcPr>
            <w:tcW w:w="120" w:type="dxa"/>
            <w:vAlign w:val="bottom"/>
          </w:tcPr>
          <w:p>
            <w:pPr>
              <w:spacing w:after="0"/>
              <w:rPr>
                <w:sz w:val="19"/>
                <w:szCs w:val="19"/>
                <w:color w:val="auto"/>
              </w:rPr>
            </w:pPr>
          </w:p>
        </w:tc>
      </w:tr>
      <w:tr>
        <w:trPr>
          <w:trHeight w:val="216"/>
        </w:trPr>
        <w:tc>
          <w:tcPr>
            <w:tcW w:w="86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Comprehensive (income) loss attributable to the noncontrolling interests</w:t>
            </w:r>
          </w:p>
        </w:tc>
        <w:tc>
          <w:tcPr>
            <w:tcW w:w="880" w:type="dxa"/>
            <w:vAlign w:val="bottom"/>
            <w:gridSpan w:val="4"/>
            <w:shd w:val="clear" w:color="auto" w:fill="CCEEFF"/>
          </w:tcPr>
          <w:p>
            <w:pPr>
              <w:jc w:val="right"/>
              <w:ind w:right="160"/>
              <w:spacing w:after="0"/>
              <w:rPr>
                <w:sz w:val="20"/>
                <w:szCs w:val="20"/>
                <w:color w:val="auto"/>
              </w:rPr>
            </w:pPr>
            <w:r>
              <w:rPr>
                <w:rFonts w:ascii="Arial" w:cs="Arial" w:eastAsia="Arial" w:hAnsi="Arial"/>
                <w:sz w:val="18"/>
                <w:szCs w:val="18"/>
                <w:color w:val="auto"/>
              </w:rPr>
              <w:t>(851)</w:t>
            </w:r>
          </w:p>
        </w:tc>
        <w:tc>
          <w:tcPr>
            <w:tcW w:w="8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168</w:t>
            </w: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(3,872)</w:t>
            </w:r>
          </w:p>
        </w:tc>
      </w:tr>
      <w:tr>
        <w:trPr>
          <w:trHeight w:val="223"/>
        </w:trPr>
        <w:tc>
          <w:tcPr>
            <w:tcW w:w="8620" w:type="dxa"/>
            <w:vAlign w:val="bottom"/>
          </w:tcPr>
          <w:p>
            <w:pPr>
              <w:spacing w:after="0"/>
              <w:rPr>
                <w:sz w:val="20"/>
                <w:szCs w:val="20"/>
                <w:color w:val="auto"/>
              </w:rPr>
            </w:pPr>
            <w:r>
              <w:rPr>
                <w:rFonts w:ascii="Arial" w:cs="Arial" w:eastAsia="Arial" w:hAnsi="Arial"/>
                <w:sz w:val="18"/>
                <w:szCs w:val="18"/>
                <w:color w:val="auto"/>
              </w:rPr>
              <w:t>Comprehensive income attributable to Textainer Group Holdings Limited common shareholders</w:t>
            </w:r>
          </w:p>
        </w:tc>
        <w:tc>
          <w:tcPr>
            <w:tcW w:w="20" w:type="dxa"/>
            <w:vAlign w:val="bottom"/>
            <w:tcBorders>
              <w:bottom w:val="single" w:sz="8" w:color="auto"/>
            </w:tcBorders>
          </w:tcPr>
          <w:p>
            <w:pPr>
              <w:spacing w:after="0"/>
              <w:rPr>
                <w:sz w:val="19"/>
                <w:szCs w:val="19"/>
                <w:color w:val="auto"/>
              </w:rPr>
            </w:pP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8"/>
              </w:rPr>
              <w:t>$ 63,589</w:t>
            </w:r>
          </w:p>
        </w:tc>
        <w:tc>
          <w:tcPr>
            <w:tcW w:w="20" w:type="dxa"/>
            <w:vAlign w:val="bottom"/>
            <w:tcBorders>
              <w:bottom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56,649</w:t>
            </w:r>
          </w:p>
        </w:tc>
        <w:tc>
          <w:tcPr>
            <w:tcW w:w="200" w:type="dxa"/>
            <w:vAlign w:val="bottom"/>
          </w:tcPr>
          <w:p>
            <w:pPr>
              <w:spacing w:after="0"/>
              <w:rPr>
                <w:sz w:val="19"/>
                <w:szCs w:val="19"/>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50,251</w:t>
            </w:r>
          </w:p>
        </w:tc>
        <w:tc>
          <w:tcPr>
            <w:tcW w:w="120" w:type="dxa"/>
            <w:vAlign w:val="bottom"/>
          </w:tcPr>
          <w:p>
            <w:pPr>
              <w:spacing w:after="0"/>
              <w:rPr>
                <w:sz w:val="19"/>
                <w:szCs w:val="19"/>
                <w:color w:val="auto"/>
              </w:rPr>
            </w:pPr>
          </w:p>
        </w:tc>
      </w:tr>
      <w:tr>
        <w:trPr>
          <w:trHeight w:val="20"/>
        </w:trPr>
        <w:tc>
          <w:tcPr>
            <w:tcW w:w="86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215"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See accompanying notes to consolidated financial statements.</w:t>
      </w:r>
    </w:p>
    <w:p>
      <w:pPr>
        <w:spacing w:after="0" w:line="158"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F-6</w:t>
      </w:r>
    </w:p>
    <w:p>
      <w:pPr>
        <w:sectPr>
          <w:pgSz w:w="11900" w:h="16838" w:orient="portrait"/>
          <w:cols w:equalWidth="0" w:num="1">
            <w:col w:w="11020"/>
          </w:cols>
          <w:pgMar w:left="440" w:top="270" w:right="439" w:bottom="1440" w:gutter="0" w:footer="0" w:header="0"/>
        </w:sectPr>
      </w:pPr>
    </w:p>
    <w:bookmarkStart w:id="120" w:name="page121"/>
    <w:bookmarkEnd w:id="120"/>
    <w:p>
      <w:pPr>
        <w:jc w:val="center"/>
        <w:ind w:right="2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TEXTAINER GROUP HOLDINGS LIMITED AND SUBSIDIARIES</w:t>
      </w:r>
    </w:p>
    <w:p>
      <w:pPr>
        <w:spacing w:after="0" w:line="229"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Consolidated Balance Sheets</w:t>
      </w:r>
    </w:p>
    <w:p>
      <w:pPr>
        <w:spacing w:after="0" w:line="23"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December 31, 2020 and 2019</w:t>
      </w:r>
    </w:p>
    <w:p>
      <w:pPr>
        <w:spacing w:after="0" w:line="9"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(All currency expressed in United States dollars in thousands)</w:t>
      </w:r>
    </w:p>
    <w:p>
      <w:pPr>
        <w:spacing w:after="0" w:line="22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9000" w:type="dxa"/>
            <w:vAlign w:val="bottom"/>
            <w:tcBorders>
              <w:bottom w:val="single" w:sz="8" w:color="CCEEFF"/>
            </w:tcBorders>
          </w:tcPr>
          <w:p>
            <w:pPr>
              <w:spacing w:after="0"/>
              <w:rPr>
                <w:sz w:val="14"/>
                <w:szCs w:val="14"/>
                <w:color w:val="auto"/>
              </w:rPr>
            </w:pPr>
          </w:p>
        </w:tc>
        <w:tc>
          <w:tcPr>
            <w:tcW w:w="20" w:type="dxa"/>
            <w:vAlign w:val="bottom"/>
            <w:tcBorders>
              <w:bottom w:val="single" w:sz="8" w:color="CCEEFF"/>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tcPr>
          <w:p>
            <w:pPr>
              <w:jc w:val="right"/>
              <w:ind w:right="170"/>
              <w:spacing w:after="0"/>
              <w:rPr>
                <w:sz w:val="20"/>
                <w:szCs w:val="20"/>
                <w:color w:val="auto"/>
              </w:rPr>
            </w:pPr>
            <w:r>
              <w:rPr>
                <w:rFonts w:ascii="Arial" w:cs="Arial" w:eastAsia="Arial" w:hAnsi="Arial"/>
                <w:sz w:val="14"/>
                <w:szCs w:val="14"/>
                <w:b w:val="1"/>
                <w:bCs w:val="1"/>
                <w:color w:val="auto"/>
              </w:rPr>
              <w:t>2020</w:t>
            </w:r>
          </w:p>
        </w:tc>
        <w:tc>
          <w:tcPr>
            <w:tcW w:w="20" w:type="dxa"/>
            <w:vAlign w:val="bottom"/>
            <w:tcBorders>
              <w:bottom w:val="single" w:sz="8" w:color="CCEEFF"/>
            </w:tcBorders>
          </w:tcPr>
          <w:p>
            <w:pPr>
              <w:spacing w:after="0"/>
              <w:rPr>
                <w:sz w:val="14"/>
                <w:szCs w:val="14"/>
                <w:color w:val="auto"/>
              </w:rPr>
            </w:pPr>
          </w:p>
        </w:tc>
        <w:tc>
          <w:tcPr>
            <w:tcW w:w="200" w:type="dxa"/>
            <w:vAlign w:val="bottom"/>
            <w:tcBorders>
              <w:bottom w:val="single" w:sz="8" w:color="CCEEFF"/>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jc w:val="right"/>
              <w:ind w:right="190"/>
              <w:spacing w:after="0"/>
              <w:rPr>
                <w:sz w:val="20"/>
                <w:szCs w:val="20"/>
                <w:color w:val="auto"/>
              </w:rPr>
            </w:pPr>
            <w:r>
              <w:rPr>
                <w:rFonts w:ascii="Arial" w:cs="Arial" w:eastAsia="Arial" w:hAnsi="Arial"/>
                <w:sz w:val="14"/>
                <w:szCs w:val="14"/>
                <w:b w:val="1"/>
                <w:bCs w:val="1"/>
                <w:color w:val="auto"/>
              </w:rPr>
              <w:t>2019</w:t>
            </w:r>
          </w:p>
        </w:tc>
        <w:tc>
          <w:tcPr>
            <w:tcW w:w="12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196"/>
        </w:trPr>
        <w:tc>
          <w:tcPr>
            <w:tcW w:w="9000" w:type="dxa"/>
            <w:vAlign w:val="bottom"/>
            <w:shd w:val="clear" w:color="auto" w:fill="CCEEFF"/>
          </w:tcPr>
          <w:p>
            <w:pPr>
              <w:ind w:left="4200"/>
              <w:spacing w:after="0" w:line="196" w:lineRule="exact"/>
              <w:rPr>
                <w:sz w:val="20"/>
                <w:szCs w:val="20"/>
                <w:color w:val="auto"/>
              </w:rPr>
            </w:pPr>
            <w:r>
              <w:rPr>
                <w:rFonts w:ascii="Arial" w:cs="Arial" w:eastAsia="Arial" w:hAnsi="Arial"/>
                <w:sz w:val="18"/>
                <w:szCs w:val="18"/>
                <w:b w:val="1"/>
                <w:bCs w:val="1"/>
                <w:color w:val="auto"/>
              </w:rPr>
              <w:t>Assets</w:t>
            </w:r>
          </w:p>
        </w:tc>
        <w:tc>
          <w:tcPr>
            <w:tcW w:w="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9000" w:type="dxa"/>
            <w:vAlign w:val="bottom"/>
          </w:tcPr>
          <w:p>
            <w:pPr>
              <w:spacing w:after="0"/>
              <w:rPr>
                <w:sz w:val="20"/>
                <w:szCs w:val="20"/>
                <w:color w:val="auto"/>
              </w:rPr>
            </w:pPr>
            <w:r>
              <w:rPr>
                <w:rFonts w:ascii="Arial" w:cs="Arial" w:eastAsia="Arial" w:hAnsi="Arial"/>
                <w:sz w:val="18"/>
                <w:szCs w:val="18"/>
                <w:color w:val="auto"/>
              </w:rPr>
              <w:t>Current assets:</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0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Cash and cash equivalents</w:t>
            </w:r>
          </w:p>
        </w:tc>
        <w:tc>
          <w:tcPr>
            <w:tcW w:w="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131,018</w:t>
            </w: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180,552</w:t>
            </w:r>
          </w:p>
        </w:tc>
        <w:tc>
          <w:tcPr>
            <w:tcW w:w="0" w:type="dxa"/>
            <w:vAlign w:val="bottom"/>
          </w:tcPr>
          <w:p>
            <w:pPr>
              <w:spacing w:after="0"/>
              <w:rPr>
                <w:sz w:val="1"/>
                <w:szCs w:val="1"/>
                <w:color w:val="auto"/>
              </w:rPr>
            </w:pPr>
          </w:p>
        </w:tc>
      </w:tr>
      <w:tr>
        <w:trPr>
          <w:trHeight w:val="216"/>
        </w:trPr>
        <w:tc>
          <w:tcPr>
            <w:tcW w:w="9000" w:type="dxa"/>
            <w:vAlign w:val="bottom"/>
          </w:tcPr>
          <w:p>
            <w:pPr>
              <w:ind w:left="360"/>
              <w:spacing w:after="0"/>
              <w:rPr>
                <w:sz w:val="20"/>
                <w:szCs w:val="20"/>
                <w:color w:val="auto"/>
              </w:rPr>
            </w:pPr>
            <w:r>
              <w:rPr>
                <w:rFonts w:ascii="Arial" w:cs="Arial" w:eastAsia="Arial" w:hAnsi="Arial"/>
                <w:sz w:val="18"/>
                <w:szCs w:val="18"/>
                <w:color w:val="auto"/>
              </w:rPr>
              <w:t>Accounts receivable, net of allowance of $2,663 and $6,299, respectively</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gridSpan w:val="2"/>
          </w:tcPr>
          <w:p>
            <w:pPr>
              <w:jc w:val="right"/>
              <w:ind w:right="20"/>
              <w:spacing w:after="0"/>
              <w:rPr>
                <w:sz w:val="20"/>
                <w:szCs w:val="20"/>
                <w:color w:val="auto"/>
              </w:rPr>
            </w:pPr>
            <w:r>
              <w:rPr>
                <w:rFonts w:ascii="Arial" w:cs="Arial" w:eastAsia="Arial" w:hAnsi="Arial"/>
                <w:sz w:val="18"/>
                <w:szCs w:val="18"/>
                <w:color w:val="auto"/>
              </w:rPr>
              <w:t>108,578</w:t>
            </w: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rPr>
              <w:t>109,384</w:t>
            </w:r>
          </w:p>
        </w:tc>
        <w:tc>
          <w:tcPr>
            <w:tcW w:w="0" w:type="dxa"/>
            <w:vAlign w:val="bottom"/>
          </w:tcPr>
          <w:p>
            <w:pPr>
              <w:spacing w:after="0"/>
              <w:rPr>
                <w:sz w:val="1"/>
                <w:szCs w:val="1"/>
                <w:color w:val="auto"/>
              </w:rPr>
            </w:pPr>
          </w:p>
        </w:tc>
      </w:tr>
      <w:tr>
        <w:trPr>
          <w:trHeight w:val="216"/>
        </w:trPr>
        <w:tc>
          <w:tcPr>
            <w:tcW w:w="90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Net investment in finance leases, net of allowance of $169 and $0, respectively</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78,459</w:t>
            </w:r>
          </w:p>
        </w:tc>
        <w:tc>
          <w:tcPr>
            <w:tcW w:w="12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40,940</w:t>
            </w:r>
          </w:p>
        </w:tc>
        <w:tc>
          <w:tcPr>
            <w:tcW w:w="0" w:type="dxa"/>
            <w:vAlign w:val="bottom"/>
          </w:tcPr>
          <w:p>
            <w:pPr>
              <w:spacing w:after="0"/>
              <w:rPr>
                <w:sz w:val="1"/>
                <w:szCs w:val="1"/>
                <w:color w:val="auto"/>
              </w:rPr>
            </w:pPr>
          </w:p>
        </w:tc>
      </w:tr>
      <w:tr>
        <w:trPr>
          <w:trHeight w:val="216"/>
        </w:trPr>
        <w:tc>
          <w:tcPr>
            <w:tcW w:w="9000" w:type="dxa"/>
            <w:vAlign w:val="bottom"/>
          </w:tcPr>
          <w:p>
            <w:pPr>
              <w:ind w:left="360"/>
              <w:spacing w:after="0"/>
              <w:rPr>
                <w:sz w:val="20"/>
                <w:szCs w:val="20"/>
                <w:color w:val="auto"/>
              </w:rPr>
            </w:pPr>
            <w:r>
              <w:rPr>
                <w:rFonts w:ascii="Arial" w:cs="Arial" w:eastAsia="Arial" w:hAnsi="Arial"/>
                <w:sz w:val="18"/>
                <w:szCs w:val="18"/>
                <w:color w:val="auto"/>
              </w:rPr>
              <w:t>Container leaseback financing receivable, net of allowance of $98 and $0, respectively</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40" w:type="dxa"/>
            <w:vAlign w:val="bottom"/>
            <w:gridSpan w:val="3"/>
          </w:tcPr>
          <w:p>
            <w:pPr>
              <w:jc w:val="right"/>
              <w:ind w:right="220"/>
              <w:spacing w:after="0"/>
              <w:rPr>
                <w:sz w:val="20"/>
                <w:szCs w:val="20"/>
                <w:color w:val="auto"/>
              </w:rPr>
            </w:pPr>
            <w:r>
              <w:rPr>
                <w:rFonts w:ascii="Arial" w:cs="Arial" w:eastAsia="Arial" w:hAnsi="Arial"/>
                <w:sz w:val="18"/>
                <w:szCs w:val="18"/>
                <w:color w:val="auto"/>
              </w:rPr>
              <w:t>27,076</w:t>
            </w:r>
          </w:p>
        </w:tc>
        <w:tc>
          <w:tcPr>
            <w:tcW w:w="120" w:type="dxa"/>
            <w:vAlign w:val="bottom"/>
          </w:tcPr>
          <w:p>
            <w:pPr>
              <w:spacing w:after="0"/>
              <w:rPr>
                <w:sz w:val="18"/>
                <w:szCs w:val="18"/>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rPr>
              <w:t>20,547</w:t>
            </w:r>
          </w:p>
        </w:tc>
        <w:tc>
          <w:tcPr>
            <w:tcW w:w="0" w:type="dxa"/>
            <w:vAlign w:val="bottom"/>
          </w:tcPr>
          <w:p>
            <w:pPr>
              <w:spacing w:after="0"/>
              <w:rPr>
                <w:sz w:val="1"/>
                <w:szCs w:val="1"/>
                <w:color w:val="auto"/>
              </w:rPr>
            </w:pPr>
          </w:p>
        </w:tc>
      </w:tr>
      <w:tr>
        <w:trPr>
          <w:trHeight w:val="216"/>
        </w:trPr>
        <w:tc>
          <w:tcPr>
            <w:tcW w:w="90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Trading containers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9,375</w:t>
            </w: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11,330</w:t>
            </w:r>
          </w:p>
        </w:tc>
        <w:tc>
          <w:tcPr>
            <w:tcW w:w="0" w:type="dxa"/>
            <w:vAlign w:val="bottom"/>
          </w:tcPr>
          <w:p>
            <w:pPr>
              <w:spacing w:after="0"/>
              <w:rPr>
                <w:sz w:val="1"/>
                <w:szCs w:val="1"/>
                <w:color w:val="auto"/>
              </w:rPr>
            </w:pPr>
          </w:p>
        </w:tc>
      </w:tr>
      <w:tr>
        <w:trPr>
          <w:trHeight w:val="216"/>
        </w:trPr>
        <w:tc>
          <w:tcPr>
            <w:tcW w:w="9000" w:type="dxa"/>
            <w:vAlign w:val="bottom"/>
          </w:tcPr>
          <w:p>
            <w:pPr>
              <w:ind w:left="360"/>
              <w:spacing w:after="0"/>
              <w:rPr>
                <w:sz w:val="20"/>
                <w:szCs w:val="20"/>
                <w:color w:val="auto"/>
              </w:rPr>
            </w:pPr>
            <w:r>
              <w:rPr>
                <w:rFonts w:ascii="Arial" w:cs="Arial" w:eastAsia="Arial" w:hAnsi="Arial"/>
                <w:sz w:val="18"/>
                <w:szCs w:val="18"/>
                <w:color w:val="auto"/>
              </w:rPr>
              <w:t>Containers held for sale</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40" w:type="dxa"/>
            <w:vAlign w:val="bottom"/>
            <w:gridSpan w:val="3"/>
          </w:tcPr>
          <w:p>
            <w:pPr>
              <w:jc w:val="right"/>
              <w:ind w:right="220"/>
              <w:spacing w:after="0"/>
              <w:rPr>
                <w:sz w:val="20"/>
                <w:szCs w:val="20"/>
                <w:color w:val="auto"/>
              </w:rPr>
            </w:pPr>
            <w:r>
              <w:rPr>
                <w:rFonts w:ascii="Arial" w:cs="Arial" w:eastAsia="Arial" w:hAnsi="Arial"/>
                <w:sz w:val="18"/>
                <w:szCs w:val="18"/>
                <w:color w:val="auto"/>
              </w:rPr>
              <w:t>15,629</w:t>
            </w:r>
          </w:p>
        </w:tc>
        <w:tc>
          <w:tcPr>
            <w:tcW w:w="120" w:type="dxa"/>
            <w:vAlign w:val="bottom"/>
          </w:tcPr>
          <w:p>
            <w:pPr>
              <w:spacing w:after="0"/>
              <w:rPr>
                <w:sz w:val="18"/>
                <w:szCs w:val="18"/>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rPr>
              <w:t>41,884</w:t>
            </w:r>
          </w:p>
        </w:tc>
        <w:tc>
          <w:tcPr>
            <w:tcW w:w="0" w:type="dxa"/>
            <w:vAlign w:val="bottom"/>
          </w:tcPr>
          <w:p>
            <w:pPr>
              <w:spacing w:after="0"/>
              <w:rPr>
                <w:sz w:val="1"/>
                <w:szCs w:val="1"/>
                <w:color w:val="auto"/>
              </w:rPr>
            </w:pPr>
          </w:p>
        </w:tc>
      </w:tr>
      <w:tr>
        <w:trPr>
          <w:trHeight w:val="216"/>
        </w:trPr>
        <w:tc>
          <w:tcPr>
            <w:tcW w:w="90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Prepaid expenses and other current assets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13,713</w:t>
            </w:r>
          </w:p>
        </w:tc>
        <w:tc>
          <w:tcPr>
            <w:tcW w:w="12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14,816</w:t>
            </w:r>
          </w:p>
        </w:tc>
        <w:tc>
          <w:tcPr>
            <w:tcW w:w="0" w:type="dxa"/>
            <w:vAlign w:val="bottom"/>
          </w:tcPr>
          <w:p>
            <w:pPr>
              <w:spacing w:after="0"/>
              <w:rPr>
                <w:sz w:val="1"/>
                <w:szCs w:val="1"/>
                <w:color w:val="auto"/>
              </w:rPr>
            </w:pPr>
          </w:p>
        </w:tc>
      </w:tr>
      <w:tr>
        <w:trPr>
          <w:trHeight w:val="216"/>
        </w:trPr>
        <w:tc>
          <w:tcPr>
            <w:tcW w:w="9000" w:type="dxa"/>
            <w:vAlign w:val="bottom"/>
          </w:tcPr>
          <w:p>
            <w:pPr>
              <w:ind w:left="360"/>
              <w:spacing w:after="0"/>
              <w:rPr>
                <w:sz w:val="20"/>
                <w:szCs w:val="20"/>
                <w:color w:val="auto"/>
              </w:rPr>
            </w:pPr>
            <w:r>
              <w:rPr>
                <w:rFonts w:ascii="Arial" w:cs="Arial" w:eastAsia="Arial" w:hAnsi="Arial"/>
                <w:sz w:val="18"/>
                <w:szCs w:val="18"/>
                <w:color w:val="auto"/>
              </w:rPr>
              <w:t>Due from affiliates, net</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20" w:type="dxa"/>
            <w:vAlign w:val="bottom"/>
          </w:tcPr>
          <w:p>
            <w:pPr>
              <w:jc w:val="right"/>
              <w:spacing w:after="0"/>
              <w:rPr>
                <w:sz w:val="20"/>
                <w:szCs w:val="20"/>
                <w:color w:val="auto"/>
              </w:rPr>
            </w:pPr>
            <w:r>
              <w:rPr>
                <w:rFonts w:ascii="Arial" w:cs="Arial" w:eastAsia="Arial" w:hAnsi="Arial"/>
                <w:sz w:val="18"/>
                <w:szCs w:val="18"/>
                <w:color w:val="auto"/>
              </w:rPr>
              <w:t>1,509</w:t>
            </w:r>
          </w:p>
        </w:tc>
        <w:tc>
          <w:tcPr>
            <w:tcW w:w="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rPr>
              <w:t>1,880</w:t>
            </w:r>
          </w:p>
        </w:tc>
        <w:tc>
          <w:tcPr>
            <w:tcW w:w="0" w:type="dxa"/>
            <w:vAlign w:val="bottom"/>
          </w:tcPr>
          <w:p>
            <w:pPr>
              <w:spacing w:after="0"/>
              <w:rPr>
                <w:sz w:val="1"/>
                <w:szCs w:val="1"/>
                <w:color w:val="auto"/>
              </w:rPr>
            </w:pPr>
          </w:p>
        </w:tc>
      </w:tr>
      <w:tr>
        <w:trPr>
          <w:trHeight w:val="27"/>
        </w:trPr>
        <w:tc>
          <w:tcPr>
            <w:tcW w:w="9000" w:type="dxa"/>
            <w:vAlign w:val="bottom"/>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2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9000" w:type="dxa"/>
            <w:vAlign w:val="bottom"/>
            <w:shd w:val="clear" w:color="auto" w:fill="CCEEFF"/>
          </w:tcPr>
          <w:p>
            <w:pPr>
              <w:ind w:left="720"/>
              <w:spacing w:after="0"/>
              <w:rPr>
                <w:sz w:val="20"/>
                <w:szCs w:val="20"/>
                <w:color w:val="auto"/>
              </w:rPr>
            </w:pPr>
            <w:r>
              <w:rPr>
                <w:rFonts w:ascii="Arial" w:cs="Arial" w:eastAsia="Arial" w:hAnsi="Arial"/>
                <w:sz w:val="18"/>
                <w:szCs w:val="18"/>
                <w:color w:val="auto"/>
              </w:rPr>
              <w:t>Total current assets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385,357</w:t>
            </w:r>
          </w:p>
        </w:tc>
        <w:tc>
          <w:tcPr>
            <w:tcW w:w="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421,333</w:t>
            </w:r>
          </w:p>
        </w:tc>
        <w:tc>
          <w:tcPr>
            <w:tcW w:w="0" w:type="dxa"/>
            <w:vAlign w:val="bottom"/>
          </w:tcPr>
          <w:p>
            <w:pPr>
              <w:spacing w:after="0"/>
              <w:rPr>
                <w:sz w:val="1"/>
                <w:szCs w:val="1"/>
                <w:color w:val="auto"/>
              </w:rPr>
            </w:pPr>
          </w:p>
        </w:tc>
      </w:tr>
      <w:tr>
        <w:trPr>
          <w:trHeight w:val="216"/>
        </w:trPr>
        <w:tc>
          <w:tcPr>
            <w:tcW w:w="9000" w:type="dxa"/>
            <w:vAlign w:val="bottom"/>
          </w:tcPr>
          <w:p>
            <w:pPr>
              <w:spacing w:after="0"/>
              <w:rPr>
                <w:sz w:val="20"/>
                <w:szCs w:val="20"/>
                <w:color w:val="auto"/>
              </w:rPr>
            </w:pPr>
            <w:r>
              <w:rPr>
                <w:rFonts w:ascii="Arial" w:cs="Arial" w:eastAsia="Arial" w:hAnsi="Arial"/>
                <w:sz w:val="18"/>
                <w:szCs w:val="18"/>
                <w:color w:val="auto"/>
              </w:rPr>
              <w:t>Restricted cash</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40" w:type="dxa"/>
            <w:vAlign w:val="bottom"/>
            <w:gridSpan w:val="3"/>
          </w:tcPr>
          <w:p>
            <w:pPr>
              <w:jc w:val="right"/>
              <w:ind w:right="220"/>
              <w:spacing w:after="0"/>
              <w:rPr>
                <w:sz w:val="20"/>
                <w:szCs w:val="20"/>
                <w:color w:val="auto"/>
              </w:rPr>
            </w:pPr>
            <w:r>
              <w:rPr>
                <w:rFonts w:ascii="Arial" w:cs="Arial" w:eastAsia="Arial" w:hAnsi="Arial"/>
                <w:sz w:val="18"/>
                <w:szCs w:val="18"/>
                <w:color w:val="auto"/>
              </w:rPr>
              <w:t>74,147</w:t>
            </w:r>
          </w:p>
        </w:tc>
        <w:tc>
          <w:tcPr>
            <w:tcW w:w="120" w:type="dxa"/>
            <w:vAlign w:val="bottom"/>
          </w:tcPr>
          <w:p>
            <w:pPr>
              <w:spacing w:after="0"/>
              <w:rPr>
                <w:sz w:val="18"/>
                <w:szCs w:val="18"/>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rPr>
              <w:t>97,353</w:t>
            </w:r>
          </w:p>
        </w:tc>
        <w:tc>
          <w:tcPr>
            <w:tcW w:w="0" w:type="dxa"/>
            <w:vAlign w:val="bottom"/>
          </w:tcPr>
          <w:p>
            <w:pPr>
              <w:spacing w:after="0"/>
              <w:rPr>
                <w:sz w:val="1"/>
                <w:szCs w:val="1"/>
                <w:color w:val="auto"/>
              </w:rPr>
            </w:pPr>
          </w:p>
        </w:tc>
      </w:tr>
      <w:tr>
        <w:trPr>
          <w:trHeight w:val="216"/>
        </w:trPr>
        <w:tc>
          <w:tcPr>
            <w:tcW w:w="9000" w:type="dxa"/>
            <w:vAlign w:val="bottom"/>
            <w:shd w:val="clear" w:color="auto" w:fill="CCEEFF"/>
          </w:tcPr>
          <w:p>
            <w:pPr>
              <w:spacing w:after="0"/>
              <w:rPr>
                <w:sz w:val="20"/>
                <w:szCs w:val="20"/>
                <w:color w:val="auto"/>
              </w:rPr>
            </w:pPr>
            <w:r>
              <w:rPr>
                <w:rFonts w:ascii="Arial" w:cs="Arial" w:eastAsia="Arial" w:hAnsi="Arial"/>
                <w:sz w:val="18"/>
                <w:szCs w:val="18"/>
                <w:color w:val="auto"/>
              </w:rPr>
              <w:t>Containers, net of accumulated depreciation of $1,619,591 and $1,443,167, respectively</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w w:val="87"/>
              </w:rPr>
              <w:t>4,125,052</w:t>
            </w: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9"/>
              </w:rPr>
              <w:t>4,156,151</w:t>
            </w:r>
          </w:p>
        </w:tc>
        <w:tc>
          <w:tcPr>
            <w:tcW w:w="0" w:type="dxa"/>
            <w:vAlign w:val="bottom"/>
          </w:tcPr>
          <w:p>
            <w:pPr>
              <w:spacing w:after="0"/>
              <w:rPr>
                <w:sz w:val="1"/>
                <w:szCs w:val="1"/>
                <w:color w:val="auto"/>
              </w:rPr>
            </w:pPr>
          </w:p>
        </w:tc>
      </w:tr>
      <w:tr>
        <w:trPr>
          <w:trHeight w:val="216"/>
        </w:trPr>
        <w:tc>
          <w:tcPr>
            <w:tcW w:w="9000" w:type="dxa"/>
            <w:vAlign w:val="bottom"/>
          </w:tcPr>
          <w:p>
            <w:pPr>
              <w:spacing w:after="0"/>
              <w:rPr>
                <w:sz w:val="20"/>
                <w:szCs w:val="20"/>
                <w:color w:val="auto"/>
              </w:rPr>
            </w:pPr>
            <w:r>
              <w:rPr>
                <w:rFonts w:ascii="Arial" w:cs="Arial" w:eastAsia="Arial" w:hAnsi="Arial"/>
                <w:sz w:val="18"/>
                <w:szCs w:val="18"/>
                <w:color w:val="auto"/>
              </w:rPr>
              <w:t>Net investment in finance leases, net of allowance of $1,164 and $0, respectively</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gridSpan w:val="2"/>
          </w:tcPr>
          <w:p>
            <w:pPr>
              <w:jc w:val="right"/>
              <w:ind w:right="20"/>
              <w:spacing w:after="0"/>
              <w:rPr>
                <w:sz w:val="20"/>
                <w:szCs w:val="20"/>
                <w:color w:val="auto"/>
              </w:rPr>
            </w:pPr>
            <w:r>
              <w:rPr>
                <w:rFonts w:ascii="Arial" w:cs="Arial" w:eastAsia="Arial" w:hAnsi="Arial"/>
                <w:sz w:val="18"/>
                <w:szCs w:val="18"/>
                <w:color w:val="auto"/>
              </w:rPr>
              <w:t>801,501</w:t>
            </w: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rPr>
              <w:t>254,363</w:t>
            </w:r>
          </w:p>
        </w:tc>
        <w:tc>
          <w:tcPr>
            <w:tcW w:w="0" w:type="dxa"/>
            <w:vAlign w:val="bottom"/>
          </w:tcPr>
          <w:p>
            <w:pPr>
              <w:spacing w:after="0"/>
              <w:rPr>
                <w:sz w:val="1"/>
                <w:szCs w:val="1"/>
                <w:color w:val="auto"/>
              </w:rPr>
            </w:pPr>
          </w:p>
        </w:tc>
      </w:tr>
      <w:tr>
        <w:trPr>
          <w:trHeight w:val="216"/>
        </w:trPr>
        <w:tc>
          <w:tcPr>
            <w:tcW w:w="9000" w:type="dxa"/>
            <w:vAlign w:val="bottom"/>
            <w:shd w:val="clear" w:color="auto" w:fill="CCEEFF"/>
          </w:tcPr>
          <w:p>
            <w:pPr>
              <w:spacing w:after="0"/>
              <w:rPr>
                <w:sz w:val="20"/>
                <w:szCs w:val="20"/>
                <w:color w:val="auto"/>
              </w:rPr>
            </w:pPr>
            <w:r>
              <w:rPr>
                <w:rFonts w:ascii="Arial" w:cs="Arial" w:eastAsia="Arial" w:hAnsi="Arial"/>
                <w:sz w:val="18"/>
                <w:szCs w:val="18"/>
                <w:color w:val="auto"/>
              </w:rPr>
              <w:t>Container leaseback financing receivable, net of allowance of $326 and $0, respectively</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336,792</w:t>
            </w: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251,111</w:t>
            </w:r>
          </w:p>
        </w:tc>
        <w:tc>
          <w:tcPr>
            <w:tcW w:w="0" w:type="dxa"/>
            <w:vAlign w:val="bottom"/>
          </w:tcPr>
          <w:p>
            <w:pPr>
              <w:spacing w:after="0"/>
              <w:rPr>
                <w:sz w:val="1"/>
                <w:szCs w:val="1"/>
                <w:color w:val="auto"/>
              </w:rPr>
            </w:pPr>
          </w:p>
        </w:tc>
      </w:tr>
      <w:tr>
        <w:trPr>
          <w:trHeight w:val="216"/>
        </w:trPr>
        <w:tc>
          <w:tcPr>
            <w:tcW w:w="9000" w:type="dxa"/>
            <w:vAlign w:val="bottom"/>
          </w:tcPr>
          <w:p>
            <w:pPr>
              <w:spacing w:after="0"/>
              <w:rPr>
                <w:sz w:val="20"/>
                <w:szCs w:val="20"/>
                <w:color w:val="auto"/>
              </w:rPr>
            </w:pPr>
            <w:r>
              <w:rPr>
                <w:rFonts w:ascii="Arial" w:cs="Arial" w:eastAsia="Arial" w:hAnsi="Arial"/>
                <w:sz w:val="18"/>
                <w:szCs w:val="18"/>
                <w:color w:val="auto"/>
              </w:rPr>
              <w:t>Fixed assets, net of accumulated depreciation of $12,918 and $12,266, respectively</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40" w:type="dxa"/>
            <w:vAlign w:val="bottom"/>
            <w:gridSpan w:val="3"/>
          </w:tcPr>
          <w:p>
            <w:pPr>
              <w:jc w:val="right"/>
              <w:ind w:right="220"/>
              <w:spacing w:after="0"/>
              <w:rPr>
                <w:sz w:val="20"/>
                <w:szCs w:val="20"/>
                <w:color w:val="auto"/>
              </w:rPr>
            </w:pPr>
            <w:r>
              <w:rPr>
                <w:rFonts w:ascii="Arial" w:cs="Arial" w:eastAsia="Arial" w:hAnsi="Arial"/>
                <w:sz w:val="18"/>
                <w:szCs w:val="18"/>
                <w:color w:val="auto"/>
              </w:rPr>
              <w:t>746</w:t>
            </w:r>
          </w:p>
        </w:tc>
        <w:tc>
          <w:tcPr>
            <w:tcW w:w="120" w:type="dxa"/>
            <w:vAlign w:val="bottom"/>
          </w:tcPr>
          <w:p>
            <w:pPr>
              <w:spacing w:after="0"/>
              <w:rPr>
                <w:sz w:val="18"/>
                <w:szCs w:val="18"/>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rPr>
              <w:t>1,128</w:t>
            </w:r>
          </w:p>
        </w:tc>
        <w:tc>
          <w:tcPr>
            <w:tcW w:w="0" w:type="dxa"/>
            <w:vAlign w:val="bottom"/>
          </w:tcPr>
          <w:p>
            <w:pPr>
              <w:spacing w:after="0"/>
              <w:rPr>
                <w:sz w:val="1"/>
                <w:szCs w:val="1"/>
                <w:color w:val="auto"/>
              </w:rPr>
            </w:pPr>
          </w:p>
        </w:tc>
      </w:tr>
      <w:tr>
        <w:trPr>
          <w:trHeight w:val="216"/>
        </w:trPr>
        <w:tc>
          <w:tcPr>
            <w:tcW w:w="9000" w:type="dxa"/>
            <w:vAlign w:val="bottom"/>
            <w:shd w:val="clear" w:color="auto" w:fill="CCEEFF"/>
          </w:tcPr>
          <w:p>
            <w:pPr>
              <w:spacing w:after="0"/>
              <w:rPr>
                <w:sz w:val="20"/>
                <w:szCs w:val="20"/>
                <w:color w:val="auto"/>
              </w:rPr>
            </w:pPr>
            <w:r>
              <w:rPr>
                <w:rFonts w:ascii="Arial" w:cs="Arial" w:eastAsia="Arial" w:hAnsi="Arial"/>
                <w:sz w:val="18"/>
                <w:szCs w:val="18"/>
                <w:color w:val="auto"/>
              </w:rPr>
              <w:t>Intangible assets, net of accumulated amortization of $47,931 and $45,359, respectively</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2,719</w:t>
            </w: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5,291</w:t>
            </w:r>
          </w:p>
        </w:tc>
        <w:tc>
          <w:tcPr>
            <w:tcW w:w="0" w:type="dxa"/>
            <w:vAlign w:val="bottom"/>
          </w:tcPr>
          <w:p>
            <w:pPr>
              <w:spacing w:after="0"/>
              <w:rPr>
                <w:sz w:val="1"/>
                <w:szCs w:val="1"/>
                <w:color w:val="auto"/>
              </w:rPr>
            </w:pPr>
          </w:p>
        </w:tc>
      </w:tr>
      <w:tr>
        <w:trPr>
          <w:trHeight w:val="216"/>
        </w:trPr>
        <w:tc>
          <w:tcPr>
            <w:tcW w:w="9000" w:type="dxa"/>
            <w:vAlign w:val="bottom"/>
          </w:tcPr>
          <w:p>
            <w:pPr>
              <w:spacing w:after="0"/>
              <w:rPr>
                <w:sz w:val="20"/>
                <w:szCs w:val="20"/>
                <w:color w:val="auto"/>
              </w:rPr>
            </w:pPr>
            <w:r>
              <w:rPr>
                <w:rFonts w:ascii="Arial" w:cs="Arial" w:eastAsia="Arial" w:hAnsi="Arial"/>
                <w:sz w:val="18"/>
                <w:szCs w:val="18"/>
                <w:color w:val="auto"/>
              </w:rPr>
              <w:t>Derivative instruments</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gridSpan w:val="2"/>
          </w:tcPr>
          <w:p>
            <w:pPr>
              <w:jc w:val="right"/>
              <w:ind w:right="20"/>
              <w:spacing w:after="0"/>
              <w:rPr>
                <w:sz w:val="20"/>
                <w:szCs w:val="20"/>
                <w:color w:val="auto"/>
              </w:rPr>
            </w:pPr>
            <w:r>
              <w:rPr>
                <w:rFonts w:ascii="Arial" w:cs="Arial" w:eastAsia="Arial" w:hAnsi="Arial"/>
                <w:sz w:val="18"/>
                <w:szCs w:val="18"/>
                <w:color w:val="auto"/>
              </w:rPr>
              <w:t>47</w:t>
            </w: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rPr>
              <w:t>135</w:t>
            </w:r>
          </w:p>
        </w:tc>
        <w:tc>
          <w:tcPr>
            <w:tcW w:w="0" w:type="dxa"/>
            <w:vAlign w:val="bottom"/>
          </w:tcPr>
          <w:p>
            <w:pPr>
              <w:spacing w:after="0"/>
              <w:rPr>
                <w:sz w:val="1"/>
                <w:szCs w:val="1"/>
                <w:color w:val="auto"/>
              </w:rPr>
            </w:pPr>
          </w:p>
        </w:tc>
      </w:tr>
      <w:tr>
        <w:trPr>
          <w:trHeight w:val="216"/>
        </w:trPr>
        <w:tc>
          <w:tcPr>
            <w:tcW w:w="9000" w:type="dxa"/>
            <w:vAlign w:val="bottom"/>
            <w:shd w:val="clear" w:color="auto" w:fill="CCEEFF"/>
          </w:tcPr>
          <w:p>
            <w:pPr>
              <w:spacing w:after="0"/>
              <w:rPr>
                <w:sz w:val="20"/>
                <w:szCs w:val="20"/>
                <w:color w:val="auto"/>
              </w:rPr>
            </w:pPr>
            <w:r>
              <w:rPr>
                <w:rFonts w:ascii="Arial" w:cs="Arial" w:eastAsia="Arial" w:hAnsi="Arial"/>
                <w:sz w:val="18"/>
                <w:szCs w:val="18"/>
                <w:color w:val="auto"/>
              </w:rPr>
              <w:t>Deferred taxes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1,153</w:t>
            </w: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1,388</w:t>
            </w:r>
          </w:p>
        </w:tc>
        <w:tc>
          <w:tcPr>
            <w:tcW w:w="0" w:type="dxa"/>
            <w:vAlign w:val="bottom"/>
          </w:tcPr>
          <w:p>
            <w:pPr>
              <w:spacing w:after="0"/>
              <w:rPr>
                <w:sz w:val="1"/>
                <w:szCs w:val="1"/>
                <w:color w:val="auto"/>
              </w:rPr>
            </w:pPr>
          </w:p>
        </w:tc>
      </w:tr>
      <w:tr>
        <w:trPr>
          <w:trHeight w:val="216"/>
        </w:trPr>
        <w:tc>
          <w:tcPr>
            <w:tcW w:w="9000" w:type="dxa"/>
            <w:vAlign w:val="bottom"/>
          </w:tcPr>
          <w:p>
            <w:pPr>
              <w:spacing w:after="0"/>
              <w:rPr>
                <w:sz w:val="20"/>
                <w:szCs w:val="20"/>
                <w:color w:val="auto"/>
              </w:rPr>
            </w:pPr>
            <w:r>
              <w:rPr>
                <w:rFonts w:ascii="Arial" w:cs="Arial" w:eastAsia="Arial" w:hAnsi="Arial"/>
                <w:sz w:val="18"/>
                <w:szCs w:val="18"/>
                <w:color w:val="auto"/>
              </w:rPr>
              <w:t>Other assets</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40" w:type="dxa"/>
            <w:vAlign w:val="bottom"/>
            <w:gridSpan w:val="3"/>
          </w:tcPr>
          <w:p>
            <w:pPr>
              <w:jc w:val="right"/>
              <w:ind w:right="220"/>
              <w:spacing w:after="0"/>
              <w:rPr>
                <w:sz w:val="20"/>
                <w:szCs w:val="20"/>
                <w:color w:val="auto"/>
              </w:rPr>
            </w:pPr>
            <w:r>
              <w:rPr>
                <w:rFonts w:ascii="Arial" w:cs="Arial" w:eastAsia="Arial" w:hAnsi="Arial"/>
                <w:sz w:val="18"/>
                <w:szCs w:val="18"/>
                <w:color w:val="auto"/>
              </w:rPr>
              <w:t>13,862</w:t>
            </w:r>
          </w:p>
        </w:tc>
        <w:tc>
          <w:tcPr>
            <w:tcW w:w="120" w:type="dxa"/>
            <w:vAlign w:val="bottom"/>
          </w:tcPr>
          <w:p>
            <w:pPr>
              <w:spacing w:after="0"/>
              <w:rPr>
                <w:sz w:val="18"/>
                <w:szCs w:val="18"/>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rPr>
              <w:t>14,364</w:t>
            </w:r>
          </w:p>
        </w:tc>
        <w:tc>
          <w:tcPr>
            <w:tcW w:w="0" w:type="dxa"/>
            <w:vAlign w:val="bottom"/>
          </w:tcPr>
          <w:p>
            <w:pPr>
              <w:spacing w:after="0"/>
              <w:rPr>
                <w:sz w:val="1"/>
                <w:szCs w:val="1"/>
                <w:color w:val="auto"/>
              </w:rPr>
            </w:pPr>
          </w:p>
        </w:tc>
      </w:tr>
      <w:tr>
        <w:trPr>
          <w:trHeight w:val="27"/>
        </w:trPr>
        <w:tc>
          <w:tcPr>
            <w:tcW w:w="9000" w:type="dxa"/>
            <w:vAlign w:val="bottom"/>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2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9000" w:type="dxa"/>
            <w:vAlign w:val="bottom"/>
            <w:shd w:val="clear" w:color="auto" w:fill="CCEEFF"/>
          </w:tcPr>
          <w:p>
            <w:pPr>
              <w:ind w:left="720"/>
              <w:spacing w:after="0"/>
              <w:rPr>
                <w:sz w:val="20"/>
                <w:szCs w:val="20"/>
                <w:color w:val="auto"/>
              </w:rPr>
            </w:pPr>
            <w:r>
              <w:rPr>
                <w:rFonts w:ascii="Arial" w:cs="Arial" w:eastAsia="Arial" w:hAnsi="Arial"/>
                <w:sz w:val="18"/>
                <w:szCs w:val="18"/>
                <w:color w:val="auto"/>
              </w:rPr>
              <w:t>Total assets</w:t>
            </w:r>
          </w:p>
        </w:tc>
        <w:tc>
          <w:tcPr>
            <w:tcW w:w="10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w w:val="87"/>
              </w:rPr>
              <w:t>5,741,376</w:t>
            </w: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9"/>
              </w:rPr>
              <w:t>5,202,617</w:t>
            </w:r>
          </w:p>
        </w:tc>
        <w:tc>
          <w:tcPr>
            <w:tcW w:w="0" w:type="dxa"/>
            <w:vAlign w:val="bottom"/>
          </w:tcPr>
          <w:p>
            <w:pPr>
              <w:spacing w:after="0"/>
              <w:rPr>
                <w:sz w:val="1"/>
                <w:szCs w:val="1"/>
                <w:color w:val="auto"/>
              </w:rPr>
            </w:pPr>
          </w:p>
        </w:tc>
      </w:tr>
      <w:tr>
        <w:trPr>
          <w:trHeight w:val="20"/>
        </w:trPr>
        <w:tc>
          <w:tcPr>
            <w:tcW w:w="9000" w:type="dxa"/>
            <w:vAlign w:val="bottom"/>
            <w:vMerge w:val="restart"/>
          </w:tcPr>
          <w:p>
            <w:pPr>
              <w:ind w:left="3600"/>
              <w:spacing w:after="0"/>
              <w:rPr>
                <w:sz w:val="20"/>
                <w:szCs w:val="20"/>
                <w:color w:val="auto"/>
              </w:rPr>
            </w:pPr>
            <w:r>
              <w:rPr>
                <w:rFonts w:ascii="Arial" w:cs="Arial" w:eastAsia="Arial" w:hAnsi="Arial"/>
                <w:sz w:val="18"/>
                <w:szCs w:val="18"/>
                <w:b w:val="1"/>
                <w:bCs w:val="1"/>
                <w:color w:val="auto"/>
              </w:rPr>
              <w:t>Liabilities and Equity</w:t>
            </w:r>
          </w:p>
        </w:tc>
        <w:tc>
          <w:tcPr>
            <w:tcW w:w="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9000" w:type="dxa"/>
            <w:vAlign w:val="bottom"/>
            <w:vMerge w:val="continue"/>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000" w:type="dxa"/>
            <w:vAlign w:val="bottom"/>
            <w:shd w:val="clear" w:color="auto" w:fill="CCEEFF"/>
          </w:tcPr>
          <w:p>
            <w:pPr>
              <w:spacing w:after="0"/>
              <w:rPr>
                <w:sz w:val="20"/>
                <w:szCs w:val="20"/>
                <w:color w:val="auto"/>
              </w:rPr>
            </w:pPr>
            <w:r>
              <w:rPr>
                <w:rFonts w:ascii="Arial" w:cs="Arial" w:eastAsia="Arial" w:hAnsi="Arial"/>
                <w:sz w:val="18"/>
                <w:szCs w:val="18"/>
                <w:color w:val="auto"/>
              </w:rPr>
              <w:t>Current liabilities: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000" w:type="dxa"/>
            <w:vAlign w:val="bottom"/>
          </w:tcPr>
          <w:p>
            <w:pPr>
              <w:ind w:left="360"/>
              <w:spacing w:after="0"/>
              <w:rPr>
                <w:sz w:val="20"/>
                <w:szCs w:val="20"/>
                <w:color w:val="auto"/>
              </w:rPr>
            </w:pPr>
            <w:r>
              <w:rPr>
                <w:rFonts w:ascii="Arial" w:cs="Arial" w:eastAsia="Arial" w:hAnsi="Arial"/>
                <w:sz w:val="18"/>
                <w:szCs w:val="18"/>
                <w:color w:val="auto"/>
              </w:rPr>
              <w:t>Accounts payable and accrued expenses</w:t>
            </w:r>
          </w:p>
        </w:tc>
        <w:tc>
          <w:tcPr>
            <w:tcW w:w="100" w:type="dxa"/>
            <w:vAlign w:val="bottom"/>
            <w:gridSpan w:val="2"/>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3"/>
          </w:tcPr>
          <w:p>
            <w:pPr>
              <w:jc w:val="right"/>
              <w:ind w:right="220"/>
              <w:spacing w:after="0"/>
              <w:rPr>
                <w:sz w:val="20"/>
                <w:szCs w:val="20"/>
                <w:color w:val="auto"/>
              </w:rPr>
            </w:pPr>
            <w:r>
              <w:rPr>
                <w:rFonts w:ascii="Arial" w:cs="Arial" w:eastAsia="Arial" w:hAnsi="Arial"/>
                <w:sz w:val="18"/>
                <w:szCs w:val="18"/>
                <w:color w:val="auto"/>
              </w:rPr>
              <w:t>24,385</w:t>
            </w: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rPr>
              <w:t>23,404</w:t>
            </w:r>
          </w:p>
        </w:tc>
        <w:tc>
          <w:tcPr>
            <w:tcW w:w="0" w:type="dxa"/>
            <w:vAlign w:val="bottom"/>
          </w:tcPr>
          <w:p>
            <w:pPr>
              <w:spacing w:after="0"/>
              <w:rPr>
                <w:sz w:val="1"/>
                <w:szCs w:val="1"/>
                <w:color w:val="auto"/>
              </w:rPr>
            </w:pPr>
          </w:p>
        </w:tc>
      </w:tr>
      <w:tr>
        <w:trPr>
          <w:trHeight w:val="216"/>
        </w:trPr>
        <w:tc>
          <w:tcPr>
            <w:tcW w:w="90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Container contracts payable</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231,647</w:t>
            </w: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9,394</w:t>
            </w:r>
          </w:p>
        </w:tc>
        <w:tc>
          <w:tcPr>
            <w:tcW w:w="0" w:type="dxa"/>
            <w:vAlign w:val="bottom"/>
          </w:tcPr>
          <w:p>
            <w:pPr>
              <w:spacing w:after="0"/>
              <w:rPr>
                <w:sz w:val="1"/>
                <w:szCs w:val="1"/>
                <w:color w:val="auto"/>
              </w:rPr>
            </w:pPr>
          </w:p>
        </w:tc>
      </w:tr>
      <w:tr>
        <w:trPr>
          <w:trHeight w:val="216"/>
        </w:trPr>
        <w:tc>
          <w:tcPr>
            <w:tcW w:w="9000" w:type="dxa"/>
            <w:vAlign w:val="bottom"/>
          </w:tcPr>
          <w:p>
            <w:pPr>
              <w:ind w:left="360"/>
              <w:spacing w:after="0"/>
              <w:rPr>
                <w:sz w:val="20"/>
                <w:szCs w:val="20"/>
                <w:color w:val="auto"/>
              </w:rPr>
            </w:pPr>
            <w:r>
              <w:rPr>
                <w:rFonts w:ascii="Arial" w:cs="Arial" w:eastAsia="Arial" w:hAnsi="Arial"/>
                <w:sz w:val="18"/>
                <w:szCs w:val="18"/>
                <w:color w:val="auto"/>
              </w:rPr>
              <w:t>Other liabilities</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gridSpan w:val="2"/>
          </w:tcPr>
          <w:p>
            <w:pPr>
              <w:jc w:val="right"/>
              <w:ind w:right="20"/>
              <w:spacing w:after="0"/>
              <w:rPr>
                <w:sz w:val="20"/>
                <w:szCs w:val="20"/>
                <w:color w:val="auto"/>
              </w:rPr>
            </w:pPr>
            <w:r>
              <w:rPr>
                <w:rFonts w:ascii="Arial" w:cs="Arial" w:eastAsia="Arial" w:hAnsi="Arial"/>
                <w:sz w:val="18"/>
                <w:szCs w:val="18"/>
                <w:color w:val="auto"/>
              </w:rPr>
              <w:t>2,288</w:t>
            </w: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rPr>
              <w:t>2,636</w:t>
            </w:r>
          </w:p>
        </w:tc>
        <w:tc>
          <w:tcPr>
            <w:tcW w:w="0" w:type="dxa"/>
            <w:vAlign w:val="bottom"/>
          </w:tcPr>
          <w:p>
            <w:pPr>
              <w:spacing w:after="0"/>
              <w:rPr>
                <w:sz w:val="1"/>
                <w:szCs w:val="1"/>
                <w:color w:val="auto"/>
              </w:rPr>
            </w:pPr>
          </w:p>
        </w:tc>
      </w:tr>
      <w:tr>
        <w:trPr>
          <w:trHeight w:val="216"/>
        </w:trPr>
        <w:tc>
          <w:tcPr>
            <w:tcW w:w="90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Due to container investors, net</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18,697</w:t>
            </w:r>
          </w:p>
        </w:tc>
        <w:tc>
          <w:tcPr>
            <w:tcW w:w="12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21,978</w:t>
            </w:r>
          </w:p>
        </w:tc>
        <w:tc>
          <w:tcPr>
            <w:tcW w:w="0" w:type="dxa"/>
            <w:vAlign w:val="bottom"/>
          </w:tcPr>
          <w:p>
            <w:pPr>
              <w:spacing w:after="0"/>
              <w:rPr>
                <w:sz w:val="1"/>
                <w:szCs w:val="1"/>
                <w:color w:val="auto"/>
              </w:rPr>
            </w:pPr>
          </w:p>
        </w:tc>
      </w:tr>
      <w:tr>
        <w:trPr>
          <w:trHeight w:val="216"/>
        </w:trPr>
        <w:tc>
          <w:tcPr>
            <w:tcW w:w="9000" w:type="dxa"/>
            <w:vAlign w:val="bottom"/>
          </w:tcPr>
          <w:p>
            <w:pPr>
              <w:ind w:left="360"/>
              <w:spacing w:after="0"/>
              <w:rPr>
                <w:sz w:val="20"/>
                <w:szCs w:val="20"/>
                <w:color w:val="auto"/>
              </w:rPr>
            </w:pPr>
            <w:r>
              <w:rPr>
                <w:rFonts w:ascii="Arial" w:cs="Arial" w:eastAsia="Arial" w:hAnsi="Arial"/>
                <w:sz w:val="18"/>
                <w:szCs w:val="18"/>
                <w:color w:val="auto"/>
              </w:rPr>
              <w:t>Debt, net of unamortized costs of $8,043 and $8,120, respectively</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20" w:type="dxa"/>
            <w:vAlign w:val="bottom"/>
          </w:tcPr>
          <w:p>
            <w:pPr>
              <w:jc w:val="right"/>
              <w:spacing w:after="0"/>
              <w:rPr>
                <w:sz w:val="20"/>
                <w:szCs w:val="20"/>
                <w:color w:val="auto"/>
              </w:rPr>
            </w:pPr>
            <w:r>
              <w:rPr>
                <w:rFonts w:ascii="Arial" w:cs="Arial" w:eastAsia="Arial" w:hAnsi="Arial"/>
                <w:sz w:val="18"/>
                <w:szCs w:val="18"/>
                <w:color w:val="auto"/>
              </w:rPr>
              <w:t>408,365</w:t>
            </w:r>
          </w:p>
        </w:tc>
        <w:tc>
          <w:tcPr>
            <w:tcW w:w="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rPr>
              <w:t>242,433</w:t>
            </w:r>
          </w:p>
        </w:tc>
        <w:tc>
          <w:tcPr>
            <w:tcW w:w="0" w:type="dxa"/>
            <w:vAlign w:val="bottom"/>
          </w:tcPr>
          <w:p>
            <w:pPr>
              <w:spacing w:after="0"/>
              <w:rPr>
                <w:sz w:val="1"/>
                <w:szCs w:val="1"/>
                <w:color w:val="auto"/>
              </w:rPr>
            </w:pPr>
          </w:p>
        </w:tc>
      </w:tr>
      <w:tr>
        <w:trPr>
          <w:trHeight w:val="27"/>
        </w:trPr>
        <w:tc>
          <w:tcPr>
            <w:tcW w:w="9000" w:type="dxa"/>
            <w:vAlign w:val="bottom"/>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2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9000" w:type="dxa"/>
            <w:vAlign w:val="bottom"/>
            <w:shd w:val="clear" w:color="auto" w:fill="CCEEFF"/>
          </w:tcPr>
          <w:p>
            <w:pPr>
              <w:ind w:left="720"/>
              <w:spacing w:after="0"/>
              <w:rPr>
                <w:sz w:val="20"/>
                <w:szCs w:val="20"/>
                <w:color w:val="auto"/>
              </w:rPr>
            </w:pPr>
            <w:r>
              <w:rPr>
                <w:rFonts w:ascii="Arial" w:cs="Arial" w:eastAsia="Arial" w:hAnsi="Arial"/>
                <w:sz w:val="18"/>
                <w:szCs w:val="18"/>
                <w:color w:val="auto"/>
              </w:rPr>
              <w:t>Total current liabilities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685,382</w:t>
            </w:r>
          </w:p>
        </w:tc>
        <w:tc>
          <w:tcPr>
            <w:tcW w:w="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299,845</w:t>
            </w:r>
          </w:p>
        </w:tc>
        <w:tc>
          <w:tcPr>
            <w:tcW w:w="0" w:type="dxa"/>
            <w:vAlign w:val="bottom"/>
          </w:tcPr>
          <w:p>
            <w:pPr>
              <w:spacing w:after="0"/>
              <w:rPr>
                <w:sz w:val="1"/>
                <w:szCs w:val="1"/>
                <w:color w:val="auto"/>
              </w:rPr>
            </w:pPr>
          </w:p>
        </w:tc>
      </w:tr>
      <w:tr>
        <w:trPr>
          <w:trHeight w:val="216"/>
        </w:trPr>
        <w:tc>
          <w:tcPr>
            <w:tcW w:w="9000" w:type="dxa"/>
            <w:vAlign w:val="bottom"/>
          </w:tcPr>
          <w:p>
            <w:pPr>
              <w:spacing w:after="0"/>
              <w:rPr>
                <w:sz w:val="20"/>
                <w:szCs w:val="20"/>
                <w:color w:val="auto"/>
              </w:rPr>
            </w:pPr>
            <w:r>
              <w:rPr>
                <w:rFonts w:ascii="Arial" w:cs="Arial" w:eastAsia="Arial" w:hAnsi="Arial"/>
                <w:sz w:val="18"/>
                <w:szCs w:val="18"/>
                <w:color w:val="auto"/>
              </w:rPr>
              <w:t>Debt, net of unamortized costs of $18,639 and $21,446, respectively</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gridSpan w:val="2"/>
          </w:tcPr>
          <w:p>
            <w:pPr>
              <w:jc w:val="right"/>
              <w:ind w:right="20"/>
              <w:spacing w:after="0"/>
              <w:rPr>
                <w:sz w:val="20"/>
                <w:szCs w:val="20"/>
                <w:color w:val="auto"/>
              </w:rPr>
            </w:pPr>
            <w:r>
              <w:rPr>
                <w:rFonts w:ascii="Arial" w:cs="Arial" w:eastAsia="Arial" w:hAnsi="Arial"/>
                <w:sz w:val="18"/>
                <w:szCs w:val="18"/>
                <w:color w:val="auto"/>
                <w:w w:val="87"/>
              </w:rPr>
              <w:t>3,706,979</w:t>
            </w: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w w:val="89"/>
              </w:rPr>
              <w:t>3,555,296</w:t>
            </w:r>
          </w:p>
        </w:tc>
        <w:tc>
          <w:tcPr>
            <w:tcW w:w="0" w:type="dxa"/>
            <w:vAlign w:val="bottom"/>
          </w:tcPr>
          <w:p>
            <w:pPr>
              <w:spacing w:after="0"/>
              <w:rPr>
                <w:sz w:val="1"/>
                <w:szCs w:val="1"/>
                <w:color w:val="auto"/>
              </w:rPr>
            </w:pPr>
          </w:p>
        </w:tc>
      </w:tr>
      <w:tr>
        <w:trPr>
          <w:trHeight w:val="216"/>
        </w:trPr>
        <w:tc>
          <w:tcPr>
            <w:tcW w:w="9000" w:type="dxa"/>
            <w:vAlign w:val="bottom"/>
            <w:shd w:val="clear" w:color="auto" w:fill="CCEEFF"/>
          </w:tcPr>
          <w:p>
            <w:pPr>
              <w:spacing w:after="0"/>
              <w:rPr>
                <w:sz w:val="20"/>
                <w:szCs w:val="20"/>
                <w:color w:val="auto"/>
              </w:rPr>
            </w:pPr>
            <w:r>
              <w:rPr>
                <w:rFonts w:ascii="Arial" w:cs="Arial" w:eastAsia="Arial" w:hAnsi="Arial"/>
                <w:sz w:val="18"/>
                <w:szCs w:val="18"/>
                <w:color w:val="auto"/>
              </w:rPr>
              <w:t>Derivative instruments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29,235</w:t>
            </w:r>
          </w:p>
        </w:tc>
        <w:tc>
          <w:tcPr>
            <w:tcW w:w="12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13,778</w:t>
            </w:r>
          </w:p>
        </w:tc>
        <w:tc>
          <w:tcPr>
            <w:tcW w:w="0" w:type="dxa"/>
            <w:vAlign w:val="bottom"/>
          </w:tcPr>
          <w:p>
            <w:pPr>
              <w:spacing w:after="0"/>
              <w:rPr>
                <w:sz w:val="1"/>
                <w:szCs w:val="1"/>
                <w:color w:val="auto"/>
              </w:rPr>
            </w:pPr>
          </w:p>
        </w:tc>
      </w:tr>
      <w:tr>
        <w:trPr>
          <w:trHeight w:val="216"/>
        </w:trPr>
        <w:tc>
          <w:tcPr>
            <w:tcW w:w="9000" w:type="dxa"/>
            <w:vAlign w:val="bottom"/>
          </w:tcPr>
          <w:p>
            <w:pPr>
              <w:spacing w:after="0"/>
              <w:rPr>
                <w:sz w:val="20"/>
                <w:szCs w:val="20"/>
                <w:color w:val="auto"/>
              </w:rPr>
            </w:pPr>
            <w:r>
              <w:rPr>
                <w:rFonts w:ascii="Arial" w:cs="Arial" w:eastAsia="Arial" w:hAnsi="Arial"/>
                <w:sz w:val="18"/>
                <w:szCs w:val="18"/>
                <w:color w:val="auto"/>
              </w:rPr>
              <w:t>Income tax payable</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40" w:type="dxa"/>
            <w:vAlign w:val="bottom"/>
            <w:gridSpan w:val="3"/>
          </w:tcPr>
          <w:p>
            <w:pPr>
              <w:jc w:val="right"/>
              <w:ind w:right="220"/>
              <w:spacing w:after="0"/>
              <w:rPr>
                <w:sz w:val="20"/>
                <w:szCs w:val="20"/>
                <w:color w:val="auto"/>
              </w:rPr>
            </w:pPr>
            <w:r>
              <w:rPr>
                <w:rFonts w:ascii="Arial" w:cs="Arial" w:eastAsia="Arial" w:hAnsi="Arial"/>
                <w:sz w:val="18"/>
                <w:szCs w:val="18"/>
                <w:color w:val="auto"/>
              </w:rPr>
              <w:t>10,047</w:t>
            </w:r>
          </w:p>
        </w:tc>
        <w:tc>
          <w:tcPr>
            <w:tcW w:w="120" w:type="dxa"/>
            <w:vAlign w:val="bottom"/>
          </w:tcPr>
          <w:p>
            <w:pPr>
              <w:spacing w:after="0"/>
              <w:rPr>
                <w:sz w:val="18"/>
                <w:szCs w:val="18"/>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rPr>
              <w:t>9,909</w:t>
            </w:r>
          </w:p>
        </w:tc>
        <w:tc>
          <w:tcPr>
            <w:tcW w:w="0" w:type="dxa"/>
            <w:vAlign w:val="bottom"/>
          </w:tcPr>
          <w:p>
            <w:pPr>
              <w:spacing w:after="0"/>
              <w:rPr>
                <w:sz w:val="1"/>
                <w:szCs w:val="1"/>
                <w:color w:val="auto"/>
              </w:rPr>
            </w:pPr>
          </w:p>
        </w:tc>
      </w:tr>
      <w:tr>
        <w:trPr>
          <w:trHeight w:val="216"/>
        </w:trPr>
        <w:tc>
          <w:tcPr>
            <w:tcW w:w="9000" w:type="dxa"/>
            <w:vAlign w:val="bottom"/>
            <w:shd w:val="clear" w:color="auto" w:fill="CCEEFF"/>
          </w:tcPr>
          <w:p>
            <w:pPr>
              <w:spacing w:after="0"/>
              <w:rPr>
                <w:sz w:val="20"/>
                <w:szCs w:val="20"/>
                <w:color w:val="auto"/>
              </w:rPr>
            </w:pPr>
            <w:r>
              <w:rPr>
                <w:rFonts w:ascii="Arial" w:cs="Arial" w:eastAsia="Arial" w:hAnsi="Arial"/>
                <w:sz w:val="18"/>
                <w:szCs w:val="18"/>
                <w:color w:val="auto"/>
              </w:rPr>
              <w:t>Deferred taxes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6,491</w:t>
            </w: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7,789</w:t>
            </w:r>
          </w:p>
        </w:tc>
        <w:tc>
          <w:tcPr>
            <w:tcW w:w="0" w:type="dxa"/>
            <w:vAlign w:val="bottom"/>
          </w:tcPr>
          <w:p>
            <w:pPr>
              <w:spacing w:after="0"/>
              <w:rPr>
                <w:sz w:val="1"/>
                <w:szCs w:val="1"/>
                <w:color w:val="auto"/>
              </w:rPr>
            </w:pPr>
          </w:p>
        </w:tc>
      </w:tr>
      <w:tr>
        <w:trPr>
          <w:trHeight w:val="216"/>
        </w:trPr>
        <w:tc>
          <w:tcPr>
            <w:tcW w:w="9000" w:type="dxa"/>
            <w:vAlign w:val="bottom"/>
          </w:tcPr>
          <w:p>
            <w:pPr>
              <w:spacing w:after="0"/>
              <w:rPr>
                <w:sz w:val="20"/>
                <w:szCs w:val="20"/>
                <w:color w:val="auto"/>
              </w:rPr>
            </w:pPr>
            <w:r>
              <w:rPr>
                <w:rFonts w:ascii="Arial" w:cs="Arial" w:eastAsia="Arial" w:hAnsi="Arial"/>
                <w:sz w:val="18"/>
                <w:szCs w:val="18"/>
                <w:color w:val="auto"/>
              </w:rPr>
              <w:t>Other liabilities</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40" w:type="dxa"/>
            <w:vAlign w:val="bottom"/>
            <w:gridSpan w:val="3"/>
          </w:tcPr>
          <w:p>
            <w:pPr>
              <w:jc w:val="right"/>
              <w:ind w:right="220"/>
              <w:spacing w:after="0"/>
              <w:rPr>
                <w:sz w:val="20"/>
                <w:szCs w:val="20"/>
                <w:color w:val="auto"/>
              </w:rPr>
            </w:pPr>
            <w:r>
              <w:rPr>
                <w:rFonts w:ascii="Arial" w:cs="Arial" w:eastAsia="Arial" w:hAnsi="Arial"/>
                <w:sz w:val="18"/>
                <w:szCs w:val="18"/>
                <w:color w:val="auto"/>
              </w:rPr>
              <w:t>16,524</w:t>
            </w:r>
          </w:p>
        </w:tc>
        <w:tc>
          <w:tcPr>
            <w:tcW w:w="120" w:type="dxa"/>
            <w:vAlign w:val="bottom"/>
          </w:tcPr>
          <w:p>
            <w:pPr>
              <w:spacing w:after="0"/>
              <w:rPr>
                <w:sz w:val="18"/>
                <w:szCs w:val="18"/>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rPr>
              <w:t>30,355</w:t>
            </w:r>
          </w:p>
        </w:tc>
        <w:tc>
          <w:tcPr>
            <w:tcW w:w="0" w:type="dxa"/>
            <w:vAlign w:val="bottom"/>
          </w:tcPr>
          <w:p>
            <w:pPr>
              <w:spacing w:after="0"/>
              <w:rPr>
                <w:sz w:val="1"/>
                <w:szCs w:val="1"/>
                <w:color w:val="auto"/>
              </w:rPr>
            </w:pPr>
          </w:p>
        </w:tc>
      </w:tr>
      <w:tr>
        <w:trPr>
          <w:trHeight w:val="27"/>
        </w:trPr>
        <w:tc>
          <w:tcPr>
            <w:tcW w:w="9000" w:type="dxa"/>
            <w:vAlign w:val="bottom"/>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2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9000" w:type="dxa"/>
            <w:vAlign w:val="bottom"/>
            <w:shd w:val="clear" w:color="auto" w:fill="CCEEFF"/>
          </w:tcPr>
          <w:p>
            <w:pPr>
              <w:ind w:left="720"/>
              <w:spacing w:after="0"/>
              <w:rPr>
                <w:sz w:val="20"/>
                <w:szCs w:val="20"/>
                <w:color w:val="auto"/>
              </w:rPr>
            </w:pPr>
            <w:r>
              <w:rPr>
                <w:rFonts w:ascii="Arial" w:cs="Arial" w:eastAsia="Arial" w:hAnsi="Arial"/>
                <w:sz w:val="18"/>
                <w:szCs w:val="18"/>
                <w:color w:val="auto"/>
              </w:rPr>
              <w:t>Total liabilities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4,454,658</w:t>
            </w:r>
          </w:p>
        </w:tc>
        <w:tc>
          <w:tcPr>
            <w:tcW w:w="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9"/>
              </w:rPr>
              <w:t>3,916,972</w:t>
            </w:r>
          </w:p>
        </w:tc>
        <w:tc>
          <w:tcPr>
            <w:tcW w:w="0" w:type="dxa"/>
            <w:vAlign w:val="bottom"/>
          </w:tcPr>
          <w:p>
            <w:pPr>
              <w:spacing w:after="0"/>
              <w:rPr>
                <w:sz w:val="1"/>
                <w:szCs w:val="1"/>
                <w:color w:val="auto"/>
              </w:rPr>
            </w:pPr>
          </w:p>
        </w:tc>
      </w:tr>
      <w:tr>
        <w:trPr>
          <w:trHeight w:val="223"/>
        </w:trPr>
        <w:tc>
          <w:tcPr>
            <w:tcW w:w="9000" w:type="dxa"/>
            <w:vAlign w:val="bottom"/>
          </w:tcPr>
          <w:p>
            <w:pPr>
              <w:spacing w:after="0"/>
              <w:rPr>
                <w:sz w:val="20"/>
                <w:szCs w:val="20"/>
                <w:color w:val="auto"/>
              </w:rPr>
            </w:pPr>
            <w:r>
              <w:rPr>
                <w:rFonts w:ascii="Arial" w:cs="Arial" w:eastAsia="Arial" w:hAnsi="Arial"/>
                <w:sz w:val="18"/>
                <w:szCs w:val="18"/>
                <w:color w:val="auto"/>
              </w:rPr>
              <w:t>Equity:</w:t>
            </w:r>
          </w:p>
        </w:tc>
        <w:tc>
          <w:tcPr>
            <w:tcW w:w="20" w:type="dxa"/>
            <w:vAlign w:val="bottom"/>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720" w:type="dxa"/>
            <w:vAlign w:val="bottom"/>
            <w:tcBorders>
              <w:top w:val="single" w:sz="8" w:color="auto"/>
            </w:tcBorders>
          </w:tcPr>
          <w:p>
            <w:pPr>
              <w:spacing w:after="0"/>
              <w:rPr>
                <w:sz w:val="19"/>
                <w:szCs w:val="19"/>
                <w:color w:val="auto"/>
              </w:rPr>
            </w:pPr>
          </w:p>
        </w:tc>
        <w:tc>
          <w:tcPr>
            <w:tcW w:w="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 w:type="dxa"/>
            <w:vAlign w:val="bottom"/>
            <w:tcBorders>
              <w:top w:val="single" w:sz="8" w:color="auto"/>
            </w:tcBorders>
          </w:tcPr>
          <w:p>
            <w:pPr>
              <w:spacing w:after="0"/>
              <w:rPr>
                <w:sz w:val="19"/>
                <w:szCs w:val="19"/>
                <w:color w:val="auto"/>
              </w:rPr>
            </w:pPr>
          </w:p>
        </w:tc>
        <w:tc>
          <w:tcPr>
            <w:tcW w:w="740" w:type="dxa"/>
            <w:vAlign w:val="bottom"/>
            <w:tcBorders>
              <w:top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9000" w:type="dxa"/>
            <w:vAlign w:val="bottom"/>
            <w:shd w:val="clear" w:color="auto" w:fill="CCEEFF"/>
          </w:tcPr>
          <w:p>
            <w:pPr>
              <w:spacing w:after="0"/>
              <w:rPr>
                <w:sz w:val="20"/>
                <w:szCs w:val="20"/>
                <w:color w:val="auto"/>
              </w:rPr>
            </w:pPr>
            <w:r>
              <w:rPr>
                <w:rFonts w:ascii="Arial" w:cs="Arial" w:eastAsia="Arial" w:hAnsi="Arial"/>
                <w:sz w:val="18"/>
                <w:szCs w:val="18"/>
                <w:color w:val="auto"/>
              </w:rPr>
              <w:t>Textainer Group Holdings Limited shareholders’ equity:</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9000" w:type="dxa"/>
            <w:vAlign w:val="bottom"/>
          </w:tcPr>
          <w:p>
            <w:pPr>
              <w:ind w:left="360"/>
              <w:spacing w:after="0" w:line="201" w:lineRule="exact"/>
              <w:rPr>
                <w:sz w:val="20"/>
                <w:szCs w:val="20"/>
                <w:color w:val="auto"/>
              </w:rPr>
            </w:pPr>
            <w:r>
              <w:rPr>
                <w:rFonts w:ascii="Arial" w:cs="Arial" w:eastAsia="Arial" w:hAnsi="Arial"/>
                <w:sz w:val="18"/>
                <w:szCs w:val="18"/>
                <w:color w:val="auto"/>
                <w:w w:val="92"/>
              </w:rPr>
              <w:t>Common shares, $0.01 par value. Authorized 140,000,000 shares; 58,740,919 shares issued and 50,495,789 shares</w:t>
            </w: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9000" w:type="dxa"/>
            <w:vAlign w:val="bottom"/>
          </w:tcPr>
          <w:p>
            <w:pPr>
              <w:ind w:left="540"/>
              <w:spacing w:after="0"/>
              <w:rPr>
                <w:sz w:val="20"/>
                <w:szCs w:val="20"/>
                <w:color w:val="auto"/>
              </w:rPr>
            </w:pPr>
            <w:r>
              <w:rPr>
                <w:rFonts w:ascii="Arial" w:cs="Arial" w:eastAsia="Arial" w:hAnsi="Arial"/>
                <w:sz w:val="18"/>
                <w:szCs w:val="18"/>
                <w:color w:val="auto"/>
              </w:rPr>
              <w:t>outstanding at 2020; 58,326,555 shares issued and 56,817,918 shares outstanding at 2019</w:t>
            </w: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940" w:type="dxa"/>
            <w:vAlign w:val="bottom"/>
            <w:gridSpan w:val="3"/>
          </w:tcPr>
          <w:p>
            <w:pPr>
              <w:jc w:val="right"/>
              <w:ind w:right="220"/>
              <w:spacing w:after="0"/>
              <w:rPr>
                <w:sz w:val="20"/>
                <w:szCs w:val="20"/>
                <w:color w:val="auto"/>
              </w:rPr>
            </w:pPr>
            <w:r>
              <w:rPr>
                <w:rFonts w:ascii="Arial" w:cs="Arial" w:eastAsia="Arial" w:hAnsi="Arial"/>
                <w:sz w:val="18"/>
                <w:szCs w:val="18"/>
                <w:color w:val="auto"/>
              </w:rPr>
              <w:t>587</w:t>
            </w:r>
          </w:p>
        </w:tc>
        <w:tc>
          <w:tcPr>
            <w:tcW w:w="120" w:type="dxa"/>
            <w:vAlign w:val="bottom"/>
          </w:tcPr>
          <w:p>
            <w:pPr>
              <w:spacing w:after="0"/>
              <w:rPr>
                <w:sz w:val="20"/>
                <w:szCs w:val="20"/>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rPr>
              <w:t>583</w:t>
            </w:r>
          </w:p>
        </w:tc>
        <w:tc>
          <w:tcPr>
            <w:tcW w:w="0" w:type="dxa"/>
            <w:vAlign w:val="bottom"/>
          </w:tcPr>
          <w:p>
            <w:pPr>
              <w:spacing w:after="0"/>
              <w:rPr>
                <w:sz w:val="1"/>
                <w:szCs w:val="1"/>
                <w:color w:val="auto"/>
              </w:rPr>
            </w:pPr>
          </w:p>
        </w:tc>
      </w:tr>
      <w:tr>
        <w:trPr>
          <w:trHeight w:val="216"/>
        </w:trPr>
        <w:tc>
          <w:tcPr>
            <w:tcW w:w="90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Treasury shares, at cost, 8,245,130 and 1,508,637 shares, respectively</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(86,239)</w:t>
            </w:r>
          </w:p>
        </w:tc>
        <w:tc>
          <w:tcPr>
            <w:tcW w:w="12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(17,746)</w:t>
            </w:r>
          </w:p>
        </w:tc>
        <w:tc>
          <w:tcPr>
            <w:tcW w:w="0" w:type="dxa"/>
            <w:vAlign w:val="bottom"/>
          </w:tcPr>
          <w:p>
            <w:pPr>
              <w:spacing w:after="0"/>
              <w:rPr>
                <w:sz w:val="1"/>
                <w:szCs w:val="1"/>
                <w:color w:val="auto"/>
              </w:rPr>
            </w:pPr>
          </w:p>
        </w:tc>
      </w:tr>
      <w:tr>
        <w:trPr>
          <w:trHeight w:val="216"/>
        </w:trPr>
        <w:tc>
          <w:tcPr>
            <w:tcW w:w="9000" w:type="dxa"/>
            <w:vAlign w:val="bottom"/>
          </w:tcPr>
          <w:p>
            <w:pPr>
              <w:ind w:left="360"/>
              <w:spacing w:after="0"/>
              <w:rPr>
                <w:sz w:val="20"/>
                <w:szCs w:val="20"/>
                <w:color w:val="auto"/>
              </w:rPr>
            </w:pPr>
            <w:r>
              <w:rPr>
                <w:rFonts w:ascii="Arial" w:cs="Arial" w:eastAsia="Arial" w:hAnsi="Arial"/>
                <w:sz w:val="18"/>
                <w:szCs w:val="18"/>
                <w:color w:val="auto"/>
              </w:rPr>
              <w:t>Additional paid-in capital</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gridSpan w:val="2"/>
          </w:tcPr>
          <w:p>
            <w:pPr>
              <w:jc w:val="right"/>
              <w:ind w:right="20"/>
              <w:spacing w:after="0"/>
              <w:rPr>
                <w:sz w:val="20"/>
                <w:szCs w:val="20"/>
                <w:color w:val="auto"/>
              </w:rPr>
            </w:pPr>
            <w:r>
              <w:rPr>
                <w:rFonts w:ascii="Arial" w:cs="Arial" w:eastAsia="Arial" w:hAnsi="Arial"/>
                <w:sz w:val="18"/>
                <w:szCs w:val="18"/>
                <w:color w:val="auto"/>
              </w:rPr>
              <w:t>416,609</w:t>
            </w: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rPr>
              <w:t>410,595</w:t>
            </w:r>
          </w:p>
        </w:tc>
        <w:tc>
          <w:tcPr>
            <w:tcW w:w="0" w:type="dxa"/>
            <w:vAlign w:val="bottom"/>
          </w:tcPr>
          <w:p>
            <w:pPr>
              <w:spacing w:after="0"/>
              <w:rPr>
                <w:sz w:val="1"/>
                <w:szCs w:val="1"/>
                <w:color w:val="auto"/>
              </w:rPr>
            </w:pPr>
          </w:p>
        </w:tc>
      </w:tr>
      <w:tr>
        <w:trPr>
          <w:trHeight w:val="216"/>
        </w:trPr>
        <w:tc>
          <w:tcPr>
            <w:tcW w:w="90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Accumulated other comprehensive loss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(9,744)</w:t>
            </w:r>
          </w:p>
        </w:tc>
        <w:tc>
          <w:tcPr>
            <w:tcW w:w="12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(511)</w:t>
            </w:r>
          </w:p>
        </w:tc>
        <w:tc>
          <w:tcPr>
            <w:tcW w:w="0" w:type="dxa"/>
            <w:vAlign w:val="bottom"/>
          </w:tcPr>
          <w:p>
            <w:pPr>
              <w:spacing w:after="0"/>
              <w:rPr>
                <w:sz w:val="1"/>
                <w:szCs w:val="1"/>
                <w:color w:val="auto"/>
              </w:rPr>
            </w:pPr>
          </w:p>
        </w:tc>
      </w:tr>
      <w:tr>
        <w:trPr>
          <w:trHeight w:val="216"/>
        </w:trPr>
        <w:tc>
          <w:tcPr>
            <w:tcW w:w="9000" w:type="dxa"/>
            <w:vAlign w:val="bottom"/>
          </w:tcPr>
          <w:p>
            <w:pPr>
              <w:ind w:left="360"/>
              <w:spacing w:after="0"/>
              <w:rPr>
                <w:sz w:val="20"/>
                <w:szCs w:val="20"/>
                <w:color w:val="auto"/>
              </w:rPr>
            </w:pPr>
            <w:r>
              <w:rPr>
                <w:rFonts w:ascii="Arial" w:cs="Arial" w:eastAsia="Arial" w:hAnsi="Arial"/>
                <w:sz w:val="18"/>
                <w:szCs w:val="18"/>
                <w:color w:val="auto"/>
              </w:rPr>
              <w:t>Retained earnings</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20" w:type="dxa"/>
            <w:vAlign w:val="bottom"/>
          </w:tcPr>
          <w:p>
            <w:pPr>
              <w:jc w:val="right"/>
              <w:spacing w:after="0"/>
              <w:rPr>
                <w:sz w:val="20"/>
                <w:szCs w:val="20"/>
                <w:color w:val="auto"/>
              </w:rPr>
            </w:pPr>
            <w:r>
              <w:rPr>
                <w:rFonts w:ascii="Arial" w:cs="Arial" w:eastAsia="Arial" w:hAnsi="Arial"/>
                <w:sz w:val="18"/>
                <w:szCs w:val="18"/>
                <w:color w:val="auto"/>
              </w:rPr>
              <w:t>938,395</w:t>
            </w:r>
          </w:p>
        </w:tc>
        <w:tc>
          <w:tcPr>
            <w:tcW w:w="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rPr>
              <w:t>866,458</w:t>
            </w:r>
          </w:p>
        </w:tc>
        <w:tc>
          <w:tcPr>
            <w:tcW w:w="0" w:type="dxa"/>
            <w:vAlign w:val="bottom"/>
          </w:tcPr>
          <w:p>
            <w:pPr>
              <w:spacing w:after="0"/>
              <w:rPr>
                <w:sz w:val="1"/>
                <w:szCs w:val="1"/>
                <w:color w:val="auto"/>
              </w:rPr>
            </w:pPr>
          </w:p>
        </w:tc>
      </w:tr>
      <w:tr>
        <w:trPr>
          <w:trHeight w:val="27"/>
        </w:trPr>
        <w:tc>
          <w:tcPr>
            <w:tcW w:w="9000" w:type="dxa"/>
            <w:vAlign w:val="bottom"/>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2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9000" w:type="dxa"/>
            <w:vAlign w:val="bottom"/>
            <w:shd w:val="clear" w:color="auto" w:fill="CCEEFF"/>
          </w:tcPr>
          <w:p>
            <w:pPr>
              <w:ind w:left="720"/>
              <w:spacing w:after="0"/>
              <w:rPr>
                <w:sz w:val="20"/>
                <w:szCs w:val="20"/>
                <w:color w:val="auto"/>
              </w:rPr>
            </w:pPr>
            <w:r>
              <w:rPr>
                <w:rFonts w:ascii="Arial" w:cs="Arial" w:eastAsia="Arial" w:hAnsi="Arial"/>
                <w:sz w:val="18"/>
                <w:szCs w:val="18"/>
                <w:color w:val="auto"/>
              </w:rPr>
              <w:t>Total Textainer Group Holdings Limited shareholders’ equity</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1,259,608</w:t>
            </w:r>
          </w:p>
        </w:tc>
        <w:tc>
          <w:tcPr>
            <w:tcW w:w="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9"/>
              </w:rPr>
              <w:t>1,259,379</w:t>
            </w:r>
          </w:p>
        </w:tc>
        <w:tc>
          <w:tcPr>
            <w:tcW w:w="0" w:type="dxa"/>
            <w:vAlign w:val="bottom"/>
          </w:tcPr>
          <w:p>
            <w:pPr>
              <w:spacing w:after="0"/>
              <w:rPr>
                <w:sz w:val="1"/>
                <w:szCs w:val="1"/>
                <w:color w:val="auto"/>
              </w:rPr>
            </w:pPr>
          </w:p>
        </w:tc>
      </w:tr>
      <w:tr>
        <w:trPr>
          <w:trHeight w:val="216"/>
        </w:trPr>
        <w:tc>
          <w:tcPr>
            <w:tcW w:w="9000" w:type="dxa"/>
            <w:vAlign w:val="bottom"/>
          </w:tcPr>
          <w:p>
            <w:pPr>
              <w:ind w:left="360"/>
              <w:spacing w:after="0"/>
              <w:rPr>
                <w:sz w:val="20"/>
                <w:szCs w:val="20"/>
                <w:color w:val="auto"/>
              </w:rPr>
            </w:pPr>
            <w:r>
              <w:rPr>
                <w:rFonts w:ascii="Arial" w:cs="Arial" w:eastAsia="Arial" w:hAnsi="Arial"/>
                <w:sz w:val="18"/>
                <w:szCs w:val="18"/>
                <w:color w:val="auto"/>
              </w:rPr>
              <w:t>Noncontrolling interest</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20" w:type="dxa"/>
            <w:vAlign w:val="bottom"/>
          </w:tcPr>
          <w:p>
            <w:pPr>
              <w:jc w:val="right"/>
              <w:spacing w:after="0"/>
              <w:rPr>
                <w:sz w:val="20"/>
                <w:szCs w:val="20"/>
                <w:color w:val="auto"/>
              </w:rPr>
            </w:pPr>
            <w:r>
              <w:rPr>
                <w:rFonts w:ascii="Arial" w:cs="Arial" w:eastAsia="Arial" w:hAnsi="Arial"/>
                <w:sz w:val="18"/>
                <w:szCs w:val="18"/>
                <w:color w:val="auto"/>
              </w:rPr>
              <w:t>27,110</w:t>
            </w:r>
          </w:p>
        </w:tc>
        <w:tc>
          <w:tcPr>
            <w:tcW w:w="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rPr>
              <w:t>26,266</w:t>
            </w:r>
          </w:p>
        </w:tc>
        <w:tc>
          <w:tcPr>
            <w:tcW w:w="0" w:type="dxa"/>
            <w:vAlign w:val="bottom"/>
          </w:tcPr>
          <w:p>
            <w:pPr>
              <w:spacing w:after="0"/>
              <w:rPr>
                <w:sz w:val="1"/>
                <w:szCs w:val="1"/>
                <w:color w:val="auto"/>
              </w:rPr>
            </w:pPr>
          </w:p>
        </w:tc>
      </w:tr>
      <w:tr>
        <w:trPr>
          <w:trHeight w:val="27"/>
        </w:trPr>
        <w:tc>
          <w:tcPr>
            <w:tcW w:w="9000" w:type="dxa"/>
            <w:vAlign w:val="bottom"/>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2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9000" w:type="dxa"/>
            <w:vAlign w:val="bottom"/>
            <w:shd w:val="clear" w:color="auto" w:fill="CCEEFF"/>
          </w:tcPr>
          <w:p>
            <w:pPr>
              <w:ind w:left="720"/>
              <w:spacing w:after="0"/>
              <w:rPr>
                <w:sz w:val="20"/>
                <w:szCs w:val="20"/>
                <w:color w:val="auto"/>
              </w:rPr>
            </w:pPr>
            <w:r>
              <w:rPr>
                <w:rFonts w:ascii="Arial" w:cs="Arial" w:eastAsia="Arial" w:hAnsi="Arial"/>
                <w:sz w:val="18"/>
                <w:szCs w:val="18"/>
                <w:color w:val="auto"/>
              </w:rPr>
              <w:t>Total equity</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1,286,718</w:t>
            </w:r>
          </w:p>
        </w:tc>
        <w:tc>
          <w:tcPr>
            <w:tcW w:w="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9"/>
              </w:rPr>
              <w:t>1,285,645</w:t>
            </w:r>
          </w:p>
        </w:tc>
        <w:tc>
          <w:tcPr>
            <w:tcW w:w="0" w:type="dxa"/>
            <w:vAlign w:val="bottom"/>
          </w:tcPr>
          <w:p>
            <w:pPr>
              <w:spacing w:after="0"/>
              <w:rPr>
                <w:sz w:val="1"/>
                <w:szCs w:val="1"/>
                <w:color w:val="auto"/>
              </w:rPr>
            </w:pPr>
          </w:p>
        </w:tc>
      </w:tr>
      <w:tr>
        <w:trPr>
          <w:trHeight w:val="223"/>
        </w:trPr>
        <w:tc>
          <w:tcPr>
            <w:tcW w:w="9000" w:type="dxa"/>
            <w:vAlign w:val="bottom"/>
          </w:tcPr>
          <w:p>
            <w:pPr>
              <w:ind w:left="720"/>
              <w:spacing w:after="0"/>
              <w:rPr>
                <w:sz w:val="20"/>
                <w:szCs w:val="20"/>
                <w:color w:val="auto"/>
              </w:rPr>
            </w:pPr>
            <w:r>
              <w:rPr>
                <w:rFonts w:ascii="Arial" w:cs="Arial" w:eastAsia="Arial" w:hAnsi="Arial"/>
                <w:sz w:val="18"/>
                <w:szCs w:val="18"/>
                <w:color w:val="auto"/>
              </w:rPr>
              <w:t>Total liabilities and equity</w:t>
            </w:r>
          </w:p>
        </w:tc>
        <w:tc>
          <w:tcPr>
            <w:tcW w:w="20" w:type="dxa"/>
            <w:vAlign w:val="bottom"/>
            <w:tcBorders>
              <w:bottom w:val="single" w:sz="8" w:color="auto"/>
            </w:tcBorders>
          </w:tcPr>
          <w:p>
            <w:pPr>
              <w:spacing w:after="0"/>
              <w:rPr>
                <w:sz w:val="19"/>
                <w:szCs w:val="19"/>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5,741,376</w:t>
            </w:r>
          </w:p>
        </w:tc>
        <w:tc>
          <w:tcPr>
            <w:tcW w:w="20" w:type="dxa"/>
            <w:vAlign w:val="bottom"/>
            <w:tcBorders>
              <w:bottom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1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9"/>
              </w:rPr>
              <w:t>5,202,617</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90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See accompanying notes to consolidated financial statements.</w:t>
      </w:r>
    </w:p>
    <w:p>
      <w:pPr>
        <w:spacing w:after="0" w:line="158"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F-7</w:t>
      </w:r>
    </w:p>
    <w:p>
      <w:pPr>
        <w:sectPr>
          <w:pgSz w:w="11900" w:h="16838" w:orient="portrait"/>
          <w:cols w:equalWidth="0" w:num="1">
            <w:col w:w="11020"/>
          </w:cols>
          <w:pgMar w:left="440" w:top="270" w:right="439" w:bottom="1440" w:gutter="0" w:footer="0" w:header="0"/>
        </w:sectPr>
      </w:pPr>
    </w:p>
    <w:bookmarkStart w:id="121" w:name="page122"/>
    <w:bookmarkEnd w:id="121"/>
    <w:p>
      <w:pPr>
        <w:jc w:val="center"/>
        <w:ind w:right="2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TEXTAINER GROUP HOLDINGS LIMITED AND SUBSIDIARIES</w:t>
      </w:r>
    </w:p>
    <w:p>
      <w:pPr>
        <w:spacing w:after="0" w:line="229" w:lineRule="exact"/>
        <w:rPr>
          <w:sz w:val="20"/>
          <w:szCs w:val="20"/>
          <w:color w:val="auto"/>
        </w:rPr>
      </w:pPr>
    </w:p>
    <w:p>
      <w:pPr>
        <w:ind w:left="3740"/>
        <w:spacing w:after="0"/>
        <w:rPr>
          <w:sz w:val="20"/>
          <w:szCs w:val="20"/>
          <w:color w:val="auto"/>
        </w:rPr>
      </w:pPr>
      <w:r>
        <w:rPr>
          <w:rFonts w:ascii="Arial" w:cs="Arial" w:eastAsia="Arial" w:hAnsi="Arial"/>
          <w:sz w:val="18"/>
          <w:szCs w:val="18"/>
          <w:color w:val="auto"/>
        </w:rPr>
        <w:t>Consolidated Statements of Shareholders’ Equity</w:t>
      </w:r>
    </w:p>
    <w:p>
      <w:pPr>
        <w:spacing w:after="0" w:line="23" w:lineRule="exact"/>
        <w:rPr>
          <w:sz w:val="20"/>
          <w:szCs w:val="20"/>
          <w:color w:val="auto"/>
        </w:rPr>
      </w:pPr>
    </w:p>
    <w:p>
      <w:pPr>
        <w:ind w:left="3760"/>
        <w:spacing w:after="0"/>
        <w:rPr>
          <w:sz w:val="20"/>
          <w:szCs w:val="20"/>
          <w:color w:val="auto"/>
        </w:rPr>
      </w:pPr>
      <w:r>
        <w:rPr>
          <w:rFonts w:ascii="Arial" w:cs="Arial" w:eastAsia="Arial" w:hAnsi="Arial"/>
          <w:sz w:val="18"/>
          <w:szCs w:val="18"/>
          <w:color w:val="auto"/>
        </w:rPr>
        <w:t>Years ended December 31, 2020, 2019 and 2018</w:t>
      </w:r>
    </w:p>
    <w:p>
      <w:pPr>
        <w:spacing w:after="0" w:line="9"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(All currency expressed in United States dollars in thousands, except share amounts)</w:t>
      </w:r>
    </w:p>
    <w:p>
      <w:pPr>
        <w:spacing w:after="0" w:line="234" w:lineRule="exact"/>
        <w:rPr>
          <w:sz w:val="20"/>
          <w:szCs w:val="20"/>
          <w:color w:val="auto"/>
        </w:rPr>
      </w:pPr>
    </w:p>
    <w:tbl>
      <w:tblPr>
        <w:tblLayout w:type="fixed"/>
        <w:tblInd w:w="0" w:type="dxa"/>
        <w:tblCellMar>
          <w:top w:w="0" w:type="dxa"/>
          <w:left w:w="0" w:type="dxa"/>
          <w:bottom w:w="0" w:type="dxa"/>
          <w:right w:w="0" w:type="dxa"/>
        </w:tblCellMar>
      </w:tblPr>
      <w:tr>
        <w:trPr>
          <w:trHeight w:val="153"/>
        </w:trPr>
        <w:tc>
          <w:tcPr>
            <w:tcW w:w="2600" w:type="dxa"/>
            <w:vAlign w:val="bottom"/>
          </w:tcPr>
          <w:p>
            <w:pPr>
              <w:spacing w:after="0"/>
              <w:rPr>
                <w:sz w:val="13"/>
                <w:szCs w:val="13"/>
                <w:color w:val="auto"/>
              </w:rPr>
            </w:pPr>
          </w:p>
        </w:tc>
        <w:tc>
          <w:tcPr>
            <w:tcW w:w="68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300" w:type="dxa"/>
            <w:vAlign w:val="bottom"/>
            <w:tcBorders>
              <w:bottom w:val="single" w:sz="8" w:color="auto"/>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3960" w:type="dxa"/>
            <w:vAlign w:val="bottom"/>
            <w:tcBorders>
              <w:bottom w:val="single" w:sz="8" w:color="auto"/>
            </w:tcBorders>
            <w:gridSpan w:val="12"/>
          </w:tcPr>
          <w:p>
            <w:pPr>
              <w:jc w:val="right"/>
              <w:ind w:right="560"/>
              <w:spacing w:after="0"/>
              <w:rPr>
                <w:sz w:val="20"/>
                <w:szCs w:val="20"/>
                <w:color w:val="auto"/>
              </w:rPr>
            </w:pPr>
            <w:r>
              <w:rPr>
                <w:rFonts w:ascii="Arial" w:cs="Arial" w:eastAsia="Arial" w:hAnsi="Arial"/>
                <w:sz w:val="13"/>
                <w:szCs w:val="13"/>
                <w:b w:val="1"/>
                <w:bCs w:val="1"/>
                <w:color w:val="auto"/>
                <w:w w:val="98"/>
              </w:rPr>
              <w:t>Textainer Group Holdings Limited Shareholders’ Equity</w:t>
            </w:r>
          </w:p>
        </w:tc>
        <w:tc>
          <w:tcPr>
            <w:tcW w:w="6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1020" w:type="dxa"/>
            <w:vAlign w:val="bottom"/>
            <w:tcBorders>
              <w:bottom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100" w:type="dxa"/>
            <w:vAlign w:val="bottom"/>
          </w:tcPr>
          <w:p>
            <w:pPr>
              <w:spacing w:after="0"/>
              <w:rPr>
                <w:sz w:val="13"/>
                <w:szCs w:val="13"/>
                <w:color w:val="auto"/>
              </w:rPr>
            </w:pPr>
          </w:p>
        </w:tc>
      </w:tr>
      <w:tr>
        <w:trPr>
          <w:trHeight w:val="110"/>
        </w:trPr>
        <w:tc>
          <w:tcPr>
            <w:tcW w:w="2600" w:type="dxa"/>
            <w:vAlign w:val="bottom"/>
          </w:tcPr>
          <w:p>
            <w:pPr>
              <w:spacing w:after="0"/>
              <w:rPr>
                <w:sz w:val="9"/>
                <w:szCs w:val="9"/>
                <w:color w:val="auto"/>
              </w:rPr>
            </w:pPr>
          </w:p>
        </w:tc>
        <w:tc>
          <w:tcPr>
            <w:tcW w:w="680" w:type="dxa"/>
            <w:vAlign w:val="bottom"/>
          </w:tcPr>
          <w:p>
            <w:pPr>
              <w:spacing w:after="0"/>
              <w:rPr>
                <w:sz w:val="9"/>
                <w:szCs w:val="9"/>
                <w:color w:val="auto"/>
              </w:rPr>
            </w:pPr>
          </w:p>
        </w:tc>
        <w:tc>
          <w:tcPr>
            <w:tcW w:w="80" w:type="dxa"/>
            <w:vAlign w:val="bottom"/>
          </w:tcPr>
          <w:p>
            <w:pPr>
              <w:spacing w:after="0"/>
              <w:rPr>
                <w:sz w:val="9"/>
                <w:szCs w:val="9"/>
                <w:color w:val="auto"/>
              </w:rPr>
            </w:pPr>
          </w:p>
        </w:tc>
        <w:tc>
          <w:tcPr>
            <w:tcW w:w="60" w:type="dxa"/>
            <w:vAlign w:val="bottom"/>
          </w:tcPr>
          <w:p>
            <w:pPr>
              <w:spacing w:after="0"/>
              <w:rPr>
                <w:sz w:val="9"/>
                <w:szCs w:val="9"/>
                <w:color w:val="auto"/>
              </w:rPr>
            </w:pPr>
          </w:p>
        </w:tc>
        <w:tc>
          <w:tcPr>
            <w:tcW w:w="140" w:type="dxa"/>
            <w:vAlign w:val="bottom"/>
          </w:tcPr>
          <w:p>
            <w:pPr>
              <w:spacing w:after="0"/>
              <w:rPr>
                <w:sz w:val="9"/>
                <w:szCs w:val="9"/>
                <w:color w:val="auto"/>
              </w:rPr>
            </w:pPr>
          </w:p>
        </w:tc>
        <w:tc>
          <w:tcPr>
            <w:tcW w:w="300" w:type="dxa"/>
            <w:vAlign w:val="bottom"/>
          </w:tcPr>
          <w:p>
            <w:pPr>
              <w:spacing w:after="0"/>
              <w:rPr>
                <w:sz w:val="9"/>
                <w:szCs w:val="9"/>
                <w:color w:val="auto"/>
              </w:rPr>
            </w:pPr>
          </w:p>
        </w:tc>
        <w:tc>
          <w:tcPr>
            <w:tcW w:w="120" w:type="dxa"/>
            <w:vAlign w:val="bottom"/>
          </w:tcPr>
          <w:p>
            <w:pPr>
              <w:spacing w:after="0"/>
              <w:rPr>
                <w:sz w:val="9"/>
                <w:szCs w:val="9"/>
                <w:color w:val="auto"/>
              </w:rPr>
            </w:pPr>
          </w:p>
        </w:tc>
        <w:tc>
          <w:tcPr>
            <w:tcW w:w="680" w:type="dxa"/>
            <w:vAlign w:val="bottom"/>
          </w:tcPr>
          <w:p>
            <w:pPr>
              <w:spacing w:after="0"/>
              <w:rPr>
                <w:sz w:val="9"/>
                <w:szCs w:val="9"/>
                <w:color w:val="auto"/>
              </w:rPr>
            </w:pPr>
          </w:p>
        </w:tc>
        <w:tc>
          <w:tcPr>
            <w:tcW w:w="160" w:type="dxa"/>
            <w:vAlign w:val="bottom"/>
          </w:tcPr>
          <w:p>
            <w:pPr>
              <w:spacing w:after="0"/>
              <w:rPr>
                <w:sz w:val="9"/>
                <w:szCs w:val="9"/>
                <w:color w:val="auto"/>
              </w:rPr>
            </w:pPr>
          </w:p>
        </w:tc>
        <w:tc>
          <w:tcPr>
            <w:tcW w:w="540" w:type="dxa"/>
            <w:vAlign w:val="bottom"/>
          </w:tcPr>
          <w:p>
            <w:pPr>
              <w:spacing w:after="0"/>
              <w:rPr>
                <w:sz w:val="9"/>
                <w:szCs w:val="9"/>
                <w:color w:val="auto"/>
              </w:rPr>
            </w:pPr>
          </w:p>
        </w:tc>
        <w:tc>
          <w:tcPr>
            <w:tcW w:w="180" w:type="dxa"/>
            <w:vAlign w:val="bottom"/>
          </w:tcPr>
          <w:p>
            <w:pPr>
              <w:spacing w:after="0"/>
              <w:rPr>
                <w:sz w:val="9"/>
                <w:szCs w:val="9"/>
                <w:color w:val="auto"/>
              </w:rPr>
            </w:pPr>
          </w:p>
        </w:tc>
        <w:tc>
          <w:tcPr>
            <w:tcW w:w="580" w:type="dxa"/>
            <w:vAlign w:val="bottom"/>
          </w:tcPr>
          <w:p>
            <w:pPr>
              <w:spacing w:after="0"/>
              <w:rPr>
                <w:sz w:val="9"/>
                <w:szCs w:val="9"/>
                <w:color w:val="auto"/>
              </w:rPr>
            </w:pPr>
          </w:p>
        </w:tc>
        <w:tc>
          <w:tcPr>
            <w:tcW w:w="160" w:type="dxa"/>
            <w:vAlign w:val="bottom"/>
          </w:tcPr>
          <w:p>
            <w:pPr>
              <w:spacing w:after="0"/>
              <w:rPr>
                <w:sz w:val="9"/>
                <w:szCs w:val="9"/>
                <w:color w:val="auto"/>
              </w:rPr>
            </w:pPr>
          </w:p>
        </w:tc>
        <w:tc>
          <w:tcPr>
            <w:tcW w:w="920" w:type="dxa"/>
            <w:vAlign w:val="bottom"/>
            <w:gridSpan w:val="3"/>
          </w:tcPr>
          <w:p>
            <w:pPr>
              <w:jc w:val="center"/>
              <w:ind w:right="100"/>
              <w:spacing w:after="0" w:line="110" w:lineRule="exact"/>
              <w:rPr>
                <w:sz w:val="20"/>
                <w:szCs w:val="20"/>
                <w:color w:val="auto"/>
              </w:rPr>
            </w:pPr>
            <w:r>
              <w:rPr>
                <w:rFonts w:ascii="Arial" w:cs="Arial" w:eastAsia="Arial" w:hAnsi="Arial"/>
                <w:sz w:val="12"/>
                <w:szCs w:val="12"/>
                <w:b w:val="1"/>
                <w:bCs w:val="1"/>
                <w:color w:val="auto"/>
                <w:w w:val="92"/>
              </w:rPr>
              <w:t>Accumulated</w:t>
            </w:r>
          </w:p>
        </w:tc>
        <w:tc>
          <w:tcPr>
            <w:tcW w:w="80" w:type="dxa"/>
            <w:vAlign w:val="bottom"/>
          </w:tcPr>
          <w:p>
            <w:pPr>
              <w:spacing w:after="0"/>
              <w:rPr>
                <w:sz w:val="9"/>
                <w:szCs w:val="9"/>
                <w:color w:val="auto"/>
              </w:rPr>
            </w:pPr>
          </w:p>
        </w:tc>
        <w:tc>
          <w:tcPr>
            <w:tcW w:w="54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80" w:type="dxa"/>
            <w:vAlign w:val="bottom"/>
          </w:tcPr>
          <w:p>
            <w:pPr>
              <w:spacing w:after="0"/>
              <w:rPr>
                <w:sz w:val="9"/>
                <w:szCs w:val="9"/>
                <w:color w:val="auto"/>
              </w:rPr>
            </w:pPr>
          </w:p>
        </w:tc>
        <w:tc>
          <w:tcPr>
            <w:tcW w:w="1020" w:type="dxa"/>
            <w:vAlign w:val="bottom"/>
          </w:tcPr>
          <w:p>
            <w:pPr>
              <w:jc w:val="right"/>
              <w:ind w:right="349"/>
              <w:spacing w:after="0" w:line="110" w:lineRule="exact"/>
              <w:rPr>
                <w:sz w:val="20"/>
                <w:szCs w:val="20"/>
                <w:color w:val="auto"/>
              </w:rPr>
            </w:pPr>
            <w:r>
              <w:rPr>
                <w:rFonts w:ascii="Arial" w:cs="Arial" w:eastAsia="Arial" w:hAnsi="Arial"/>
                <w:sz w:val="12"/>
                <w:szCs w:val="12"/>
                <w:b w:val="1"/>
                <w:bCs w:val="1"/>
                <w:color w:val="auto"/>
              </w:rPr>
              <w:t>Total</w:t>
            </w: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120" w:type="dxa"/>
            <w:vAlign w:val="bottom"/>
          </w:tcPr>
          <w:p>
            <w:pPr>
              <w:spacing w:after="0"/>
              <w:rPr>
                <w:sz w:val="9"/>
                <w:szCs w:val="9"/>
                <w:color w:val="auto"/>
              </w:rPr>
            </w:pPr>
          </w:p>
        </w:tc>
        <w:tc>
          <w:tcPr>
            <w:tcW w:w="680" w:type="dxa"/>
            <w:vAlign w:val="bottom"/>
          </w:tcPr>
          <w:p>
            <w:pPr>
              <w:spacing w:after="0"/>
              <w:rPr>
                <w:sz w:val="9"/>
                <w:szCs w:val="9"/>
                <w:color w:val="auto"/>
              </w:rPr>
            </w:pPr>
          </w:p>
        </w:tc>
        <w:tc>
          <w:tcPr>
            <w:tcW w:w="180" w:type="dxa"/>
            <w:vAlign w:val="bottom"/>
          </w:tcPr>
          <w:p>
            <w:pPr>
              <w:spacing w:after="0"/>
              <w:rPr>
                <w:sz w:val="9"/>
                <w:szCs w:val="9"/>
                <w:color w:val="auto"/>
              </w:rPr>
            </w:pPr>
          </w:p>
        </w:tc>
        <w:tc>
          <w:tcPr>
            <w:tcW w:w="660" w:type="dxa"/>
            <w:vAlign w:val="bottom"/>
          </w:tcPr>
          <w:p>
            <w:pPr>
              <w:spacing w:after="0"/>
              <w:rPr>
                <w:sz w:val="9"/>
                <w:szCs w:val="9"/>
                <w:color w:val="auto"/>
              </w:rPr>
            </w:pPr>
          </w:p>
        </w:tc>
        <w:tc>
          <w:tcPr>
            <w:tcW w:w="100" w:type="dxa"/>
            <w:vAlign w:val="bottom"/>
          </w:tcPr>
          <w:p>
            <w:pPr>
              <w:spacing w:after="0"/>
              <w:rPr>
                <w:sz w:val="9"/>
                <w:szCs w:val="9"/>
                <w:color w:val="auto"/>
              </w:rPr>
            </w:pPr>
          </w:p>
        </w:tc>
      </w:tr>
      <w:tr>
        <w:trPr>
          <w:trHeight w:val="140"/>
        </w:trPr>
        <w:tc>
          <w:tcPr>
            <w:tcW w:w="26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40" w:type="dxa"/>
            <w:vAlign w:val="bottom"/>
            <w:gridSpan w:val="2"/>
          </w:tcPr>
          <w:p>
            <w:pPr>
              <w:jc w:val="center"/>
              <w:ind w:right="180"/>
              <w:spacing w:after="0" w:line="140" w:lineRule="exact"/>
              <w:rPr>
                <w:sz w:val="20"/>
                <w:szCs w:val="20"/>
                <w:color w:val="auto"/>
              </w:rPr>
            </w:pPr>
            <w:r>
              <w:rPr>
                <w:rFonts w:ascii="Arial" w:cs="Arial" w:eastAsia="Arial" w:hAnsi="Arial"/>
                <w:sz w:val="13"/>
                <w:szCs w:val="13"/>
                <w:b w:val="1"/>
                <w:bCs w:val="1"/>
                <w:color w:val="auto"/>
                <w:w w:val="88"/>
              </w:rPr>
              <w:t>Additional</w:t>
            </w:r>
          </w:p>
        </w:tc>
        <w:tc>
          <w:tcPr>
            <w:tcW w:w="180" w:type="dxa"/>
            <w:vAlign w:val="bottom"/>
          </w:tcPr>
          <w:p>
            <w:pPr>
              <w:spacing w:after="0"/>
              <w:rPr>
                <w:sz w:val="12"/>
                <w:szCs w:val="12"/>
                <w:color w:val="auto"/>
              </w:rPr>
            </w:pPr>
          </w:p>
        </w:tc>
        <w:tc>
          <w:tcPr>
            <w:tcW w:w="740" w:type="dxa"/>
            <w:vAlign w:val="bottom"/>
            <w:gridSpan w:val="2"/>
          </w:tcPr>
          <w:p>
            <w:pPr>
              <w:jc w:val="center"/>
              <w:ind w:right="280"/>
              <w:spacing w:after="0" w:line="140" w:lineRule="exact"/>
              <w:rPr>
                <w:sz w:val="20"/>
                <w:szCs w:val="20"/>
                <w:color w:val="auto"/>
              </w:rPr>
            </w:pPr>
            <w:r>
              <w:rPr>
                <w:rFonts w:ascii="Arial" w:cs="Arial" w:eastAsia="Arial" w:hAnsi="Arial"/>
                <w:sz w:val="13"/>
                <w:szCs w:val="13"/>
                <w:b w:val="1"/>
                <w:bCs w:val="1"/>
                <w:color w:val="auto"/>
                <w:w w:val="92"/>
              </w:rPr>
              <w:t>other</w:t>
            </w: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20" w:type="dxa"/>
            <w:vAlign w:val="bottom"/>
            <w:gridSpan w:val="2"/>
          </w:tcPr>
          <w:p>
            <w:pPr>
              <w:jc w:val="right"/>
              <w:ind w:right="200"/>
              <w:spacing w:after="0" w:line="140" w:lineRule="exact"/>
              <w:rPr>
                <w:sz w:val="20"/>
                <w:szCs w:val="20"/>
                <w:color w:val="auto"/>
              </w:rPr>
            </w:pPr>
            <w:r>
              <w:rPr>
                <w:rFonts w:ascii="Arial" w:cs="Arial" w:eastAsia="Arial" w:hAnsi="Arial"/>
                <w:sz w:val="13"/>
                <w:szCs w:val="13"/>
                <w:b w:val="1"/>
                <w:bCs w:val="1"/>
                <w:color w:val="auto"/>
                <w:w w:val="89"/>
              </w:rPr>
              <w:t>Textainer Group</w:t>
            </w: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r>
      <w:tr>
        <w:trPr>
          <w:trHeight w:val="162"/>
        </w:trPr>
        <w:tc>
          <w:tcPr>
            <w:tcW w:w="2600" w:type="dxa"/>
            <w:vAlign w:val="bottom"/>
          </w:tcPr>
          <w:p>
            <w:pPr>
              <w:spacing w:after="0"/>
              <w:rPr>
                <w:sz w:val="14"/>
                <w:szCs w:val="14"/>
                <w:color w:val="auto"/>
              </w:rPr>
            </w:pPr>
          </w:p>
        </w:tc>
        <w:tc>
          <w:tcPr>
            <w:tcW w:w="1380" w:type="dxa"/>
            <w:vAlign w:val="bottom"/>
            <w:gridSpan w:val="6"/>
          </w:tcPr>
          <w:p>
            <w:pPr>
              <w:ind w:left="200"/>
              <w:spacing w:after="0"/>
              <w:rPr>
                <w:sz w:val="20"/>
                <w:szCs w:val="20"/>
                <w:color w:val="auto"/>
              </w:rPr>
            </w:pPr>
            <w:r>
              <w:rPr>
                <w:rFonts w:ascii="Arial" w:cs="Arial" w:eastAsia="Arial" w:hAnsi="Arial"/>
                <w:sz w:val="13"/>
                <w:szCs w:val="13"/>
                <w:b w:val="1"/>
                <w:bCs w:val="1"/>
                <w:color w:val="auto"/>
              </w:rPr>
              <w:t>Common shares</w:t>
            </w:r>
          </w:p>
        </w:tc>
        <w:tc>
          <w:tcPr>
            <w:tcW w:w="1560" w:type="dxa"/>
            <w:vAlign w:val="bottom"/>
            <w:gridSpan w:val="4"/>
          </w:tcPr>
          <w:p>
            <w:pPr>
              <w:jc w:val="right"/>
              <w:ind w:right="440"/>
              <w:spacing w:after="0"/>
              <w:rPr>
                <w:sz w:val="20"/>
                <w:szCs w:val="20"/>
                <w:color w:val="auto"/>
              </w:rPr>
            </w:pPr>
            <w:r>
              <w:rPr>
                <w:rFonts w:ascii="Arial" w:cs="Arial" w:eastAsia="Arial" w:hAnsi="Arial"/>
                <w:sz w:val="13"/>
                <w:szCs w:val="13"/>
                <w:b w:val="1"/>
                <w:bCs w:val="1"/>
                <w:color w:val="auto"/>
              </w:rPr>
              <w:t>Treasury shares</w:t>
            </w:r>
          </w:p>
        </w:tc>
        <w:tc>
          <w:tcPr>
            <w:tcW w:w="740" w:type="dxa"/>
            <w:vAlign w:val="bottom"/>
            <w:gridSpan w:val="2"/>
          </w:tcPr>
          <w:p>
            <w:pPr>
              <w:jc w:val="center"/>
              <w:ind w:right="180"/>
              <w:spacing w:after="0"/>
              <w:rPr>
                <w:sz w:val="20"/>
                <w:szCs w:val="20"/>
                <w:color w:val="auto"/>
              </w:rPr>
            </w:pPr>
            <w:r>
              <w:rPr>
                <w:rFonts w:ascii="Arial" w:cs="Arial" w:eastAsia="Arial" w:hAnsi="Arial"/>
                <w:sz w:val="13"/>
                <w:szCs w:val="13"/>
                <w:b w:val="1"/>
                <w:bCs w:val="1"/>
                <w:color w:val="auto"/>
                <w:w w:val="93"/>
              </w:rPr>
              <w:t>paid-in</w:t>
            </w:r>
          </w:p>
        </w:tc>
        <w:tc>
          <w:tcPr>
            <w:tcW w:w="920" w:type="dxa"/>
            <w:vAlign w:val="bottom"/>
            <w:gridSpan w:val="3"/>
          </w:tcPr>
          <w:p>
            <w:pPr>
              <w:jc w:val="center"/>
              <w:ind w:right="80"/>
              <w:spacing w:after="0"/>
              <w:rPr>
                <w:sz w:val="20"/>
                <w:szCs w:val="20"/>
                <w:color w:val="auto"/>
              </w:rPr>
            </w:pPr>
            <w:r>
              <w:rPr>
                <w:rFonts w:ascii="Arial" w:cs="Arial" w:eastAsia="Arial" w:hAnsi="Arial"/>
                <w:sz w:val="13"/>
                <w:szCs w:val="13"/>
                <w:b w:val="1"/>
                <w:bCs w:val="1"/>
                <w:color w:val="auto"/>
                <w:w w:val="83"/>
              </w:rPr>
              <w:t>comprehensive</w:t>
            </w:r>
          </w:p>
        </w:tc>
        <w:tc>
          <w:tcPr>
            <w:tcW w:w="80" w:type="dxa"/>
            <w:vAlign w:val="bottom"/>
          </w:tcPr>
          <w:p>
            <w:pPr>
              <w:spacing w:after="0"/>
              <w:rPr>
                <w:sz w:val="14"/>
                <w:szCs w:val="14"/>
                <w:color w:val="auto"/>
              </w:rPr>
            </w:pPr>
          </w:p>
        </w:tc>
        <w:tc>
          <w:tcPr>
            <w:tcW w:w="660" w:type="dxa"/>
            <w:vAlign w:val="bottom"/>
            <w:gridSpan w:val="2"/>
          </w:tcPr>
          <w:p>
            <w:pPr>
              <w:jc w:val="right"/>
              <w:ind w:right="140"/>
              <w:spacing w:after="0"/>
              <w:rPr>
                <w:sz w:val="20"/>
                <w:szCs w:val="20"/>
                <w:color w:val="auto"/>
              </w:rPr>
            </w:pPr>
            <w:r>
              <w:rPr>
                <w:rFonts w:ascii="Arial" w:cs="Arial" w:eastAsia="Arial" w:hAnsi="Arial"/>
                <w:sz w:val="13"/>
                <w:szCs w:val="13"/>
                <w:b w:val="1"/>
                <w:bCs w:val="1"/>
                <w:color w:val="auto"/>
                <w:w w:val="90"/>
              </w:rPr>
              <w:t>Retained</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20" w:type="dxa"/>
            <w:vAlign w:val="bottom"/>
            <w:gridSpan w:val="2"/>
          </w:tcPr>
          <w:p>
            <w:pPr>
              <w:jc w:val="right"/>
              <w:ind w:right="180"/>
              <w:spacing w:after="0"/>
              <w:rPr>
                <w:sz w:val="20"/>
                <w:szCs w:val="20"/>
                <w:color w:val="auto"/>
              </w:rPr>
            </w:pPr>
            <w:r>
              <w:rPr>
                <w:rFonts w:ascii="Arial" w:cs="Arial" w:eastAsia="Arial" w:hAnsi="Arial"/>
                <w:sz w:val="13"/>
                <w:szCs w:val="13"/>
                <w:b w:val="1"/>
                <w:bCs w:val="1"/>
                <w:color w:val="auto"/>
                <w:w w:val="87"/>
              </w:rPr>
              <w:t>Holdings Limited</w:t>
            </w:r>
          </w:p>
        </w:tc>
        <w:tc>
          <w:tcPr>
            <w:tcW w:w="80" w:type="dxa"/>
            <w:vAlign w:val="bottom"/>
          </w:tcPr>
          <w:p>
            <w:pPr>
              <w:spacing w:after="0"/>
              <w:rPr>
                <w:sz w:val="14"/>
                <w:szCs w:val="14"/>
                <w:color w:val="auto"/>
              </w:rPr>
            </w:pPr>
          </w:p>
        </w:tc>
        <w:tc>
          <w:tcPr>
            <w:tcW w:w="980" w:type="dxa"/>
            <w:vAlign w:val="bottom"/>
            <w:gridSpan w:val="3"/>
          </w:tcPr>
          <w:p>
            <w:pPr>
              <w:jc w:val="right"/>
              <w:ind w:right="180"/>
              <w:spacing w:after="0"/>
              <w:rPr>
                <w:sz w:val="20"/>
                <w:szCs w:val="20"/>
                <w:color w:val="auto"/>
              </w:rPr>
            </w:pPr>
            <w:r>
              <w:rPr>
                <w:rFonts w:ascii="Arial" w:cs="Arial" w:eastAsia="Arial" w:hAnsi="Arial"/>
                <w:sz w:val="13"/>
                <w:szCs w:val="13"/>
                <w:b w:val="1"/>
                <w:bCs w:val="1"/>
                <w:color w:val="auto"/>
                <w:w w:val="84"/>
              </w:rPr>
              <w:t>Noncontrolling</w:t>
            </w:r>
          </w:p>
        </w:tc>
        <w:tc>
          <w:tcPr>
            <w:tcW w:w="760" w:type="dxa"/>
            <w:vAlign w:val="bottom"/>
            <w:gridSpan w:val="2"/>
          </w:tcPr>
          <w:p>
            <w:pPr>
              <w:jc w:val="right"/>
              <w:ind w:right="300"/>
              <w:spacing w:after="0"/>
              <w:rPr>
                <w:sz w:val="20"/>
                <w:szCs w:val="20"/>
                <w:color w:val="auto"/>
              </w:rPr>
            </w:pPr>
            <w:r>
              <w:rPr>
                <w:rFonts w:ascii="Arial" w:cs="Arial" w:eastAsia="Arial" w:hAnsi="Arial"/>
                <w:sz w:val="13"/>
                <w:szCs w:val="13"/>
                <w:b w:val="1"/>
                <w:bCs w:val="1"/>
                <w:color w:val="auto"/>
              </w:rPr>
              <w:t>Total</w:t>
            </w:r>
          </w:p>
        </w:tc>
      </w:tr>
      <w:tr>
        <w:trPr>
          <w:trHeight w:val="128"/>
        </w:trPr>
        <w:tc>
          <w:tcPr>
            <w:tcW w:w="2600" w:type="dxa"/>
            <w:vAlign w:val="bottom"/>
          </w:tcPr>
          <w:p>
            <w:pPr>
              <w:spacing w:after="0"/>
              <w:rPr>
                <w:sz w:val="11"/>
                <w:szCs w:val="11"/>
                <w:color w:val="auto"/>
              </w:rPr>
            </w:pPr>
          </w:p>
        </w:tc>
        <w:tc>
          <w:tcPr>
            <w:tcW w:w="760" w:type="dxa"/>
            <w:vAlign w:val="bottom"/>
            <w:tcBorders>
              <w:top w:val="single" w:sz="8" w:color="auto"/>
            </w:tcBorders>
            <w:gridSpan w:val="2"/>
          </w:tcPr>
          <w:p>
            <w:pPr>
              <w:ind w:left="160"/>
              <w:spacing w:after="0" w:line="129" w:lineRule="exact"/>
              <w:rPr>
                <w:sz w:val="20"/>
                <w:szCs w:val="20"/>
                <w:color w:val="auto"/>
              </w:rPr>
            </w:pPr>
            <w:r>
              <w:rPr>
                <w:rFonts w:ascii="Arial" w:cs="Arial" w:eastAsia="Arial" w:hAnsi="Arial"/>
                <w:sz w:val="13"/>
                <w:szCs w:val="13"/>
                <w:b w:val="1"/>
                <w:bCs w:val="1"/>
                <w:color w:val="auto"/>
              </w:rPr>
              <w:t>Shares</w:t>
            </w:r>
          </w:p>
        </w:tc>
        <w:tc>
          <w:tcPr>
            <w:tcW w:w="60" w:type="dxa"/>
            <w:vAlign w:val="bottom"/>
            <w:tcBorders>
              <w:top w:val="single" w:sz="8" w:color="auto"/>
            </w:tcBorders>
          </w:tcPr>
          <w:p>
            <w:pPr>
              <w:spacing w:after="0"/>
              <w:rPr>
                <w:sz w:val="11"/>
                <w:szCs w:val="11"/>
                <w:color w:val="auto"/>
              </w:rPr>
            </w:pPr>
          </w:p>
        </w:tc>
        <w:tc>
          <w:tcPr>
            <w:tcW w:w="440" w:type="dxa"/>
            <w:vAlign w:val="bottom"/>
            <w:tcBorders>
              <w:top w:val="single" w:sz="8" w:color="auto"/>
            </w:tcBorders>
            <w:gridSpan w:val="2"/>
          </w:tcPr>
          <w:p>
            <w:pPr>
              <w:jc w:val="right"/>
              <w:spacing w:after="0" w:line="129" w:lineRule="exact"/>
              <w:rPr>
                <w:sz w:val="20"/>
                <w:szCs w:val="20"/>
                <w:color w:val="auto"/>
              </w:rPr>
            </w:pPr>
            <w:r>
              <w:rPr>
                <w:rFonts w:ascii="Arial" w:cs="Arial" w:eastAsia="Arial" w:hAnsi="Arial"/>
                <w:sz w:val="13"/>
                <w:szCs w:val="13"/>
                <w:b w:val="1"/>
                <w:bCs w:val="1"/>
                <w:color w:val="auto"/>
                <w:w w:val="85"/>
              </w:rPr>
              <w:t>Amount</w:t>
            </w:r>
          </w:p>
        </w:tc>
        <w:tc>
          <w:tcPr>
            <w:tcW w:w="120" w:type="dxa"/>
            <w:vAlign w:val="bottom"/>
          </w:tcPr>
          <w:p>
            <w:pPr>
              <w:spacing w:after="0"/>
              <w:rPr>
                <w:sz w:val="11"/>
                <w:szCs w:val="11"/>
                <w:color w:val="auto"/>
              </w:rPr>
            </w:pPr>
          </w:p>
        </w:tc>
        <w:tc>
          <w:tcPr>
            <w:tcW w:w="840" w:type="dxa"/>
            <w:vAlign w:val="bottom"/>
            <w:tcBorders>
              <w:top w:val="single" w:sz="8" w:color="auto"/>
            </w:tcBorders>
            <w:gridSpan w:val="2"/>
          </w:tcPr>
          <w:p>
            <w:pPr>
              <w:jc w:val="right"/>
              <w:ind w:right="320"/>
              <w:spacing w:after="0" w:line="129" w:lineRule="exact"/>
              <w:rPr>
                <w:sz w:val="20"/>
                <w:szCs w:val="20"/>
                <w:color w:val="auto"/>
              </w:rPr>
            </w:pPr>
            <w:r>
              <w:rPr>
                <w:rFonts w:ascii="Arial" w:cs="Arial" w:eastAsia="Arial" w:hAnsi="Arial"/>
                <w:sz w:val="13"/>
                <w:szCs w:val="13"/>
                <w:b w:val="1"/>
                <w:bCs w:val="1"/>
                <w:color w:val="auto"/>
              </w:rPr>
              <w:t>Shares</w:t>
            </w:r>
          </w:p>
        </w:tc>
        <w:tc>
          <w:tcPr>
            <w:tcW w:w="540" w:type="dxa"/>
            <w:vAlign w:val="bottom"/>
            <w:tcBorders>
              <w:top w:val="single" w:sz="8" w:color="auto"/>
            </w:tcBorders>
          </w:tcPr>
          <w:p>
            <w:pPr>
              <w:ind w:left="60"/>
              <w:spacing w:after="0" w:line="129" w:lineRule="exact"/>
              <w:rPr>
                <w:sz w:val="20"/>
                <w:szCs w:val="20"/>
                <w:color w:val="auto"/>
              </w:rPr>
            </w:pPr>
            <w:r>
              <w:rPr>
                <w:rFonts w:ascii="Arial" w:cs="Arial" w:eastAsia="Arial" w:hAnsi="Arial"/>
                <w:sz w:val="13"/>
                <w:szCs w:val="13"/>
                <w:b w:val="1"/>
                <w:bCs w:val="1"/>
                <w:color w:val="auto"/>
                <w:w w:val="93"/>
              </w:rPr>
              <w:t>Amount</w:t>
            </w:r>
          </w:p>
        </w:tc>
        <w:tc>
          <w:tcPr>
            <w:tcW w:w="180" w:type="dxa"/>
            <w:vAlign w:val="bottom"/>
          </w:tcPr>
          <w:p>
            <w:pPr>
              <w:spacing w:after="0"/>
              <w:rPr>
                <w:sz w:val="11"/>
                <w:szCs w:val="11"/>
                <w:color w:val="auto"/>
              </w:rPr>
            </w:pPr>
          </w:p>
        </w:tc>
        <w:tc>
          <w:tcPr>
            <w:tcW w:w="580" w:type="dxa"/>
            <w:vAlign w:val="bottom"/>
            <w:tcBorders>
              <w:top w:val="single" w:sz="8" w:color="auto"/>
            </w:tcBorders>
          </w:tcPr>
          <w:p>
            <w:pPr>
              <w:jc w:val="center"/>
              <w:spacing w:after="0" w:line="129" w:lineRule="exact"/>
              <w:rPr>
                <w:sz w:val="20"/>
                <w:szCs w:val="20"/>
                <w:color w:val="auto"/>
              </w:rPr>
            </w:pPr>
            <w:r>
              <w:rPr>
                <w:rFonts w:ascii="Arial" w:cs="Arial" w:eastAsia="Arial" w:hAnsi="Arial"/>
                <w:sz w:val="13"/>
                <w:szCs w:val="13"/>
                <w:b w:val="1"/>
                <w:bCs w:val="1"/>
                <w:color w:val="auto"/>
                <w:w w:val="87"/>
              </w:rPr>
              <w:t>capital</w:t>
            </w:r>
          </w:p>
        </w:tc>
        <w:tc>
          <w:tcPr>
            <w:tcW w:w="160" w:type="dxa"/>
            <w:vAlign w:val="bottom"/>
          </w:tcPr>
          <w:p>
            <w:pPr>
              <w:spacing w:after="0"/>
              <w:rPr>
                <w:sz w:val="11"/>
                <w:szCs w:val="11"/>
                <w:color w:val="auto"/>
              </w:rPr>
            </w:pPr>
          </w:p>
        </w:tc>
        <w:tc>
          <w:tcPr>
            <w:tcW w:w="920" w:type="dxa"/>
            <w:vAlign w:val="bottom"/>
            <w:gridSpan w:val="3"/>
          </w:tcPr>
          <w:p>
            <w:pPr>
              <w:jc w:val="center"/>
              <w:ind w:right="100"/>
              <w:spacing w:after="0" w:line="129" w:lineRule="exact"/>
              <w:rPr>
                <w:sz w:val="20"/>
                <w:szCs w:val="20"/>
                <w:color w:val="auto"/>
              </w:rPr>
            </w:pPr>
            <w:r>
              <w:rPr>
                <w:rFonts w:ascii="Arial" w:cs="Arial" w:eastAsia="Arial" w:hAnsi="Arial"/>
                <w:sz w:val="13"/>
                <w:szCs w:val="13"/>
                <w:b w:val="1"/>
                <w:bCs w:val="1"/>
                <w:color w:val="auto"/>
                <w:w w:val="83"/>
              </w:rPr>
              <w:t>income (loss)</w:t>
            </w:r>
          </w:p>
        </w:tc>
        <w:tc>
          <w:tcPr>
            <w:tcW w:w="80" w:type="dxa"/>
            <w:vAlign w:val="bottom"/>
          </w:tcPr>
          <w:p>
            <w:pPr>
              <w:spacing w:after="0"/>
              <w:rPr>
                <w:sz w:val="11"/>
                <w:szCs w:val="11"/>
                <w:color w:val="auto"/>
              </w:rPr>
            </w:pPr>
          </w:p>
        </w:tc>
        <w:tc>
          <w:tcPr>
            <w:tcW w:w="660" w:type="dxa"/>
            <w:vAlign w:val="bottom"/>
            <w:gridSpan w:val="2"/>
          </w:tcPr>
          <w:p>
            <w:pPr>
              <w:jc w:val="right"/>
              <w:ind w:right="160"/>
              <w:spacing w:after="0" w:line="129" w:lineRule="exact"/>
              <w:rPr>
                <w:sz w:val="20"/>
                <w:szCs w:val="20"/>
                <w:color w:val="auto"/>
              </w:rPr>
            </w:pPr>
            <w:r>
              <w:rPr>
                <w:rFonts w:ascii="Arial" w:cs="Arial" w:eastAsia="Arial" w:hAnsi="Arial"/>
                <w:sz w:val="13"/>
                <w:szCs w:val="13"/>
                <w:b w:val="1"/>
                <w:bCs w:val="1"/>
                <w:color w:val="auto"/>
                <w:w w:val="88"/>
              </w:rPr>
              <w:t>earnings</w:t>
            </w:r>
          </w:p>
        </w:tc>
        <w:tc>
          <w:tcPr>
            <w:tcW w:w="60" w:type="dxa"/>
            <w:vAlign w:val="bottom"/>
          </w:tcPr>
          <w:p>
            <w:pPr>
              <w:spacing w:after="0"/>
              <w:rPr>
                <w:sz w:val="11"/>
                <w:szCs w:val="11"/>
                <w:color w:val="auto"/>
              </w:rPr>
            </w:pPr>
          </w:p>
        </w:tc>
        <w:tc>
          <w:tcPr>
            <w:tcW w:w="1200" w:type="dxa"/>
            <w:vAlign w:val="bottom"/>
            <w:gridSpan w:val="3"/>
          </w:tcPr>
          <w:p>
            <w:pPr>
              <w:spacing w:after="0" w:line="129" w:lineRule="exact"/>
              <w:rPr>
                <w:sz w:val="20"/>
                <w:szCs w:val="20"/>
                <w:color w:val="auto"/>
              </w:rPr>
            </w:pPr>
            <w:r>
              <w:rPr>
                <w:rFonts w:ascii="Arial" w:cs="Arial" w:eastAsia="Arial" w:hAnsi="Arial"/>
                <w:sz w:val="13"/>
                <w:szCs w:val="13"/>
                <w:b w:val="1"/>
                <w:bCs w:val="1"/>
                <w:color w:val="auto"/>
                <w:w w:val="92"/>
              </w:rPr>
              <w:t>shareholders’ equity</w:t>
            </w: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60" w:type="dxa"/>
            <w:vAlign w:val="bottom"/>
            <w:gridSpan w:val="2"/>
          </w:tcPr>
          <w:p>
            <w:pPr>
              <w:ind w:left="80"/>
              <w:spacing w:after="0" w:line="129" w:lineRule="exact"/>
              <w:rPr>
                <w:sz w:val="20"/>
                <w:szCs w:val="20"/>
                <w:color w:val="auto"/>
              </w:rPr>
            </w:pPr>
            <w:r>
              <w:rPr>
                <w:rFonts w:ascii="Arial" w:cs="Arial" w:eastAsia="Arial" w:hAnsi="Arial"/>
                <w:sz w:val="13"/>
                <w:szCs w:val="13"/>
                <w:b w:val="1"/>
                <w:bCs w:val="1"/>
                <w:color w:val="auto"/>
              </w:rPr>
              <w:t>interest</w:t>
            </w:r>
          </w:p>
        </w:tc>
        <w:tc>
          <w:tcPr>
            <w:tcW w:w="760" w:type="dxa"/>
            <w:vAlign w:val="bottom"/>
            <w:gridSpan w:val="2"/>
          </w:tcPr>
          <w:p>
            <w:pPr>
              <w:jc w:val="right"/>
              <w:ind w:right="260"/>
              <w:spacing w:after="0" w:line="129" w:lineRule="exact"/>
              <w:rPr>
                <w:sz w:val="20"/>
                <w:szCs w:val="20"/>
                <w:color w:val="auto"/>
              </w:rPr>
            </w:pPr>
            <w:r>
              <w:rPr>
                <w:rFonts w:ascii="Arial" w:cs="Arial" w:eastAsia="Arial" w:hAnsi="Arial"/>
                <w:sz w:val="13"/>
                <w:szCs w:val="13"/>
                <w:b w:val="1"/>
                <w:bCs w:val="1"/>
                <w:color w:val="auto"/>
              </w:rPr>
              <w:t>equity</w:t>
            </w:r>
          </w:p>
        </w:tc>
      </w:tr>
      <w:tr>
        <w:trPr>
          <w:trHeight w:val="142"/>
        </w:trPr>
        <w:tc>
          <w:tcPr>
            <w:tcW w:w="2600" w:type="dxa"/>
            <w:vAlign w:val="bottom"/>
            <w:tcBorders>
              <w:top w:val="single" w:sz="8" w:color="CCEEFF"/>
            </w:tcBorders>
            <w:shd w:val="clear" w:color="auto" w:fill="CCEEFF"/>
          </w:tcPr>
          <w:p>
            <w:pPr>
              <w:spacing w:after="0" w:line="142" w:lineRule="exact"/>
              <w:rPr>
                <w:sz w:val="20"/>
                <w:szCs w:val="20"/>
                <w:color w:val="auto"/>
              </w:rPr>
            </w:pPr>
            <w:r>
              <w:rPr>
                <w:rFonts w:ascii="Arial" w:cs="Arial" w:eastAsia="Arial" w:hAnsi="Arial"/>
                <w:sz w:val="14"/>
                <w:szCs w:val="14"/>
                <w:color w:val="auto"/>
              </w:rPr>
              <w:t>Balances, December 31, 2017</w:t>
            </w:r>
          </w:p>
        </w:tc>
        <w:tc>
          <w:tcPr>
            <w:tcW w:w="680" w:type="dxa"/>
            <w:vAlign w:val="bottom"/>
            <w:tcBorders>
              <w:top w:val="single" w:sz="8" w:color="auto"/>
              <w:bottom w:val="single" w:sz="8" w:color="auto"/>
            </w:tcBorders>
            <w:shd w:val="clear" w:color="auto" w:fill="CCEEFF"/>
          </w:tcPr>
          <w:p>
            <w:pPr>
              <w:ind w:left="40"/>
              <w:spacing w:after="0" w:line="142" w:lineRule="exact"/>
              <w:rPr>
                <w:sz w:val="20"/>
                <w:szCs w:val="20"/>
                <w:color w:val="auto"/>
              </w:rPr>
            </w:pPr>
            <w:r>
              <w:rPr>
                <w:rFonts w:ascii="Arial" w:cs="Arial" w:eastAsia="Arial" w:hAnsi="Arial"/>
                <w:sz w:val="14"/>
                <w:szCs w:val="14"/>
                <w:color w:val="auto"/>
                <w:w w:val="88"/>
              </w:rPr>
              <w:t>57,727,220</w:t>
            </w:r>
          </w:p>
        </w:tc>
        <w:tc>
          <w:tcPr>
            <w:tcW w:w="80" w:type="dxa"/>
            <w:vAlign w:val="bottom"/>
            <w:tcBorders>
              <w:top w:val="single" w:sz="8" w:color="CCEEFF"/>
            </w:tcBorders>
            <w:shd w:val="clear" w:color="auto" w:fill="CCEEFF"/>
          </w:tcPr>
          <w:p>
            <w:pPr>
              <w:spacing w:after="0"/>
              <w:rPr>
                <w:sz w:val="12"/>
                <w:szCs w:val="12"/>
                <w:color w:val="auto"/>
              </w:rPr>
            </w:pPr>
          </w:p>
        </w:tc>
        <w:tc>
          <w:tcPr>
            <w:tcW w:w="60" w:type="dxa"/>
            <w:vAlign w:val="bottom"/>
            <w:tcBorders>
              <w:top w:val="single" w:sz="8" w:color="CCEEFF"/>
            </w:tcBorders>
            <w:shd w:val="clear" w:color="auto" w:fill="CCEEFF"/>
          </w:tcPr>
          <w:p>
            <w:pPr>
              <w:spacing w:after="0"/>
              <w:rPr>
                <w:sz w:val="12"/>
                <w:szCs w:val="12"/>
                <w:color w:val="auto"/>
              </w:rPr>
            </w:pPr>
          </w:p>
        </w:tc>
        <w:tc>
          <w:tcPr>
            <w:tcW w:w="140" w:type="dxa"/>
            <w:vAlign w:val="bottom"/>
            <w:tcBorders>
              <w:top w:val="single" w:sz="8" w:color="auto"/>
              <w:bottom w:val="single" w:sz="8" w:color="auto"/>
            </w:tcBorders>
            <w:shd w:val="clear" w:color="auto" w:fill="CCEEFF"/>
          </w:tcPr>
          <w:p>
            <w:pPr>
              <w:jc w:val="right"/>
              <w:ind w:right="23"/>
              <w:spacing w:after="0"/>
              <w:rPr>
                <w:sz w:val="20"/>
                <w:szCs w:val="20"/>
                <w:color w:val="auto"/>
              </w:rPr>
            </w:pPr>
            <w:r>
              <w:rPr>
                <w:rFonts w:ascii="Arial" w:cs="Arial" w:eastAsia="Arial" w:hAnsi="Arial"/>
                <w:sz w:val="10"/>
                <w:szCs w:val="10"/>
                <w:color w:val="auto"/>
                <w:w w:val="71"/>
              </w:rPr>
              <w:t>$</w:t>
            </w:r>
          </w:p>
        </w:tc>
        <w:tc>
          <w:tcPr>
            <w:tcW w:w="300" w:type="dxa"/>
            <w:vAlign w:val="bottom"/>
            <w:tcBorders>
              <w:top w:val="single" w:sz="8" w:color="auto"/>
              <w:bottom w:val="single" w:sz="8" w:color="auto"/>
            </w:tcBorders>
            <w:shd w:val="clear" w:color="auto" w:fill="CCEEFF"/>
          </w:tcPr>
          <w:p>
            <w:pPr>
              <w:ind w:left="80"/>
              <w:spacing w:after="0" w:line="142" w:lineRule="exact"/>
              <w:rPr>
                <w:sz w:val="20"/>
                <w:szCs w:val="20"/>
                <w:color w:val="auto"/>
              </w:rPr>
            </w:pPr>
            <w:r>
              <w:rPr>
                <w:rFonts w:ascii="Arial" w:cs="Arial" w:eastAsia="Arial" w:hAnsi="Arial"/>
                <w:sz w:val="14"/>
                <w:szCs w:val="14"/>
                <w:color w:val="auto"/>
                <w:w w:val="85"/>
              </w:rPr>
              <w:t>578</w:t>
            </w:r>
          </w:p>
        </w:tc>
        <w:tc>
          <w:tcPr>
            <w:tcW w:w="120" w:type="dxa"/>
            <w:vAlign w:val="bottom"/>
            <w:tcBorders>
              <w:top w:val="single" w:sz="8" w:color="CCEEFF"/>
            </w:tcBorders>
            <w:shd w:val="clear" w:color="auto" w:fill="CCEEFF"/>
          </w:tcPr>
          <w:p>
            <w:pPr>
              <w:spacing w:after="0"/>
              <w:rPr>
                <w:sz w:val="12"/>
                <w:szCs w:val="12"/>
                <w:color w:val="auto"/>
              </w:rPr>
            </w:pPr>
          </w:p>
        </w:tc>
        <w:tc>
          <w:tcPr>
            <w:tcW w:w="680" w:type="dxa"/>
            <w:vAlign w:val="bottom"/>
            <w:tcBorders>
              <w:top w:val="single" w:sz="8" w:color="auto"/>
              <w:bottom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(630,000)</w:t>
            </w:r>
          </w:p>
        </w:tc>
        <w:tc>
          <w:tcPr>
            <w:tcW w:w="160" w:type="dxa"/>
            <w:vAlign w:val="bottom"/>
            <w:tcBorders>
              <w:top w:val="single" w:sz="8" w:color="CCEEFF"/>
            </w:tcBorders>
            <w:shd w:val="clear" w:color="auto" w:fill="CCEEFF"/>
          </w:tcPr>
          <w:p>
            <w:pPr>
              <w:spacing w:after="0"/>
              <w:rPr>
                <w:sz w:val="12"/>
                <w:szCs w:val="12"/>
                <w:color w:val="auto"/>
              </w:rPr>
            </w:pPr>
          </w:p>
        </w:tc>
        <w:tc>
          <w:tcPr>
            <w:tcW w:w="540" w:type="dxa"/>
            <w:vAlign w:val="bottom"/>
            <w:tcBorders>
              <w:top w:val="single" w:sz="8" w:color="auto"/>
              <w:bottom w:val="single" w:sz="8" w:color="auto"/>
            </w:tcBorders>
            <w:shd w:val="clear" w:color="auto" w:fill="CCEEFF"/>
          </w:tcPr>
          <w:p>
            <w:pPr>
              <w:spacing w:after="0" w:line="142" w:lineRule="exact"/>
              <w:rPr>
                <w:sz w:val="20"/>
                <w:szCs w:val="20"/>
                <w:color w:val="auto"/>
              </w:rPr>
            </w:pPr>
            <w:r>
              <w:rPr>
                <w:rFonts w:ascii="Arial" w:cs="Arial" w:eastAsia="Arial" w:hAnsi="Arial"/>
                <w:sz w:val="14"/>
                <w:szCs w:val="14"/>
                <w:color w:val="auto"/>
                <w:w w:val="92"/>
              </w:rPr>
              <w:t>$ (9,149)</w:t>
            </w:r>
          </w:p>
        </w:tc>
        <w:tc>
          <w:tcPr>
            <w:tcW w:w="180" w:type="dxa"/>
            <w:vAlign w:val="bottom"/>
            <w:tcBorders>
              <w:top w:val="single" w:sz="8" w:color="CCEEFF"/>
            </w:tcBorders>
            <w:shd w:val="clear" w:color="auto" w:fill="CCEEFF"/>
          </w:tcPr>
          <w:p>
            <w:pPr>
              <w:spacing w:after="0"/>
              <w:rPr>
                <w:sz w:val="12"/>
                <w:szCs w:val="12"/>
                <w:color w:val="auto"/>
              </w:rPr>
            </w:pPr>
          </w:p>
        </w:tc>
        <w:tc>
          <w:tcPr>
            <w:tcW w:w="580" w:type="dxa"/>
            <w:vAlign w:val="bottom"/>
            <w:tcBorders>
              <w:top w:val="single" w:sz="8" w:color="auto"/>
              <w:bottom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w w:val="89"/>
              </w:rPr>
              <w:t>$ 397,821</w:t>
            </w:r>
          </w:p>
        </w:tc>
        <w:tc>
          <w:tcPr>
            <w:tcW w:w="160" w:type="dxa"/>
            <w:vAlign w:val="bottom"/>
            <w:tcBorders>
              <w:top w:val="single" w:sz="8" w:color="CCEEFF"/>
            </w:tcBorders>
            <w:shd w:val="clear" w:color="auto" w:fill="CCEEFF"/>
          </w:tcPr>
          <w:p>
            <w:pPr>
              <w:spacing w:after="0"/>
              <w:rPr>
                <w:sz w:val="12"/>
                <w:szCs w:val="12"/>
                <w:color w:val="auto"/>
              </w:rPr>
            </w:pPr>
          </w:p>
        </w:tc>
        <w:tc>
          <w:tcPr>
            <w:tcW w:w="180" w:type="dxa"/>
            <w:vAlign w:val="bottom"/>
            <w:tcBorders>
              <w:top w:val="single" w:sz="8" w:color="auto"/>
              <w:bottom w:val="single" w:sz="8" w:color="auto"/>
            </w:tcBorders>
            <w:shd w:val="clear" w:color="auto" w:fill="CCEEFF"/>
          </w:tcPr>
          <w:p>
            <w:pPr>
              <w:jc w:val="right"/>
              <w:ind w:right="34"/>
              <w:spacing w:after="0" w:line="142" w:lineRule="exact"/>
              <w:rPr>
                <w:sz w:val="20"/>
                <w:szCs w:val="20"/>
                <w:color w:val="auto"/>
              </w:rPr>
            </w:pPr>
            <w:r>
              <w:rPr>
                <w:rFonts w:ascii="Arial" w:cs="Arial" w:eastAsia="Arial" w:hAnsi="Arial"/>
                <w:sz w:val="14"/>
                <w:szCs w:val="14"/>
                <w:color w:val="auto"/>
                <w:w w:val="76"/>
              </w:rPr>
              <w:t>$</w:t>
            </w:r>
          </w:p>
        </w:tc>
        <w:tc>
          <w:tcPr>
            <w:tcW w:w="640" w:type="dxa"/>
            <w:vAlign w:val="bottom"/>
            <w:tcBorders>
              <w:top w:val="single" w:sz="8" w:color="auto"/>
              <w:bottom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(309)</w:t>
            </w:r>
          </w:p>
        </w:tc>
        <w:tc>
          <w:tcPr>
            <w:tcW w:w="100" w:type="dxa"/>
            <w:vAlign w:val="bottom"/>
            <w:tcBorders>
              <w:top w:val="single" w:sz="8" w:color="CCEEFF"/>
            </w:tcBorders>
            <w:shd w:val="clear" w:color="auto" w:fill="CCEEFF"/>
          </w:tcPr>
          <w:p>
            <w:pPr>
              <w:spacing w:after="0"/>
              <w:rPr>
                <w:sz w:val="12"/>
                <w:szCs w:val="12"/>
                <w:color w:val="auto"/>
              </w:rPr>
            </w:pPr>
          </w:p>
        </w:tc>
        <w:tc>
          <w:tcPr>
            <w:tcW w:w="80" w:type="dxa"/>
            <w:vAlign w:val="bottom"/>
            <w:tcBorders>
              <w:top w:val="single" w:sz="8" w:color="CCEEFF"/>
            </w:tcBorders>
            <w:shd w:val="clear" w:color="auto" w:fill="CCEEFF"/>
          </w:tcPr>
          <w:p>
            <w:pPr>
              <w:spacing w:after="0"/>
              <w:rPr>
                <w:sz w:val="12"/>
                <w:szCs w:val="12"/>
                <w:color w:val="auto"/>
              </w:rPr>
            </w:pPr>
          </w:p>
        </w:tc>
        <w:tc>
          <w:tcPr>
            <w:tcW w:w="540" w:type="dxa"/>
            <w:vAlign w:val="bottom"/>
            <w:tcBorders>
              <w:top w:val="single" w:sz="8" w:color="auto"/>
              <w:bottom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u w:val="single" w:color="auto"/>
                <w:color w:val="auto"/>
                <w:w w:val="88"/>
              </w:rPr>
              <w:t>$</w:t>
            </w:r>
            <w:r>
              <w:rPr>
                <w:rFonts w:ascii="Arial" w:cs="Arial" w:eastAsia="Arial" w:hAnsi="Arial"/>
                <w:sz w:val="14"/>
                <w:szCs w:val="14"/>
                <w:color w:val="auto"/>
                <w:w w:val="88"/>
              </w:rPr>
              <w:t>759,356</w:t>
            </w:r>
          </w:p>
        </w:tc>
        <w:tc>
          <w:tcPr>
            <w:tcW w:w="120" w:type="dxa"/>
            <w:vAlign w:val="bottom"/>
            <w:tcBorders>
              <w:top w:val="single" w:sz="8" w:color="CCEEFF"/>
            </w:tcBorders>
            <w:shd w:val="clear" w:color="auto" w:fill="CCEEFF"/>
          </w:tcPr>
          <w:p>
            <w:pPr>
              <w:spacing w:after="0"/>
              <w:rPr>
                <w:sz w:val="12"/>
                <w:szCs w:val="12"/>
                <w:color w:val="auto"/>
              </w:rPr>
            </w:pPr>
          </w:p>
        </w:tc>
        <w:tc>
          <w:tcPr>
            <w:tcW w:w="60" w:type="dxa"/>
            <w:vAlign w:val="bottom"/>
            <w:tcBorders>
              <w:top w:val="single" w:sz="8" w:color="CCEEFF"/>
            </w:tcBorders>
            <w:shd w:val="clear" w:color="auto" w:fill="CCEEFF"/>
          </w:tcPr>
          <w:p>
            <w:pPr>
              <w:spacing w:after="0"/>
              <w:rPr>
                <w:sz w:val="12"/>
                <w:szCs w:val="12"/>
                <w:color w:val="auto"/>
              </w:rPr>
            </w:pPr>
          </w:p>
        </w:tc>
        <w:tc>
          <w:tcPr>
            <w:tcW w:w="80" w:type="dxa"/>
            <w:vAlign w:val="bottom"/>
            <w:tcBorders>
              <w:top w:val="single" w:sz="8" w:color="auto"/>
              <w:bottom w:val="single" w:sz="8" w:color="auto"/>
            </w:tcBorders>
            <w:shd w:val="clear" w:color="auto" w:fill="CCEEFF"/>
          </w:tcPr>
          <w:p>
            <w:pPr>
              <w:spacing w:after="0" w:line="142" w:lineRule="exact"/>
              <w:rPr>
                <w:sz w:val="20"/>
                <w:szCs w:val="20"/>
                <w:color w:val="auto"/>
              </w:rPr>
            </w:pPr>
            <w:r>
              <w:rPr>
                <w:rFonts w:ascii="Arial" w:cs="Arial" w:eastAsia="Arial" w:hAnsi="Arial"/>
                <w:sz w:val="14"/>
                <w:szCs w:val="14"/>
                <w:color w:val="auto"/>
                <w:w w:val="76"/>
              </w:rPr>
              <w:t>$</w:t>
            </w:r>
          </w:p>
        </w:tc>
        <w:tc>
          <w:tcPr>
            <w:tcW w:w="1020" w:type="dxa"/>
            <w:vAlign w:val="bottom"/>
            <w:tcBorders>
              <w:top w:val="single" w:sz="8" w:color="auto"/>
              <w:bottom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1,148,297</w:t>
            </w:r>
          </w:p>
        </w:tc>
        <w:tc>
          <w:tcPr>
            <w:tcW w:w="100" w:type="dxa"/>
            <w:vAlign w:val="bottom"/>
            <w:tcBorders>
              <w:top w:val="single" w:sz="8" w:color="CCEEFF"/>
            </w:tcBorders>
            <w:shd w:val="clear" w:color="auto" w:fill="CCEEFF"/>
          </w:tcPr>
          <w:p>
            <w:pPr>
              <w:spacing w:after="0"/>
              <w:rPr>
                <w:sz w:val="12"/>
                <w:szCs w:val="12"/>
                <w:color w:val="auto"/>
              </w:rPr>
            </w:pPr>
          </w:p>
        </w:tc>
        <w:tc>
          <w:tcPr>
            <w:tcW w:w="8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auto"/>
              <w:bottom w:val="single" w:sz="8" w:color="auto"/>
            </w:tcBorders>
            <w:shd w:val="clear" w:color="auto" w:fill="CCEEFF"/>
          </w:tcPr>
          <w:p>
            <w:pPr>
              <w:jc w:val="right"/>
              <w:ind w:right="3"/>
              <w:spacing w:after="0"/>
              <w:rPr>
                <w:sz w:val="20"/>
                <w:szCs w:val="20"/>
                <w:color w:val="auto"/>
              </w:rPr>
            </w:pPr>
            <w:r>
              <w:rPr>
                <w:rFonts w:ascii="Arial" w:cs="Arial" w:eastAsia="Arial" w:hAnsi="Arial"/>
                <w:sz w:val="10"/>
                <w:szCs w:val="10"/>
                <w:color w:val="auto"/>
                <w:w w:val="71"/>
              </w:rPr>
              <w:t>$</w:t>
            </w:r>
          </w:p>
        </w:tc>
        <w:tc>
          <w:tcPr>
            <w:tcW w:w="680" w:type="dxa"/>
            <w:vAlign w:val="bottom"/>
            <w:tcBorders>
              <w:top w:val="single" w:sz="8" w:color="auto"/>
              <w:bottom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57,740</w:t>
            </w:r>
          </w:p>
        </w:tc>
        <w:tc>
          <w:tcPr>
            <w:tcW w:w="180" w:type="dxa"/>
            <w:vAlign w:val="bottom"/>
            <w:tcBorders>
              <w:top w:val="single" w:sz="8" w:color="CCEEFF"/>
            </w:tcBorders>
            <w:shd w:val="clear" w:color="auto" w:fill="CCEEFF"/>
          </w:tcPr>
          <w:p>
            <w:pPr>
              <w:spacing w:after="0"/>
              <w:rPr>
                <w:sz w:val="12"/>
                <w:szCs w:val="12"/>
                <w:color w:val="auto"/>
              </w:rPr>
            </w:pPr>
          </w:p>
        </w:tc>
        <w:tc>
          <w:tcPr>
            <w:tcW w:w="660" w:type="dxa"/>
            <w:vAlign w:val="bottom"/>
            <w:tcBorders>
              <w:top w:val="single" w:sz="8" w:color="auto"/>
              <w:bottom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u w:val="single" w:color="auto"/>
                <w:color w:val="auto"/>
                <w:w w:val="91"/>
              </w:rPr>
              <w:t>$</w:t>
            </w:r>
            <w:r>
              <w:rPr>
                <w:rFonts w:ascii="Arial" w:cs="Arial" w:eastAsia="Arial" w:hAnsi="Arial"/>
                <w:sz w:val="14"/>
                <w:szCs w:val="14"/>
                <w:color w:val="auto"/>
                <w:w w:val="91"/>
              </w:rPr>
              <w:t>1,206,037</w:t>
            </w:r>
          </w:p>
        </w:tc>
        <w:tc>
          <w:tcPr>
            <w:tcW w:w="100" w:type="dxa"/>
            <w:vAlign w:val="bottom"/>
            <w:tcBorders>
              <w:top w:val="single" w:sz="8" w:color="CCEEFF"/>
            </w:tcBorders>
            <w:shd w:val="clear" w:color="auto" w:fill="CCEEFF"/>
          </w:tcPr>
          <w:p>
            <w:pPr>
              <w:spacing w:after="0"/>
              <w:rPr>
                <w:sz w:val="12"/>
                <w:szCs w:val="12"/>
                <w:color w:val="auto"/>
              </w:rPr>
            </w:pPr>
          </w:p>
        </w:tc>
      </w:tr>
      <w:tr>
        <w:trPr>
          <w:trHeight w:val="155"/>
        </w:trPr>
        <w:tc>
          <w:tcPr>
            <w:tcW w:w="2600" w:type="dxa"/>
            <w:vAlign w:val="bottom"/>
          </w:tcPr>
          <w:p>
            <w:pPr>
              <w:spacing w:after="0" w:line="155" w:lineRule="exact"/>
              <w:rPr>
                <w:sz w:val="20"/>
                <w:szCs w:val="20"/>
                <w:color w:val="auto"/>
              </w:rPr>
            </w:pPr>
            <w:r>
              <w:rPr>
                <w:rFonts w:ascii="Arial" w:cs="Arial" w:eastAsia="Arial" w:hAnsi="Arial"/>
                <w:sz w:val="14"/>
                <w:szCs w:val="14"/>
                <w:color w:val="auto"/>
              </w:rPr>
              <w:t>Dividends paid to noncontrolling interest</w:t>
            </w:r>
          </w:p>
        </w:tc>
        <w:tc>
          <w:tcPr>
            <w:tcW w:w="680" w:type="dxa"/>
            <w:vAlign w:val="bottom"/>
          </w:tcPr>
          <w:p>
            <w:pPr>
              <w:ind w:left="480"/>
              <w:spacing w:after="0" w:line="155"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300" w:type="dxa"/>
            <w:vAlign w:val="bottom"/>
          </w:tcPr>
          <w:p>
            <w:pPr>
              <w:ind w:left="80"/>
              <w:spacing w:after="0" w:line="155"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3"/>
                <w:szCs w:val="13"/>
                <w:color w:val="auto"/>
              </w:rPr>
            </w:pPr>
          </w:p>
        </w:tc>
        <w:tc>
          <w:tcPr>
            <w:tcW w:w="680" w:type="dxa"/>
            <w:vAlign w:val="bottom"/>
          </w:tcPr>
          <w:p>
            <w:pPr>
              <w:jc w:val="right"/>
              <w:ind w:right="9"/>
              <w:spacing w:after="0" w:line="155"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3"/>
                <w:szCs w:val="13"/>
                <w:color w:val="auto"/>
              </w:rPr>
            </w:pPr>
          </w:p>
        </w:tc>
        <w:tc>
          <w:tcPr>
            <w:tcW w:w="540" w:type="dxa"/>
            <w:vAlign w:val="bottom"/>
          </w:tcPr>
          <w:p>
            <w:pPr>
              <w:ind w:left="320"/>
              <w:spacing w:after="0" w:line="155" w:lineRule="exact"/>
              <w:rPr>
                <w:sz w:val="20"/>
                <w:szCs w:val="20"/>
                <w:color w:val="auto"/>
              </w:rPr>
            </w:pPr>
            <w:r>
              <w:rPr>
                <w:rFonts w:ascii="Arial" w:cs="Arial" w:eastAsia="Arial" w:hAnsi="Arial"/>
                <w:sz w:val="14"/>
                <w:szCs w:val="14"/>
                <w:color w:val="auto"/>
              </w:rPr>
              <w:t>—</w:t>
            </w:r>
          </w:p>
        </w:tc>
        <w:tc>
          <w:tcPr>
            <w:tcW w:w="180" w:type="dxa"/>
            <w:vAlign w:val="bottom"/>
          </w:tcPr>
          <w:p>
            <w:pPr>
              <w:spacing w:after="0"/>
              <w:rPr>
                <w:sz w:val="13"/>
                <w:szCs w:val="13"/>
                <w:color w:val="auto"/>
              </w:rPr>
            </w:pPr>
          </w:p>
        </w:tc>
        <w:tc>
          <w:tcPr>
            <w:tcW w:w="580" w:type="dxa"/>
            <w:vAlign w:val="bottom"/>
          </w:tcPr>
          <w:p>
            <w:pPr>
              <w:ind w:left="360"/>
              <w:spacing w:after="0" w:line="155"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40" w:type="dxa"/>
            <w:vAlign w:val="bottom"/>
          </w:tcPr>
          <w:p>
            <w:pPr>
              <w:ind w:left="420"/>
              <w:spacing w:after="0" w:line="155"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540" w:type="dxa"/>
            <w:vAlign w:val="bottom"/>
          </w:tcPr>
          <w:p>
            <w:pPr>
              <w:jc w:val="right"/>
              <w:spacing w:after="0" w:line="155"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020" w:type="dxa"/>
            <w:vAlign w:val="bottom"/>
          </w:tcPr>
          <w:p>
            <w:pPr>
              <w:jc w:val="right"/>
              <w:ind w:right="9"/>
              <w:spacing w:after="0" w:line="155"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80" w:type="dxa"/>
            <w:vAlign w:val="bottom"/>
          </w:tcPr>
          <w:p>
            <w:pPr>
              <w:jc w:val="right"/>
              <w:spacing w:after="0" w:line="155" w:lineRule="exact"/>
              <w:rPr>
                <w:sz w:val="20"/>
                <w:szCs w:val="20"/>
                <w:color w:val="auto"/>
              </w:rPr>
            </w:pPr>
            <w:r>
              <w:rPr>
                <w:rFonts w:ascii="Arial" w:cs="Arial" w:eastAsia="Arial" w:hAnsi="Arial"/>
                <w:sz w:val="14"/>
                <w:szCs w:val="14"/>
                <w:color w:val="auto"/>
              </w:rPr>
              <w:t>(1,996)</w:t>
            </w:r>
          </w:p>
        </w:tc>
        <w:tc>
          <w:tcPr>
            <w:tcW w:w="180" w:type="dxa"/>
            <w:vAlign w:val="bottom"/>
          </w:tcPr>
          <w:p>
            <w:pPr>
              <w:spacing w:after="0"/>
              <w:rPr>
                <w:sz w:val="13"/>
                <w:szCs w:val="13"/>
                <w:color w:val="auto"/>
              </w:rPr>
            </w:pPr>
          </w:p>
        </w:tc>
        <w:tc>
          <w:tcPr>
            <w:tcW w:w="660" w:type="dxa"/>
            <w:vAlign w:val="bottom"/>
          </w:tcPr>
          <w:p>
            <w:pPr>
              <w:jc w:val="right"/>
              <w:spacing w:after="0" w:line="155" w:lineRule="exact"/>
              <w:rPr>
                <w:sz w:val="20"/>
                <w:szCs w:val="20"/>
                <w:color w:val="auto"/>
              </w:rPr>
            </w:pPr>
            <w:r>
              <w:rPr>
                <w:rFonts w:ascii="Arial" w:cs="Arial" w:eastAsia="Arial" w:hAnsi="Arial"/>
                <w:sz w:val="14"/>
                <w:szCs w:val="14"/>
                <w:color w:val="auto"/>
              </w:rPr>
              <w:t>(1,996)</w:t>
            </w:r>
          </w:p>
        </w:tc>
        <w:tc>
          <w:tcPr>
            <w:tcW w:w="100" w:type="dxa"/>
            <w:vAlign w:val="bottom"/>
          </w:tcPr>
          <w:p>
            <w:pPr>
              <w:spacing w:after="0"/>
              <w:rPr>
                <w:sz w:val="13"/>
                <w:szCs w:val="13"/>
                <w:color w:val="auto"/>
              </w:rPr>
            </w:pPr>
          </w:p>
        </w:tc>
      </w:tr>
      <w:tr>
        <w:trPr>
          <w:trHeight w:val="148"/>
        </w:trPr>
        <w:tc>
          <w:tcPr>
            <w:tcW w:w="26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Restricted share units vested</w:t>
            </w:r>
          </w:p>
        </w:tc>
        <w:tc>
          <w:tcPr>
            <w:tcW w:w="7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289,685</w:t>
            </w:r>
          </w:p>
        </w:tc>
        <w:tc>
          <w:tcPr>
            <w:tcW w:w="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3</w:t>
            </w:r>
          </w:p>
        </w:tc>
        <w:tc>
          <w:tcPr>
            <w:tcW w:w="84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w:t>
            </w:r>
          </w:p>
        </w:tc>
        <w:tc>
          <w:tcPr>
            <w:tcW w:w="720" w:type="dxa"/>
            <w:vAlign w:val="bottom"/>
            <w:gridSpan w:val="2"/>
            <w:shd w:val="clear" w:color="auto" w:fill="CCEEFF"/>
          </w:tcPr>
          <w:p>
            <w:pPr>
              <w:ind w:left="320"/>
              <w:spacing w:after="0" w:line="149" w:lineRule="exact"/>
              <w:rPr>
                <w:sz w:val="20"/>
                <w:szCs w:val="20"/>
                <w:color w:val="auto"/>
              </w:rPr>
            </w:pPr>
            <w:r>
              <w:rPr>
                <w:rFonts w:ascii="Arial" w:cs="Arial" w:eastAsia="Arial" w:hAnsi="Arial"/>
                <w:sz w:val="14"/>
                <w:szCs w:val="14"/>
                <w:color w:val="auto"/>
              </w:rPr>
              <w:t>—</w:t>
            </w:r>
          </w:p>
        </w:tc>
        <w:tc>
          <w:tcPr>
            <w:tcW w:w="7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(3)</w:t>
            </w:r>
          </w:p>
        </w:tc>
        <w:tc>
          <w:tcPr>
            <w:tcW w:w="180" w:type="dxa"/>
            <w:vAlign w:val="bottom"/>
            <w:shd w:val="clear" w:color="auto" w:fill="CCEEFF"/>
          </w:tcPr>
          <w:p>
            <w:pPr>
              <w:spacing w:after="0"/>
              <w:rPr>
                <w:sz w:val="12"/>
                <w:szCs w:val="12"/>
                <w:color w:val="auto"/>
              </w:rPr>
            </w:pPr>
          </w:p>
        </w:tc>
        <w:tc>
          <w:tcPr>
            <w:tcW w:w="740" w:type="dxa"/>
            <w:vAlign w:val="bottom"/>
            <w:gridSpan w:val="2"/>
            <w:shd w:val="clear" w:color="auto" w:fill="CCEEFF"/>
          </w:tcPr>
          <w:p>
            <w:pPr>
              <w:ind w:left="42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2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ind w:left="46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r>
      <w:tr>
        <w:trPr>
          <w:trHeight w:val="148"/>
        </w:trPr>
        <w:tc>
          <w:tcPr>
            <w:tcW w:w="2600" w:type="dxa"/>
            <w:vAlign w:val="bottom"/>
          </w:tcPr>
          <w:p>
            <w:pPr>
              <w:spacing w:after="0" w:line="149" w:lineRule="exact"/>
              <w:rPr>
                <w:sz w:val="20"/>
                <w:szCs w:val="20"/>
                <w:color w:val="auto"/>
              </w:rPr>
            </w:pPr>
            <w:r>
              <w:rPr>
                <w:rFonts w:ascii="Arial" w:cs="Arial" w:eastAsia="Arial" w:hAnsi="Arial"/>
                <w:sz w:val="14"/>
                <w:szCs w:val="14"/>
                <w:color w:val="auto"/>
              </w:rPr>
              <w:t>Exercise of share options</w:t>
            </w:r>
          </w:p>
        </w:tc>
        <w:tc>
          <w:tcPr>
            <w:tcW w:w="76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15,259</w:t>
            </w:r>
          </w:p>
        </w:tc>
        <w:tc>
          <w:tcPr>
            <w:tcW w:w="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20" w:type="dxa"/>
            <w:vAlign w:val="bottom"/>
            <w:gridSpan w:val="2"/>
          </w:tcPr>
          <w:p>
            <w:pPr>
              <w:ind w:left="8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w:t>
            </w:r>
          </w:p>
        </w:tc>
        <w:tc>
          <w:tcPr>
            <w:tcW w:w="720" w:type="dxa"/>
            <w:vAlign w:val="bottom"/>
            <w:gridSpan w:val="2"/>
          </w:tcPr>
          <w:p>
            <w:pPr>
              <w:ind w:left="320"/>
              <w:spacing w:after="0" w:line="149" w:lineRule="exact"/>
              <w:rPr>
                <w:sz w:val="20"/>
                <w:szCs w:val="20"/>
                <w:color w:val="auto"/>
              </w:rPr>
            </w:pPr>
            <w:r>
              <w:rPr>
                <w:rFonts w:ascii="Arial" w:cs="Arial" w:eastAsia="Arial" w:hAnsi="Arial"/>
                <w:sz w:val="14"/>
                <w:szCs w:val="14"/>
                <w:color w:val="auto"/>
              </w:rPr>
              <w:t>—</w:t>
            </w:r>
          </w:p>
        </w:tc>
        <w:tc>
          <w:tcPr>
            <w:tcW w:w="740" w:type="dxa"/>
            <w:vAlign w:val="bottom"/>
            <w:gridSpan w:val="2"/>
          </w:tcPr>
          <w:p>
            <w:pPr>
              <w:ind w:left="360"/>
              <w:spacing w:after="0" w:line="149" w:lineRule="exact"/>
              <w:rPr>
                <w:sz w:val="20"/>
                <w:szCs w:val="20"/>
                <w:color w:val="auto"/>
              </w:rPr>
            </w:pPr>
            <w:r>
              <w:rPr>
                <w:rFonts w:ascii="Arial" w:cs="Arial" w:eastAsia="Arial" w:hAnsi="Arial"/>
                <w:sz w:val="14"/>
                <w:szCs w:val="14"/>
                <w:color w:val="auto"/>
              </w:rPr>
              <w:t>130</w:t>
            </w:r>
          </w:p>
        </w:tc>
        <w:tc>
          <w:tcPr>
            <w:tcW w:w="180" w:type="dxa"/>
            <w:vAlign w:val="bottom"/>
          </w:tcPr>
          <w:p>
            <w:pPr>
              <w:spacing w:after="0"/>
              <w:rPr>
                <w:sz w:val="12"/>
                <w:szCs w:val="12"/>
                <w:color w:val="auto"/>
              </w:rPr>
            </w:pPr>
          </w:p>
        </w:tc>
        <w:tc>
          <w:tcPr>
            <w:tcW w:w="740" w:type="dxa"/>
            <w:vAlign w:val="bottom"/>
            <w:gridSpan w:val="2"/>
          </w:tcPr>
          <w:p>
            <w:pPr>
              <w:ind w:left="42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66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130</w:t>
            </w: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tcPr>
          <w:p>
            <w:pPr>
              <w:ind w:left="46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130</w:t>
            </w:r>
          </w:p>
        </w:tc>
      </w:tr>
      <w:tr>
        <w:trPr>
          <w:trHeight w:val="149"/>
        </w:trPr>
        <w:tc>
          <w:tcPr>
            <w:tcW w:w="26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Share-based compensation expense</w:t>
            </w:r>
          </w:p>
        </w:tc>
        <w:tc>
          <w:tcPr>
            <w:tcW w:w="760" w:type="dxa"/>
            <w:vAlign w:val="bottom"/>
            <w:gridSpan w:val="2"/>
            <w:shd w:val="clear" w:color="auto" w:fill="CCEEFF"/>
          </w:tcPr>
          <w:p>
            <w:pPr>
              <w:ind w:left="48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20" w:type="dxa"/>
            <w:vAlign w:val="bottom"/>
            <w:gridSpan w:val="2"/>
            <w:shd w:val="clear" w:color="auto" w:fill="CCEEFF"/>
          </w:tcPr>
          <w:p>
            <w:pPr>
              <w:ind w:left="8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w:t>
            </w:r>
          </w:p>
        </w:tc>
        <w:tc>
          <w:tcPr>
            <w:tcW w:w="720" w:type="dxa"/>
            <w:vAlign w:val="bottom"/>
            <w:gridSpan w:val="2"/>
            <w:shd w:val="clear" w:color="auto" w:fill="CCEEFF"/>
          </w:tcPr>
          <w:p>
            <w:pPr>
              <w:ind w:left="320"/>
              <w:spacing w:after="0" w:line="149" w:lineRule="exact"/>
              <w:rPr>
                <w:sz w:val="20"/>
                <w:szCs w:val="20"/>
                <w:color w:val="auto"/>
              </w:rPr>
            </w:pPr>
            <w:r>
              <w:rPr>
                <w:rFonts w:ascii="Arial" w:cs="Arial" w:eastAsia="Arial" w:hAnsi="Arial"/>
                <w:sz w:val="14"/>
                <w:szCs w:val="14"/>
                <w:color w:val="auto"/>
              </w:rPr>
              <w:t>—</w:t>
            </w:r>
          </w:p>
        </w:tc>
        <w:tc>
          <w:tcPr>
            <w:tcW w:w="74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7,355</w:t>
            </w:r>
          </w:p>
        </w:tc>
        <w:tc>
          <w:tcPr>
            <w:tcW w:w="180" w:type="dxa"/>
            <w:vAlign w:val="bottom"/>
            <w:shd w:val="clear" w:color="auto" w:fill="CCEEFF"/>
          </w:tcPr>
          <w:p>
            <w:pPr>
              <w:spacing w:after="0"/>
              <w:rPr>
                <w:sz w:val="12"/>
                <w:szCs w:val="12"/>
                <w:color w:val="auto"/>
              </w:rPr>
            </w:pPr>
          </w:p>
        </w:tc>
        <w:tc>
          <w:tcPr>
            <w:tcW w:w="740" w:type="dxa"/>
            <w:vAlign w:val="bottom"/>
            <w:gridSpan w:val="2"/>
            <w:shd w:val="clear" w:color="auto" w:fill="CCEEFF"/>
          </w:tcPr>
          <w:p>
            <w:pPr>
              <w:ind w:left="42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7,355</w:t>
            </w: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ind w:left="46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7,355</w:t>
            </w:r>
          </w:p>
        </w:tc>
      </w:tr>
      <w:tr>
        <w:trPr>
          <w:trHeight w:val="130"/>
        </w:trPr>
        <w:tc>
          <w:tcPr>
            <w:tcW w:w="2600" w:type="dxa"/>
            <w:vAlign w:val="bottom"/>
          </w:tcPr>
          <w:p>
            <w:pPr>
              <w:spacing w:after="0" w:line="130" w:lineRule="exact"/>
              <w:rPr>
                <w:sz w:val="20"/>
                <w:szCs w:val="20"/>
                <w:color w:val="auto"/>
              </w:rPr>
            </w:pPr>
            <w:r>
              <w:rPr>
                <w:rFonts w:ascii="Arial" w:cs="Arial" w:eastAsia="Arial" w:hAnsi="Arial"/>
                <w:sz w:val="14"/>
                <w:szCs w:val="14"/>
                <w:color w:val="auto"/>
              </w:rPr>
              <w:t>TW Container Leasing, Ltd. capital</w:t>
            </w:r>
          </w:p>
        </w:tc>
        <w:tc>
          <w:tcPr>
            <w:tcW w:w="6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r>
      <w:tr>
        <w:trPr>
          <w:trHeight w:val="167"/>
        </w:trPr>
        <w:tc>
          <w:tcPr>
            <w:tcW w:w="2600" w:type="dxa"/>
            <w:vAlign w:val="bottom"/>
          </w:tcPr>
          <w:p>
            <w:pPr>
              <w:ind w:left="140"/>
              <w:spacing w:after="0"/>
              <w:rPr>
                <w:sz w:val="20"/>
                <w:szCs w:val="20"/>
                <w:color w:val="auto"/>
              </w:rPr>
            </w:pPr>
            <w:r>
              <w:rPr>
                <w:rFonts w:ascii="Arial" w:cs="Arial" w:eastAsia="Arial" w:hAnsi="Arial"/>
                <w:sz w:val="14"/>
                <w:szCs w:val="14"/>
                <w:color w:val="auto"/>
              </w:rPr>
              <w:t>restructuring</w:t>
            </w:r>
          </w:p>
        </w:tc>
        <w:tc>
          <w:tcPr>
            <w:tcW w:w="760" w:type="dxa"/>
            <w:vAlign w:val="bottom"/>
            <w:gridSpan w:val="2"/>
          </w:tcPr>
          <w:p>
            <w:pPr>
              <w:ind w:left="48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20" w:type="dxa"/>
            <w:vAlign w:val="bottom"/>
            <w:gridSpan w:val="2"/>
          </w:tcPr>
          <w:p>
            <w:pPr>
              <w:ind w:left="80"/>
              <w:spacing w:after="0"/>
              <w:rPr>
                <w:sz w:val="20"/>
                <w:szCs w:val="20"/>
                <w:color w:val="auto"/>
              </w:rPr>
            </w:pPr>
            <w:r>
              <w:rPr>
                <w:rFonts w:ascii="Arial" w:cs="Arial" w:eastAsia="Arial" w:hAnsi="Arial"/>
                <w:sz w:val="14"/>
                <w:szCs w:val="14"/>
                <w:color w:val="auto"/>
              </w:rPr>
              <w:t>—</w:t>
            </w:r>
          </w:p>
        </w:tc>
        <w:tc>
          <w:tcPr>
            <w:tcW w:w="840" w:type="dxa"/>
            <w:vAlign w:val="bottom"/>
            <w:gridSpan w:val="2"/>
          </w:tcPr>
          <w:p>
            <w:pPr>
              <w:jc w:val="right"/>
              <w:ind w:right="240"/>
              <w:spacing w:after="0"/>
              <w:rPr>
                <w:sz w:val="20"/>
                <w:szCs w:val="20"/>
                <w:color w:val="auto"/>
              </w:rPr>
            </w:pPr>
            <w:r>
              <w:rPr>
                <w:rFonts w:ascii="Arial" w:cs="Arial" w:eastAsia="Arial" w:hAnsi="Arial"/>
                <w:sz w:val="14"/>
                <w:szCs w:val="14"/>
                <w:color w:val="auto"/>
              </w:rPr>
              <w:t>—</w:t>
            </w:r>
          </w:p>
        </w:tc>
        <w:tc>
          <w:tcPr>
            <w:tcW w:w="720" w:type="dxa"/>
            <w:vAlign w:val="bottom"/>
            <w:gridSpan w:val="2"/>
          </w:tcPr>
          <w:p>
            <w:pPr>
              <w:ind w:left="320"/>
              <w:spacing w:after="0"/>
              <w:rPr>
                <w:sz w:val="20"/>
                <w:szCs w:val="20"/>
                <w:color w:val="auto"/>
              </w:rPr>
            </w:pPr>
            <w:r>
              <w:rPr>
                <w:rFonts w:ascii="Arial" w:cs="Arial" w:eastAsia="Arial" w:hAnsi="Arial"/>
                <w:sz w:val="14"/>
                <w:szCs w:val="14"/>
                <w:color w:val="auto"/>
              </w:rPr>
              <w:t>—</w:t>
            </w:r>
          </w:p>
        </w:tc>
        <w:tc>
          <w:tcPr>
            <w:tcW w:w="740" w:type="dxa"/>
            <w:vAlign w:val="bottom"/>
            <w:gridSpan w:val="2"/>
          </w:tcPr>
          <w:p>
            <w:pPr>
              <w:ind w:left="360"/>
              <w:spacing w:after="0"/>
              <w:rPr>
                <w:sz w:val="20"/>
                <w:szCs w:val="20"/>
                <w:color w:val="auto"/>
              </w:rPr>
            </w:pPr>
            <w:r>
              <w:rPr>
                <w:rFonts w:ascii="Arial" w:cs="Arial" w:eastAsia="Arial" w:hAnsi="Arial"/>
                <w:sz w:val="14"/>
                <w:szCs w:val="14"/>
                <w:color w:val="auto"/>
              </w:rPr>
              <w:t>780</w:t>
            </w:r>
          </w:p>
        </w:tc>
        <w:tc>
          <w:tcPr>
            <w:tcW w:w="180" w:type="dxa"/>
            <w:vAlign w:val="bottom"/>
          </w:tcPr>
          <w:p>
            <w:pPr>
              <w:spacing w:after="0"/>
              <w:rPr>
                <w:sz w:val="14"/>
                <w:szCs w:val="14"/>
                <w:color w:val="auto"/>
              </w:rPr>
            </w:pPr>
          </w:p>
        </w:tc>
        <w:tc>
          <w:tcPr>
            <w:tcW w:w="740" w:type="dxa"/>
            <w:vAlign w:val="bottom"/>
            <w:gridSpan w:val="2"/>
          </w:tcPr>
          <w:p>
            <w:pPr>
              <w:ind w:left="42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14"/>
                <w:szCs w:val="14"/>
                <w:color w:val="auto"/>
              </w:rPr>
            </w:pPr>
          </w:p>
        </w:tc>
        <w:tc>
          <w:tcPr>
            <w:tcW w:w="66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20" w:type="dxa"/>
            <w:vAlign w:val="bottom"/>
            <w:gridSpan w:val="2"/>
          </w:tcPr>
          <w:p>
            <w:pPr>
              <w:jc w:val="right"/>
              <w:ind w:right="100"/>
              <w:spacing w:after="0"/>
              <w:rPr>
                <w:sz w:val="20"/>
                <w:szCs w:val="20"/>
                <w:color w:val="auto"/>
              </w:rPr>
            </w:pPr>
            <w:r>
              <w:rPr>
                <w:rFonts w:ascii="Arial" w:cs="Arial" w:eastAsia="Arial" w:hAnsi="Arial"/>
                <w:sz w:val="14"/>
                <w:szCs w:val="14"/>
                <w:color w:val="auto"/>
              </w:rPr>
              <w:t>780</w:t>
            </w: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60" w:type="dxa"/>
            <w:vAlign w:val="bottom"/>
            <w:gridSpan w:val="2"/>
          </w:tcPr>
          <w:p>
            <w:pPr>
              <w:jc w:val="right"/>
              <w:ind w:right="140"/>
              <w:spacing w:after="0"/>
              <w:rPr>
                <w:sz w:val="20"/>
                <w:szCs w:val="20"/>
                <w:color w:val="auto"/>
              </w:rPr>
            </w:pPr>
            <w:r>
              <w:rPr>
                <w:rFonts w:ascii="Arial" w:cs="Arial" w:eastAsia="Arial" w:hAnsi="Arial"/>
                <w:sz w:val="14"/>
                <w:szCs w:val="14"/>
                <w:color w:val="auto"/>
              </w:rPr>
              <w:t>(30,438)</w:t>
            </w:r>
          </w:p>
        </w:tc>
        <w:tc>
          <w:tcPr>
            <w:tcW w:w="760" w:type="dxa"/>
            <w:vAlign w:val="bottom"/>
            <w:gridSpan w:val="2"/>
          </w:tcPr>
          <w:p>
            <w:pPr>
              <w:jc w:val="right"/>
              <w:ind w:right="60"/>
              <w:spacing w:after="0"/>
              <w:rPr>
                <w:sz w:val="20"/>
                <w:szCs w:val="20"/>
                <w:color w:val="auto"/>
              </w:rPr>
            </w:pPr>
            <w:r>
              <w:rPr>
                <w:rFonts w:ascii="Arial" w:cs="Arial" w:eastAsia="Arial" w:hAnsi="Arial"/>
                <w:sz w:val="14"/>
                <w:szCs w:val="14"/>
                <w:color w:val="auto"/>
              </w:rPr>
              <w:t>(29,658)</w:t>
            </w:r>
          </w:p>
        </w:tc>
      </w:tr>
      <w:tr>
        <w:trPr>
          <w:trHeight w:val="148"/>
        </w:trPr>
        <w:tc>
          <w:tcPr>
            <w:tcW w:w="26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Comprehensive income:</w:t>
            </w:r>
          </w:p>
        </w:tc>
        <w:tc>
          <w:tcPr>
            <w:tcW w:w="6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r>
      <w:tr>
        <w:trPr>
          <w:trHeight w:val="130"/>
        </w:trPr>
        <w:tc>
          <w:tcPr>
            <w:tcW w:w="2600" w:type="dxa"/>
            <w:vAlign w:val="bottom"/>
          </w:tcPr>
          <w:p>
            <w:pPr>
              <w:ind w:left="280"/>
              <w:spacing w:after="0" w:line="130" w:lineRule="exact"/>
              <w:rPr>
                <w:sz w:val="20"/>
                <w:szCs w:val="20"/>
                <w:color w:val="auto"/>
              </w:rPr>
            </w:pPr>
            <w:r>
              <w:rPr>
                <w:rFonts w:ascii="Arial" w:cs="Arial" w:eastAsia="Arial" w:hAnsi="Arial"/>
                <w:sz w:val="14"/>
                <w:szCs w:val="14"/>
                <w:color w:val="auto"/>
              </w:rPr>
              <w:t>Net income attributable to Textainer</w:t>
            </w:r>
          </w:p>
        </w:tc>
        <w:tc>
          <w:tcPr>
            <w:tcW w:w="6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r>
      <w:tr>
        <w:trPr>
          <w:trHeight w:val="148"/>
        </w:trPr>
        <w:tc>
          <w:tcPr>
            <w:tcW w:w="2600" w:type="dxa"/>
            <w:vAlign w:val="bottom"/>
          </w:tcPr>
          <w:p>
            <w:pPr>
              <w:ind w:left="420"/>
              <w:spacing w:after="0" w:line="149" w:lineRule="exact"/>
              <w:rPr>
                <w:sz w:val="20"/>
                <w:szCs w:val="20"/>
                <w:color w:val="auto"/>
              </w:rPr>
            </w:pPr>
            <w:r>
              <w:rPr>
                <w:rFonts w:ascii="Arial" w:cs="Arial" w:eastAsia="Arial" w:hAnsi="Arial"/>
                <w:sz w:val="14"/>
                <w:szCs w:val="14"/>
                <w:color w:val="auto"/>
              </w:rPr>
              <w:t>Group Holdings Limited common</w:t>
            </w:r>
          </w:p>
        </w:tc>
        <w:tc>
          <w:tcPr>
            <w:tcW w:w="6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r>
      <w:tr>
        <w:trPr>
          <w:trHeight w:val="167"/>
        </w:trPr>
        <w:tc>
          <w:tcPr>
            <w:tcW w:w="2600" w:type="dxa"/>
            <w:vAlign w:val="bottom"/>
          </w:tcPr>
          <w:p>
            <w:pPr>
              <w:ind w:left="420"/>
              <w:spacing w:after="0"/>
              <w:rPr>
                <w:sz w:val="20"/>
                <w:szCs w:val="20"/>
                <w:color w:val="auto"/>
              </w:rPr>
            </w:pPr>
            <w:r>
              <w:rPr>
                <w:rFonts w:ascii="Arial" w:cs="Arial" w:eastAsia="Arial" w:hAnsi="Arial"/>
                <w:sz w:val="14"/>
                <w:szCs w:val="14"/>
                <w:color w:val="auto"/>
              </w:rPr>
              <w:t>shareholders</w:t>
            </w:r>
          </w:p>
        </w:tc>
        <w:tc>
          <w:tcPr>
            <w:tcW w:w="760" w:type="dxa"/>
            <w:vAlign w:val="bottom"/>
            <w:gridSpan w:val="2"/>
          </w:tcPr>
          <w:p>
            <w:pPr>
              <w:ind w:left="48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20" w:type="dxa"/>
            <w:vAlign w:val="bottom"/>
            <w:gridSpan w:val="2"/>
          </w:tcPr>
          <w:p>
            <w:pPr>
              <w:ind w:left="80"/>
              <w:spacing w:after="0"/>
              <w:rPr>
                <w:sz w:val="20"/>
                <w:szCs w:val="20"/>
                <w:color w:val="auto"/>
              </w:rPr>
            </w:pPr>
            <w:r>
              <w:rPr>
                <w:rFonts w:ascii="Arial" w:cs="Arial" w:eastAsia="Arial" w:hAnsi="Arial"/>
                <w:sz w:val="14"/>
                <w:szCs w:val="14"/>
                <w:color w:val="auto"/>
              </w:rPr>
              <w:t>—</w:t>
            </w:r>
          </w:p>
        </w:tc>
        <w:tc>
          <w:tcPr>
            <w:tcW w:w="840" w:type="dxa"/>
            <w:vAlign w:val="bottom"/>
            <w:gridSpan w:val="2"/>
          </w:tcPr>
          <w:p>
            <w:pPr>
              <w:jc w:val="right"/>
              <w:ind w:right="240"/>
              <w:spacing w:after="0"/>
              <w:rPr>
                <w:sz w:val="20"/>
                <w:szCs w:val="20"/>
                <w:color w:val="auto"/>
              </w:rPr>
            </w:pPr>
            <w:r>
              <w:rPr>
                <w:rFonts w:ascii="Arial" w:cs="Arial" w:eastAsia="Arial" w:hAnsi="Arial"/>
                <w:sz w:val="14"/>
                <w:szCs w:val="14"/>
                <w:color w:val="auto"/>
              </w:rPr>
              <w:t>—</w:t>
            </w:r>
          </w:p>
        </w:tc>
        <w:tc>
          <w:tcPr>
            <w:tcW w:w="720" w:type="dxa"/>
            <w:vAlign w:val="bottom"/>
            <w:gridSpan w:val="2"/>
          </w:tcPr>
          <w:p>
            <w:pPr>
              <w:ind w:left="320"/>
              <w:spacing w:after="0"/>
              <w:rPr>
                <w:sz w:val="20"/>
                <w:szCs w:val="20"/>
                <w:color w:val="auto"/>
              </w:rPr>
            </w:pPr>
            <w:r>
              <w:rPr>
                <w:rFonts w:ascii="Arial" w:cs="Arial" w:eastAsia="Arial" w:hAnsi="Arial"/>
                <w:sz w:val="14"/>
                <w:szCs w:val="14"/>
                <w:color w:val="auto"/>
              </w:rPr>
              <w:t>—</w:t>
            </w:r>
          </w:p>
        </w:tc>
        <w:tc>
          <w:tcPr>
            <w:tcW w:w="740" w:type="dxa"/>
            <w:vAlign w:val="bottom"/>
            <w:gridSpan w:val="2"/>
          </w:tcPr>
          <w:p>
            <w:pPr>
              <w:ind w:left="360"/>
              <w:spacing w:after="0"/>
              <w:rPr>
                <w:sz w:val="20"/>
                <w:szCs w:val="20"/>
                <w:color w:val="auto"/>
              </w:rPr>
            </w:pPr>
            <w:r>
              <w:rPr>
                <w:rFonts w:ascii="Arial" w:cs="Arial" w:eastAsia="Arial" w:hAnsi="Arial"/>
                <w:sz w:val="14"/>
                <w:szCs w:val="14"/>
                <w:color w:val="auto"/>
              </w:rPr>
              <w:t>—</w:t>
            </w:r>
          </w:p>
        </w:tc>
        <w:tc>
          <w:tcPr>
            <w:tcW w:w="180" w:type="dxa"/>
            <w:vAlign w:val="bottom"/>
          </w:tcPr>
          <w:p>
            <w:pPr>
              <w:spacing w:after="0"/>
              <w:rPr>
                <w:sz w:val="14"/>
                <w:szCs w:val="14"/>
                <w:color w:val="auto"/>
              </w:rPr>
            </w:pPr>
          </w:p>
        </w:tc>
        <w:tc>
          <w:tcPr>
            <w:tcW w:w="740" w:type="dxa"/>
            <w:vAlign w:val="bottom"/>
            <w:gridSpan w:val="2"/>
          </w:tcPr>
          <w:p>
            <w:pPr>
              <w:ind w:left="420"/>
              <w:spacing w:after="0"/>
              <w:rPr>
                <w:sz w:val="20"/>
                <w:szCs w:val="20"/>
                <w:color w:val="auto"/>
              </w:rPr>
            </w:pPr>
            <w:r>
              <w:rPr>
                <w:rFonts w:ascii="Arial" w:cs="Arial" w:eastAsia="Arial" w:hAnsi="Arial"/>
                <w:sz w:val="14"/>
                <w:szCs w:val="14"/>
                <w:color w:val="auto"/>
              </w:rPr>
              <w:t>—</w:t>
            </w:r>
          </w:p>
        </w:tc>
        <w:tc>
          <w:tcPr>
            <w:tcW w:w="740" w:type="dxa"/>
            <w:vAlign w:val="bottom"/>
            <w:gridSpan w:val="3"/>
          </w:tcPr>
          <w:p>
            <w:pPr>
              <w:jc w:val="right"/>
              <w:ind w:right="120"/>
              <w:spacing w:after="0"/>
              <w:rPr>
                <w:sz w:val="20"/>
                <w:szCs w:val="20"/>
                <w:color w:val="auto"/>
              </w:rPr>
            </w:pPr>
            <w:r>
              <w:rPr>
                <w:rFonts w:ascii="Arial" w:cs="Arial" w:eastAsia="Arial" w:hAnsi="Arial"/>
                <w:sz w:val="14"/>
                <w:szCs w:val="14"/>
                <w:color w:val="auto"/>
              </w:rPr>
              <w:t>50,378</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20" w:type="dxa"/>
            <w:vAlign w:val="bottom"/>
            <w:gridSpan w:val="2"/>
          </w:tcPr>
          <w:p>
            <w:pPr>
              <w:jc w:val="right"/>
              <w:ind w:right="100"/>
              <w:spacing w:after="0"/>
              <w:rPr>
                <w:sz w:val="20"/>
                <w:szCs w:val="20"/>
                <w:color w:val="auto"/>
              </w:rPr>
            </w:pPr>
            <w:r>
              <w:rPr>
                <w:rFonts w:ascii="Arial" w:cs="Arial" w:eastAsia="Arial" w:hAnsi="Arial"/>
                <w:sz w:val="14"/>
                <w:szCs w:val="14"/>
                <w:color w:val="auto"/>
              </w:rPr>
              <w:t>50,378</w:t>
            </w: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60" w:type="dxa"/>
            <w:vAlign w:val="bottom"/>
            <w:gridSpan w:val="2"/>
          </w:tcPr>
          <w:p>
            <w:pPr>
              <w:ind w:left="460"/>
              <w:spacing w:after="0"/>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100"/>
              <w:spacing w:after="0"/>
              <w:rPr>
                <w:sz w:val="20"/>
                <w:szCs w:val="20"/>
                <w:color w:val="auto"/>
              </w:rPr>
            </w:pPr>
            <w:r>
              <w:rPr>
                <w:rFonts w:ascii="Arial" w:cs="Arial" w:eastAsia="Arial" w:hAnsi="Arial"/>
                <w:sz w:val="14"/>
                <w:szCs w:val="14"/>
                <w:color w:val="auto"/>
              </w:rPr>
              <w:t>50,378</w:t>
            </w:r>
          </w:p>
        </w:tc>
      </w:tr>
      <w:tr>
        <w:trPr>
          <w:trHeight w:val="130"/>
        </w:trPr>
        <w:tc>
          <w:tcPr>
            <w:tcW w:w="2600" w:type="dxa"/>
            <w:vAlign w:val="bottom"/>
            <w:shd w:val="clear" w:color="auto" w:fill="CCEEFF"/>
          </w:tcPr>
          <w:p>
            <w:pPr>
              <w:ind w:left="280"/>
              <w:spacing w:after="0" w:line="130" w:lineRule="exact"/>
              <w:rPr>
                <w:sz w:val="20"/>
                <w:szCs w:val="20"/>
                <w:color w:val="auto"/>
              </w:rPr>
            </w:pPr>
            <w:r>
              <w:rPr>
                <w:rFonts w:ascii="Arial" w:cs="Arial" w:eastAsia="Arial" w:hAnsi="Arial"/>
                <w:sz w:val="14"/>
                <w:szCs w:val="14"/>
                <w:color w:val="auto"/>
              </w:rPr>
              <w:t>Net income attributable to</w:t>
            </w:r>
          </w:p>
        </w:tc>
        <w:tc>
          <w:tcPr>
            <w:tcW w:w="6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0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r>
      <w:tr>
        <w:trPr>
          <w:trHeight w:val="167"/>
        </w:trPr>
        <w:tc>
          <w:tcPr>
            <w:tcW w:w="2600" w:type="dxa"/>
            <w:vAlign w:val="bottom"/>
            <w:shd w:val="clear" w:color="auto" w:fill="CCEEFF"/>
          </w:tcPr>
          <w:p>
            <w:pPr>
              <w:ind w:left="420"/>
              <w:spacing w:after="0"/>
              <w:rPr>
                <w:sz w:val="20"/>
                <w:szCs w:val="20"/>
                <w:color w:val="auto"/>
              </w:rPr>
            </w:pPr>
            <w:r>
              <w:rPr>
                <w:rFonts w:ascii="Arial" w:cs="Arial" w:eastAsia="Arial" w:hAnsi="Arial"/>
                <w:sz w:val="14"/>
                <w:szCs w:val="14"/>
                <w:color w:val="auto"/>
              </w:rPr>
              <w:t>noncontrolling interests</w:t>
            </w:r>
          </w:p>
        </w:tc>
        <w:tc>
          <w:tcPr>
            <w:tcW w:w="760" w:type="dxa"/>
            <w:vAlign w:val="bottom"/>
            <w:gridSpan w:val="2"/>
            <w:shd w:val="clear" w:color="auto" w:fill="CCEEFF"/>
          </w:tcPr>
          <w:p>
            <w:pPr>
              <w:ind w:left="48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420" w:type="dxa"/>
            <w:vAlign w:val="bottom"/>
            <w:gridSpan w:val="2"/>
            <w:shd w:val="clear" w:color="auto" w:fill="CCEEFF"/>
          </w:tcPr>
          <w:p>
            <w:pPr>
              <w:ind w:left="80"/>
              <w:spacing w:after="0"/>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w:t>
            </w:r>
          </w:p>
        </w:tc>
        <w:tc>
          <w:tcPr>
            <w:tcW w:w="720" w:type="dxa"/>
            <w:vAlign w:val="bottom"/>
            <w:gridSpan w:val="2"/>
            <w:shd w:val="clear" w:color="auto" w:fill="CCEEFF"/>
          </w:tcPr>
          <w:p>
            <w:pPr>
              <w:ind w:left="320"/>
              <w:spacing w:after="0"/>
              <w:rPr>
                <w:sz w:val="20"/>
                <w:szCs w:val="20"/>
                <w:color w:val="auto"/>
              </w:rPr>
            </w:pPr>
            <w:r>
              <w:rPr>
                <w:rFonts w:ascii="Arial" w:cs="Arial" w:eastAsia="Arial" w:hAnsi="Arial"/>
                <w:sz w:val="14"/>
                <w:szCs w:val="14"/>
                <w:color w:val="auto"/>
              </w:rPr>
              <w:t>—</w:t>
            </w:r>
          </w:p>
        </w:tc>
        <w:tc>
          <w:tcPr>
            <w:tcW w:w="740" w:type="dxa"/>
            <w:vAlign w:val="bottom"/>
            <w:gridSpan w:val="2"/>
            <w:shd w:val="clear" w:color="auto" w:fill="CCEEFF"/>
          </w:tcPr>
          <w:p>
            <w:pPr>
              <w:ind w:left="360"/>
              <w:spacing w:after="0"/>
              <w:rPr>
                <w:sz w:val="20"/>
                <w:szCs w:val="20"/>
                <w:color w:val="auto"/>
              </w:rPr>
            </w:pPr>
            <w:r>
              <w:rPr>
                <w:rFonts w:ascii="Arial" w:cs="Arial" w:eastAsia="Arial" w:hAnsi="Arial"/>
                <w:sz w:val="14"/>
                <w:szCs w:val="14"/>
                <w:color w:val="auto"/>
              </w:rPr>
              <w:t>—</w:t>
            </w:r>
          </w:p>
        </w:tc>
        <w:tc>
          <w:tcPr>
            <w:tcW w:w="180" w:type="dxa"/>
            <w:vAlign w:val="bottom"/>
            <w:shd w:val="clear" w:color="auto" w:fill="CCEEFF"/>
          </w:tcPr>
          <w:p>
            <w:pPr>
              <w:spacing w:after="0"/>
              <w:rPr>
                <w:sz w:val="14"/>
                <w:szCs w:val="14"/>
                <w:color w:val="auto"/>
              </w:rPr>
            </w:pPr>
          </w:p>
        </w:tc>
        <w:tc>
          <w:tcPr>
            <w:tcW w:w="740" w:type="dxa"/>
            <w:vAlign w:val="bottom"/>
            <w:gridSpan w:val="2"/>
            <w:shd w:val="clear" w:color="auto" w:fill="CCEEFF"/>
          </w:tcPr>
          <w:p>
            <w:pPr>
              <w:ind w:left="420"/>
              <w:spacing w:after="0"/>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4"/>
                <w:szCs w:val="14"/>
                <w:color w:val="auto"/>
              </w:rPr>
            </w:pPr>
          </w:p>
        </w:tc>
        <w:tc>
          <w:tcPr>
            <w:tcW w:w="66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12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86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3,872</w:t>
            </w:r>
          </w:p>
        </w:tc>
        <w:tc>
          <w:tcPr>
            <w:tcW w:w="76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3,872</w:t>
            </w:r>
          </w:p>
        </w:tc>
      </w:tr>
      <w:tr>
        <w:trPr>
          <w:trHeight w:val="130"/>
        </w:trPr>
        <w:tc>
          <w:tcPr>
            <w:tcW w:w="2600" w:type="dxa"/>
            <w:vAlign w:val="bottom"/>
          </w:tcPr>
          <w:p>
            <w:pPr>
              <w:ind w:left="280"/>
              <w:spacing w:after="0" w:line="130" w:lineRule="exact"/>
              <w:rPr>
                <w:sz w:val="20"/>
                <w:szCs w:val="20"/>
                <w:color w:val="auto"/>
              </w:rPr>
            </w:pPr>
            <w:r>
              <w:rPr>
                <w:rFonts w:ascii="Arial" w:cs="Arial" w:eastAsia="Arial" w:hAnsi="Arial"/>
                <w:sz w:val="14"/>
                <w:szCs w:val="14"/>
                <w:color w:val="auto"/>
              </w:rPr>
              <w:t>Foreign currency translation</w:t>
            </w:r>
          </w:p>
        </w:tc>
        <w:tc>
          <w:tcPr>
            <w:tcW w:w="6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r>
      <w:tr>
        <w:trPr>
          <w:trHeight w:val="174"/>
        </w:trPr>
        <w:tc>
          <w:tcPr>
            <w:tcW w:w="2600" w:type="dxa"/>
            <w:vAlign w:val="bottom"/>
          </w:tcPr>
          <w:p>
            <w:pPr>
              <w:ind w:left="420"/>
              <w:spacing w:after="0"/>
              <w:rPr>
                <w:sz w:val="20"/>
                <w:szCs w:val="20"/>
                <w:color w:val="auto"/>
              </w:rPr>
            </w:pPr>
            <w:r>
              <w:rPr>
                <w:rFonts w:ascii="Arial" w:cs="Arial" w:eastAsia="Arial" w:hAnsi="Arial"/>
                <w:sz w:val="14"/>
                <w:szCs w:val="14"/>
                <w:color w:val="auto"/>
              </w:rPr>
              <w:t>adjustments</w:t>
            </w:r>
          </w:p>
        </w:tc>
        <w:tc>
          <w:tcPr>
            <w:tcW w:w="680" w:type="dxa"/>
            <w:vAlign w:val="bottom"/>
          </w:tcPr>
          <w:p>
            <w:pPr>
              <w:ind w:left="48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300" w:type="dxa"/>
            <w:vAlign w:val="bottom"/>
          </w:tcPr>
          <w:p>
            <w:pPr>
              <w:ind w:left="80"/>
              <w:spacing w:after="0"/>
              <w:rPr>
                <w:sz w:val="20"/>
                <w:szCs w:val="20"/>
                <w:color w:val="auto"/>
              </w:rPr>
            </w:pPr>
            <w:r>
              <w:rPr>
                <w:rFonts w:ascii="Arial" w:cs="Arial" w:eastAsia="Arial" w:hAnsi="Arial"/>
                <w:sz w:val="14"/>
                <w:szCs w:val="14"/>
                <w:color w:val="auto"/>
              </w:rPr>
              <w:t>—</w:t>
            </w:r>
          </w:p>
        </w:tc>
        <w:tc>
          <w:tcPr>
            <w:tcW w:w="120" w:type="dxa"/>
            <w:vAlign w:val="bottom"/>
          </w:tcPr>
          <w:p>
            <w:pPr>
              <w:spacing w:after="0"/>
              <w:rPr>
                <w:sz w:val="15"/>
                <w:szCs w:val="15"/>
                <w:color w:val="auto"/>
              </w:rPr>
            </w:pPr>
          </w:p>
        </w:tc>
        <w:tc>
          <w:tcPr>
            <w:tcW w:w="680" w:type="dxa"/>
            <w:vAlign w:val="bottom"/>
          </w:tcPr>
          <w:p>
            <w:pPr>
              <w:jc w:val="right"/>
              <w:ind w:right="9"/>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5"/>
                <w:szCs w:val="15"/>
                <w:color w:val="auto"/>
              </w:rPr>
            </w:pPr>
          </w:p>
        </w:tc>
        <w:tc>
          <w:tcPr>
            <w:tcW w:w="540" w:type="dxa"/>
            <w:vAlign w:val="bottom"/>
          </w:tcPr>
          <w:p>
            <w:pPr>
              <w:ind w:left="320"/>
              <w:spacing w:after="0"/>
              <w:rPr>
                <w:sz w:val="20"/>
                <w:szCs w:val="20"/>
                <w:color w:val="auto"/>
              </w:rPr>
            </w:pPr>
            <w:r>
              <w:rPr>
                <w:rFonts w:ascii="Arial" w:cs="Arial" w:eastAsia="Arial" w:hAnsi="Arial"/>
                <w:sz w:val="14"/>
                <w:szCs w:val="14"/>
                <w:color w:val="auto"/>
              </w:rPr>
              <w:t>—</w:t>
            </w:r>
          </w:p>
        </w:tc>
        <w:tc>
          <w:tcPr>
            <w:tcW w:w="180" w:type="dxa"/>
            <w:vAlign w:val="bottom"/>
          </w:tcPr>
          <w:p>
            <w:pPr>
              <w:spacing w:after="0"/>
              <w:rPr>
                <w:sz w:val="15"/>
                <w:szCs w:val="15"/>
                <w:color w:val="auto"/>
              </w:rPr>
            </w:pPr>
          </w:p>
        </w:tc>
        <w:tc>
          <w:tcPr>
            <w:tcW w:w="580" w:type="dxa"/>
            <w:vAlign w:val="bottom"/>
          </w:tcPr>
          <w:p>
            <w:pPr>
              <w:ind w:left="360"/>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740" w:type="dxa"/>
            <w:vAlign w:val="bottom"/>
            <w:gridSpan w:val="2"/>
          </w:tcPr>
          <w:p>
            <w:pPr>
              <w:jc w:val="right"/>
              <w:ind w:right="60"/>
              <w:spacing w:after="0"/>
              <w:rPr>
                <w:sz w:val="20"/>
                <w:szCs w:val="20"/>
                <w:color w:val="auto"/>
              </w:rPr>
            </w:pPr>
            <w:r>
              <w:rPr>
                <w:rFonts w:ascii="Arial" w:cs="Arial" w:eastAsia="Arial" w:hAnsi="Arial"/>
                <w:sz w:val="14"/>
                <w:szCs w:val="14"/>
                <w:color w:val="auto"/>
              </w:rPr>
              <w:t>(127)</w:t>
            </w:r>
          </w:p>
        </w:tc>
        <w:tc>
          <w:tcPr>
            <w:tcW w:w="80" w:type="dxa"/>
            <w:vAlign w:val="bottom"/>
          </w:tcPr>
          <w:p>
            <w:pPr>
              <w:spacing w:after="0"/>
              <w:rPr>
                <w:sz w:val="15"/>
                <w:szCs w:val="15"/>
                <w:color w:val="auto"/>
              </w:rPr>
            </w:pPr>
          </w:p>
        </w:tc>
        <w:tc>
          <w:tcPr>
            <w:tcW w:w="66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120" w:type="dxa"/>
            <w:vAlign w:val="bottom"/>
            <w:gridSpan w:val="2"/>
          </w:tcPr>
          <w:p>
            <w:pPr>
              <w:jc w:val="right"/>
              <w:ind w:right="60"/>
              <w:spacing w:after="0"/>
              <w:rPr>
                <w:sz w:val="20"/>
                <w:szCs w:val="20"/>
                <w:color w:val="auto"/>
              </w:rPr>
            </w:pPr>
            <w:r>
              <w:rPr>
                <w:rFonts w:ascii="Arial" w:cs="Arial" w:eastAsia="Arial" w:hAnsi="Arial"/>
                <w:sz w:val="14"/>
                <w:szCs w:val="14"/>
                <w:color w:val="auto"/>
              </w:rPr>
              <w:t>(127)</w:t>
            </w:r>
          </w:p>
        </w:tc>
        <w:tc>
          <w:tcPr>
            <w:tcW w:w="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860" w:type="dxa"/>
            <w:vAlign w:val="bottom"/>
            <w:gridSpan w:val="2"/>
          </w:tcPr>
          <w:p>
            <w:pPr>
              <w:ind w:left="460"/>
              <w:spacing w:after="0"/>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60"/>
              <w:spacing w:after="0"/>
              <w:rPr>
                <w:sz w:val="20"/>
                <w:szCs w:val="20"/>
                <w:color w:val="auto"/>
              </w:rPr>
            </w:pPr>
            <w:r>
              <w:rPr>
                <w:rFonts w:ascii="Arial" w:cs="Arial" w:eastAsia="Arial" w:hAnsi="Arial"/>
                <w:sz w:val="14"/>
                <w:szCs w:val="14"/>
                <w:color w:val="auto"/>
              </w:rPr>
              <w:t>(127)</w:t>
            </w:r>
          </w:p>
        </w:tc>
      </w:tr>
      <w:tr>
        <w:trPr>
          <w:trHeight w:val="148"/>
        </w:trPr>
        <w:tc>
          <w:tcPr>
            <w:tcW w:w="2600" w:type="dxa"/>
            <w:vAlign w:val="bottom"/>
            <w:shd w:val="clear" w:color="auto" w:fill="CCEEFF"/>
          </w:tcPr>
          <w:p>
            <w:pPr>
              <w:ind w:left="580"/>
              <w:spacing w:after="0" w:line="149" w:lineRule="exact"/>
              <w:rPr>
                <w:sz w:val="20"/>
                <w:szCs w:val="20"/>
                <w:color w:val="auto"/>
              </w:rPr>
            </w:pPr>
            <w:r>
              <w:rPr>
                <w:rFonts w:ascii="Arial" w:cs="Arial" w:eastAsia="Arial" w:hAnsi="Arial"/>
                <w:sz w:val="14"/>
                <w:szCs w:val="14"/>
                <w:color w:val="auto"/>
              </w:rPr>
              <w:t>Total comprehensive income</w:t>
            </w:r>
          </w:p>
        </w:tc>
        <w:tc>
          <w:tcPr>
            <w:tcW w:w="680" w:type="dxa"/>
            <w:vAlign w:val="bottom"/>
            <w:tcBorders>
              <w:top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40" w:type="dxa"/>
            <w:vAlign w:val="bottom"/>
            <w:tcBorders>
              <w:top w:val="single" w:sz="8" w:color="auto"/>
            </w:tcBorders>
            <w:shd w:val="clear" w:color="auto" w:fill="CCEEFF"/>
          </w:tcPr>
          <w:p>
            <w:pPr>
              <w:spacing w:after="0"/>
              <w:rPr>
                <w:sz w:val="12"/>
                <w:szCs w:val="12"/>
                <w:color w:val="auto"/>
              </w:rPr>
            </w:pPr>
          </w:p>
        </w:tc>
        <w:tc>
          <w:tcPr>
            <w:tcW w:w="300" w:type="dxa"/>
            <w:vAlign w:val="bottom"/>
            <w:tcBorders>
              <w:top w:val="single" w:sz="8" w:color="auto"/>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80" w:type="dxa"/>
            <w:vAlign w:val="bottom"/>
            <w:tcBorders>
              <w:top w:val="single" w:sz="8" w:color="auto"/>
            </w:tcBorders>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540" w:type="dxa"/>
            <w:vAlign w:val="bottom"/>
            <w:tcBorders>
              <w:top w:val="single" w:sz="8" w:color="auto"/>
            </w:tcBorders>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580" w:type="dxa"/>
            <w:vAlign w:val="bottom"/>
            <w:tcBorders>
              <w:top w:val="single" w:sz="8" w:color="auto"/>
            </w:tcBorders>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80" w:type="dxa"/>
            <w:vAlign w:val="bottom"/>
            <w:tcBorders>
              <w:top w:val="single" w:sz="8" w:color="auto"/>
            </w:tcBorders>
            <w:shd w:val="clear" w:color="auto" w:fill="CCEEFF"/>
          </w:tcPr>
          <w:p>
            <w:pPr>
              <w:spacing w:after="0"/>
              <w:rPr>
                <w:sz w:val="12"/>
                <w:szCs w:val="12"/>
                <w:color w:val="auto"/>
              </w:rPr>
            </w:pPr>
          </w:p>
        </w:tc>
        <w:tc>
          <w:tcPr>
            <w:tcW w:w="64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tcBorders>
              <w:top w:val="single" w:sz="8" w:color="auto"/>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spacing w:after="0"/>
              <w:rPr>
                <w:sz w:val="12"/>
                <w:szCs w:val="12"/>
                <w:color w:val="auto"/>
              </w:rPr>
            </w:pPr>
          </w:p>
        </w:tc>
        <w:tc>
          <w:tcPr>
            <w:tcW w:w="102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spacing w:after="0"/>
              <w:rPr>
                <w:sz w:val="12"/>
                <w:szCs w:val="12"/>
                <w:color w:val="auto"/>
              </w:rPr>
            </w:pPr>
          </w:p>
        </w:tc>
        <w:tc>
          <w:tcPr>
            <w:tcW w:w="680" w:type="dxa"/>
            <w:vAlign w:val="bottom"/>
            <w:tcBorders>
              <w:top w:val="single" w:sz="8" w:color="auto"/>
            </w:tcBorders>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60" w:type="dxa"/>
            <w:vAlign w:val="bottom"/>
            <w:tcBorders>
              <w:top w:val="single" w:sz="8" w:color="auto"/>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54,123</w:t>
            </w:r>
          </w:p>
        </w:tc>
        <w:tc>
          <w:tcPr>
            <w:tcW w:w="100" w:type="dxa"/>
            <w:vAlign w:val="bottom"/>
            <w:shd w:val="clear" w:color="auto" w:fill="CCEEFF"/>
          </w:tcPr>
          <w:p>
            <w:pPr>
              <w:spacing w:after="0"/>
              <w:rPr>
                <w:sz w:val="12"/>
                <w:szCs w:val="12"/>
                <w:color w:val="auto"/>
              </w:rPr>
            </w:pPr>
          </w:p>
        </w:tc>
      </w:tr>
      <w:tr>
        <w:trPr>
          <w:trHeight w:val="156"/>
        </w:trPr>
        <w:tc>
          <w:tcPr>
            <w:tcW w:w="2600" w:type="dxa"/>
            <w:vAlign w:val="bottom"/>
          </w:tcPr>
          <w:p>
            <w:pPr>
              <w:spacing w:after="0" w:line="155" w:lineRule="exact"/>
              <w:rPr>
                <w:sz w:val="20"/>
                <w:szCs w:val="20"/>
                <w:color w:val="auto"/>
              </w:rPr>
            </w:pPr>
            <w:r>
              <w:rPr>
                <w:rFonts w:ascii="Arial" w:cs="Arial" w:eastAsia="Arial" w:hAnsi="Arial"/>
                <w:sz w:val="14"/>
                <w:szCs w:val="14"/>
                <w:color w:val="auto"/>
              </w:rPr>
              <w:t>Balances, December 31, 2018</w:t>
            </w:r>
          </w:p>
        </w:tc>
        <w:tc>
          <w:tcPr>
            <w:tcW w:w="760" w:type="dxa"/>
            <w:vAlign w:val="bottom"/>
            <w:gridSpan w:val="2"/>
          </w:tcPr>
          <w:p>
            <w:pPr>
              <w:jc w:val="right"/>
              <w:ind w:right="60"/>
              <w:spacing w:after="0" w:line="155" w:lineRule="exact"/>
              <w:rPr>
                <w:sz w:val="20"/>
                <w:szCs w:val="20"/>
                <w:color w:val="auto"/>
              </w:rPr>
            </w:pPr>
            <w:r>
              <w:rPr>
                <w:rFonts w:ascii="Arial" w:cs="Arial" w:eastAsia="Arial" w:hAnsi="Arial"/>
                <w:sz w:val="14"/>
                <w:szCs w:val="14"/>
                <w:color w:val="auto"/>
                <w:w w:val="96"/>
              </w:rPr>
              <w:t>58,032,164</w:t>
            </w:r>
          </w:p>
        </w:tc>
        <w:tc>
          <w:tcPr>
            <w:tcW w:w="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420" w:type="dxa"/>
            <w:vAlign w:val="bottom"/>
            <w:gridSpan w:val="2"/>
          </w:tcPr>
          <w:p>
            <w:pPr>
              <w:ind w:left="80"/>
              <w:spacing w:after="0" w:line="155" w:lineRule="exact"/>
              <w:rPr>
                <w:sz w:val="20"/>
                <w:szCs w:val="20"/>
                <w:color w:val="auto"/>
              </w:rPr>
            </w:pPr>
            <w:r>
              <w:rPr>
                <w:rFonts w:ascii="Arial" w:cs="Arial" w:eastAsia="Arial" w:hAnsi="Arial"/>
                <w:sz w:val="14"/>
                <w:szCs w:val="14"/>
                <w:color w:val="auto"/>
              </w:rPr>
              <w:t>581</w:t>
            </w:r>
          </w:p>
        </w:tc>
        <w:tc>
          <w:tcPr>
            <w:tcW w:w="840" w:type="dxa"/>
            <w:vAlign w:val="bottom"/>
            <w:gridSpan w:val="2"/>
          </w:tcPr>
          <w:p>
            <w:pPr>
              <w:jc w:val="right"/>
              <w:ind w:right="120"/>
              <w:spacing w:after="0" w:line="155" w:lineRule="exact"/>
              <w:rPr>
                <w:sz w:val="20"/>
                <w:szCs w:val="20"/>
                <w:color w:val="auto"/>
              </w:rPr>
            </w:pPr>
            <w:r>
              <w:rPr>
                <w:rFonts w:ascii="Arial" w:cs="Arial" w:eastAsia="Arial" w:hAnsi="Arial"/>
                <w:sz w:val="14"/>
                <w:szCs w:val="14"/>
                <w:color w:val="auto"/>
              </w:rPr>
              <w:t>(630,000)</w:t>
            </w:r>
          </w:p>
        </w:tc>
        <w:tc>
          <w:tcPr>
            <w:tcW w:w="720" w:type="dxa"/>
            <w:vAlign w:val="bottom"/>
            <w:gridSpan w:val="2"/>
          </w:tcPr>
          <w:p>
            <w:pPr>
              <w:jc w:val="right"/>
              <w:ind w:right="140"/>
              <w:spacing w:after="0" w:line="155" w:lineRule="exact"/>
              <w:rPr>
                <w:sz w:val="20"/>
                <w:szCs w:val="20"/>
                <w:color w:val="auto"/>
              </w:rPr>
            </w:pPr>
            <w:r>
              <w:rPr>
                <w:rFonts w:ascii="Arial" w:cs="Arial" w:eastAsia="Arial" w:hAnsi="Arial"/>
                <w:sz w:val="14"/>
                <w:szCs w:val="14"/>
                <w:color w:val="auto"/>
              </w:rPr>
              <w:t>(9,149)</w:t>
            </w:r>
          </w:p>
        </w:tc>
        <w:tc>
          <w:tcPr>
            <w:tcW w:w="740" w:type="dxa"/>
            <w:vAlign w:val="bottom"/>
            <w:gridSpan w:val="2"/>
          </w:tcPr>
          <w:p>
            <w:pPr>
              <w:jc w:val="right"/>
              <w:ind w:right="160"/>
              <w:spacing w:after="0" w:line="155" w:lineRule="exact"/>
              <w:rPr>
                <w:sz w:val="20"/>
                <w:szCs w:val="20"/>
                <w:color w:val="auto"/>
              </w:rPr>
            </w:pPr>
            <w:r>
              <w:rPr>
                <w:rFonts w:ascii="Arial" w:cs="Arial" w:eastAsia="Arial" w:hAnsi="Arial"/>
                <w:sz w:val="14"/>
                <w:szCs w:val="14"/>
                <w:color w:val="auto"/>
              </w:rPr>
              <w:t>406,083</w:t>
            </w:r>
          </w:p>
        </w:tc>
        <w:tc>
          <w:tcPr>
            <w:tcW w:w="180" w:type="dxa"/>
            <w:vAlign w:val="bottom"/>
          </w:tcPr>
          <w:p>
            <w:pPr>
              <w:spacing w:after="0"/>
              <w:rPr>
                <w:sz w:val="13"/>
                <w:szCs w:val="13"/>
                <w:color w:val="auto"/>
              </w:rPr>
            </w:pPr>
          </w:p>
        </w:tc>
        <w:tc>
          <w:tcPr>
            <w:tcW w:w="740" w:type="dxa"/>
            <w:vAlign w:val="bottom"/>
            <w:gridSpan w:val="2"/>
          </w:tcPr>
          <w:p>
            <w:pPr>
              <w:jc w:val="right"/>
              <w:ind w:right="60"/>
              <w:spacing w:after="0" w:line="155" w:lineRule="exact"/>
              <w:rPr>
                <w:sz w:val="20"/>
                <w:szCs w:val="20"/>
                <w:color w:val="auto"/>
              </w:rPr>
            </w:pPr>
            <w:r>
              <w:rPr>
                <w:rFonts w:ascii="Arial" w:cs="Arial" w:eastAsia="Arial" w:hAnsi="Arial"/>
                <w:sz w:val="14"/>
                <w:szCs w:val="14"/>
                <w:color w:val="auto"/>
              </w:rPr>
              <w:t>(436)</w:t>
            </w:r>
          </w:p>
        </w:tc>
        <w:tc>
          <w:tcPr>
            <w:tcW w:w="740" w:type="dxa"/>
            <w:vAlign w:val="bottom"/>
            <w:gridSpan w:val="3"/>
          </w:tcPr>
          <w:p>
            <w:pPr>
              <w:jc w:val="right"/>
              <w:ind w:right="120"/>
              <w:spacing w:after="0" w:line="155" w:lineRule="exact"/>
              <w:rPr>
                <w:sz w:val="20"/>
                <w:szCs w:val="20"/>
                <w:color w:val="auto"/>
              </w:rPr>
            </w:pPr>
            <w:r>
              <w:rPr>
                <w:rFonts w:ascii="Arial" w:cs="Arial" w:eastAsia="Arial" w:hAnsi="Arial"/>
                <w:sz w:val="14"/>
                <w:szCs w:val="14"/>
                <w:color w:val="auto"/>
              </w:rPr>
              <w:t>809,734</w:t>
            </w: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120" w:type="dxa"/>
            <w:vAlign w:val="bottom"/>
            <w:gridSpan w:val="2"/>
          </w:tcPr>
          <w:p>
            <w:pPr>
              <w:jc w:val="right"/>
              <w:ind w:right="100"/>
              <w:spacing w:after="0" w:line="155" w:lineRule="exact"/>
              <w:rPr>
                <w:sz w:val="20"/>
                <w:szCs w:val="20"/>
                <w:color w:val="auto"/>
              </w:rPr>
            </w:pPr>
            <w:r>
              <w:rPr>
                <w:rFonts w:ascii="Arial" w:cs="Arial" w:eastAsia="Arial" w:hAnsi="Arial"/>
                <w:sz w:val="14"/>
                <w:szCs w:val="14"/>
                <w:color w:val="auto"/>
              </w:rPr>
              <w:t>1,206,813</w:t>
            </w:r>
          </w:p>
        </w:tc>
        <w:tc>
          <w:tcPr>
            <w:tcW w:w="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860" w:type="dxa"/>
            <w:vAlign w:val="bottom"/>
            <w:gridSpan w:val="2"/>
          </w:tcPr>
          <w:p>
            <w:pPr>
              <w:jc w:val="right"/>
              <w:ind w:right="180"/>
              <w:spacing w:after="0" w:line="155" w:lineRule="exact"/>
              <w:rPr>
                <w:sz w:val="20"/>
                <w:szCs w:val="20"/>
                <w:color w:val="auto"/>
              </w:rPr>
            </w:pPr>
            <w:r>
              <w:rPr>
                <w:rFonts w:ascii="Arial" w:cs="Arial" w:eastAsia="Arial" w:hAnsi="Arial"/>
                <w:sz w:val="14"/>
                <w:szCs w:val="14"/>
                <w:color w:val="auto"/>
              </w:rPr>
              <w:t>29,178</w:t>
            </w:r>
          </w:p>
        </w:tc>
        <w:tc>
          <w:tcPr>
            <w:tcW w:w="660" w:type="dxa"/>
            <w:vAlign w:val="bottom"/>
          </w:tcPr>
          <w:p>
            <w:pPr>
              <w:jc w:val="right"/>
              <w:spacing w:after="0" w:line="155" w:lineRule="exact"/>
              <w:rPr>
                <w:sz w:val="20"/>
                <w:szCs w:val="20"/>
                <w:color w:val="auto"/>
              </w:rPr>
            </w:pPr>
            <w:r>
              <w:rPr>
                <w:rFonts w:ascii="Arial" w:cs="Arial" w:eastAsia="Arial" w:hAnsi="Arial"/>
                <w:sz w:val="14"/>
                <w:szCs w:val="14"/>
                <w:color w:val="auto"/>
              </w:rPr>
              <w:t>1,235,991</w:t>
            </w:r>
          </w:p>
        </w:tc>
        <w:tc>
          <w:tcPr>
            <w:tcW w:w="100" w:type="dxa"/>
            <w:vAlign w:val="bottom"/>
          </w:tcPr>
          <w:p>
            <w:pPr>
              <w:spacing w:after="0"/>
              <w:rPr>
                <w:sz w:val="13"/>
                <w:szCs w:val="13"/>
                <w:color w:val="auto"/>
              </w:rPr>
            </w:pPr>
          </w:p>
        </w:tc>
      </w:tr>
      <w:tr>
        <w:trPr>
          <w:trHeight w:val="27"/>
        </w:trPr>
        <w:tc>
          <w:tcPr>
            <w:tcW w:w="260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6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10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148"/>
        </w:trPr>
        <w:tc>
          <w:tcPr>
            <w:tcW w:w="26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Dividends paid to noncontrolling interest</w:t>
            </w:r>
          </w:p>
        </w:tc>
        <w:tc>
          <w:tcPr>
            <w:tcW w:w="680" w:type="dxa"/>
            <w:vAlign w:val="bottom"/>
            <w:shd w:val="clear" w:color="auto" w:fill="CCEEFF"/>
          </w:tcPr>
          <w:p>
            <w:pPr>
              <w:ind w:left="48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300" w:type="dxa"/>
            <w:vAlign w:val="bottom"/>
            <w:shd w:val="clear" w:color="auto" w:fill="CCEEFF"/>
          </w:tcPr>
          <w:p>
            <w:pPr>
              <w:ind w:left="80"/>
              <w:spacing w:after="0" w:line="14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ind w:right="9"/>
              <w:spacing w:after="0" w:line="14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2"/>
                <w:szCs w:val="12"/>
                <w:color w:val="auto"/>
              </w:rPr>
            </w:pPr>
          </w:p>
        </w:tc>
        <w:tc>
          <w:tcPr>
            <w:tcW w:w="540" w:type="dxa"/>
            <w:vAlign w:val="bottom"/>
            <w:shd w:val="clear" w:color="auto" w:fill="CCEEFF"/>
          </w:tcPr>
          <w:p>
            <w:pPr>
              <w:ind w:left="320"/>
              <w:spacing w:after="0" w:line="149" w:lineRule="exact"/>
              <w:rPr>
                <w:sz w:val="20"/>
                <w:szCs w:val="20"/>
                <w:color w:val="auto"/>
              </w:rPr>
            </w:pPr>
            <w:r>
              <w:rPr>
                <w:rFonts w:ascii="Arial" w:cs="Arial" w:eastAsia="Arial" w:hAnsi="Arial"/>
                <w:sz w:val="14"/>
                <w:szCs w:val="14"/>
                <w:color w:val="auto"/>
              </w:rPr>
              <w:t>—</w:t>
            </w:r>
          </w:p>
        </w:tc>
        <w:tc>
          <w:tcPr>
            <w:tcW w:w="180" w:type="dxa"/>
            <w:vAlign w:val="bottom"/>
            <w:shd w:val="clear" w:color="auto" w:fill="CCEEFF"/>
          </w:tcPr>
          <w:p>
            <w:pPr>
              <w:spacing w:after="0"/>
              <w:rPr>
                <w:sz w:val="12"/>
                <w:szCs w:val="12"/>
                <w:color w:val="auto"/>
              </w:rPr>
            </w:pPr>
          </w:p>
        </w:tc>
        <w:tc>
          <w:tcPr>
            <w:tcW w:w="580" w:type="dxa"/>
            <w:vAlign w:val="bottom"/>
            <w:shd w:val="clear" w:color="auto" w:fill="CCEEFF"/>
          </w:tcPr>
          <w:p>
            <w:pPr>
              <w:ind w:left="360"/>
              <w:spacing w:after="0" w:line="14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4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20" w:type="dxa"/>
            <w:vAlign w:val="bottom"/>
            <w:shd w:val="clear" w:color="auto" w:fill="CCEEFF"/>
          </w:tcPr>
          <w:p>
            <w:pPr>
              <w:jc w:val="right"/>
              <w:ind w:right="9"/>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(2,744)</w:t>
            </w:r>
          </w:p>
        </w:tc>
        <w:tc>
          <w:tcPr>
            <w:tcW w:w="7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(2,744)</w:t>
            </w:r>
          </w:p>
        </w:tc>
      </w:tr>
      <w:tr>
        <w:trPr>
          <w:trHeight w:val="148"/>
        </w:trPr>
        <w:tc>
          <w:tcPr>
            <w:tcW w:w="2600" w:type="dxa"/>
            <w:vAlign w:val="bottom"/>
          </w:tcPr>
          <w:p>
            <w:pPr>
              <w:spacing w:after="0" w:line="149" w:lineRule="exact"/>
              <w:rPr>
                <w:sz w:val="20"/>
                <w:szCs w:val="20"/>
                <w:color w:val="auto"/>
              </w:rPr>
            </w:pPr>
            <w:r>
              <w:rPr>
                <w:rFonts w:ascii="Arial" w:cs="Arial" w:eastAsia="Arial" w:hAnsi="Arial"/>
                <w:sz w:val="14"/>
                <w:szCs w:val="14"/>
                <w:color w:val="auto"/>
              </w:rPr>
              <w:t>Purchase of treasury shares</w:t>
            </w:r>
          </w:p>
        </w:tc>
        <w:tc>
          <w:tcPr>
            <w:tcW w:w="760" w:type="dxa"/>
            <w:vAlign w:val="bottom"/>
            <w:gridSpan w:val="2"/>
          </w:tcPr>
          <w:p>
            <w:pPr>
              <w:ind w:left="48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20" w:type="dxa"/>
            <w:vAlign w:val="bottom"/>
            <w:gridSpan w:val="2"/>
          </w:tcPr>
          <w:p>
            <w:pPr>
              <w:ind w:left="8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(878,637)</w:t>
            </w:r>
          </w:p>
        </w:tc>
        <w:tc>
          <w:tcPr>
            <w:tcW w:w="72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(8,597)</w:t>
            </w:r>
          </w:p>
        </w:tc>
        <w:tc>
          <w:tcPr>
            <w:tcW w:w="740" w:type="dxa"/>
            <w:vAlign w:val="bottom"/>
            <w:gridSpan w:val="2"/>
          </w:tcPr>
          <w:p>
            <w:pPr>
              <w:ind w:left="360"/>
              <w:spacing w:after="0" w:line="149" w:lineRule="exact"/>
              <w:rPr>
                <w:sz w:val="20"/>
                <w:szCs w:val="20"/>
                <w:color w:val="auto"/>
              </w:rPr>
            </w:pPr>
            <w:r>
              <w:rPr>
                <w:rFonts w:ascii="Arial" w:cs="Arial" w:eastAsia="Arial" w:hAnsi="Arial"/>
                <w:sz w:val="14"/>
                <w:szCs w:val="14"/>
                <w:color w:val="auto"/>
              </w:rPr>
              <w:t>—</w:t>
            </w:r>
          </w:p>
        </w:tc>
        <w:tc>
          <w:tcPr>
            <w:tcW w:w="180" w:type="dxa"/>
            <w:vAlign w:val="bottom"/>
          </w:tcPr>
          <w:p>
            <w:pPr>
              <w:spacing w:after="0"/>
              <w:rPr>
                <w:sz w:val="12"/>
                <w:szCs w:val="12"/>
                <w:color w:val="auto"/>
              </w:rPr>
            </w:pPr>
          </w:p>
        </w:tc>
        <w:tc>
          <w:tcPr>
            <w:tcW w:w="740" w:type="dxa"/>
            <w:vAlign w:val="bottom"/>
            <w:gridSpan w:val="2"/>
          </w:tcPr>
          <w:p>
            <w:pPr>
              <w:ind w:left="42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66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2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(8,597)</w:t>
            </w: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tcPr>
          <w:p>
            <w:pPr>
              <w:ind w:left="46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(8,597)</w:t>
            </w:r>
          </w:p>
        </w:tc>
      </w:tr>
      <w:tr>
        <w:trPr>
          <w:trHeight w:val="149"/>
        </w:trPr>
        <w:tc>
          <w:tcPr>
            <w:tcW w:w="26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Restricted share units vested</w:t>
            </w:r>
          </w:p>
        </w:tc>
        <w:tc>
          <w:tcPr>
            <w:tcW w:w="7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281,377</w:t>
            </w:r>
          </w:p>
        </w:tc>
        <w:tc>
          <w:tcPr>
            <w:tcW w:w="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2</w:t>
            </w:r>
          </w:p>
        </w:tc>
        <w:tc>
          <w:tcPr>
            <w:tcW w:w="84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w:t>
            </w:r>
          </w:p>
        </w:tc>
        <w:tc>
          <w:tcPr>
            <w:tcW w:w="720" w:type="dxa"/>
            <w:vAlign w:val="bottom"/>
            <w:gridSpan w:val="2"/>
            <w:shd w:val="clear" w:color="auto" w:fill="CCEEFF"/>
          </w:tcPr>
          <w:p>
            <w:pPr>
              <w:ind w:left="320"/>
              <w:spacing w:after="0" w:line="149" w:lineRule="exact"/>
              <w:rPr>
                <w:sz w:val="20"/>
                <w:szCs w:val="20"/>
                <w:color w:val="auto"/>
              </w:rPr>
            </w:pPr>
            <w:r>
              <w:rPr>
                <w:rFonts w:ascii="Arial" w:cs="Arial" w:eastAsia="Arial" w:hAnsi="Arial"/>
                <w:sz w:val="14"/>
                <w:szCs w:val="14"/>
                <w:color w:val="auto"/>
              </w:rPr>
              <w:t>—</w:t>
            </w:r>
          </w:p>
        </w:tc>
        <w:tc>
          <w:tcPr>
            <w:tcW w:w="7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(2)</w:t>
            </w:r>
          </w:p>
        </w:tc>
        <w:tc>
          <w:tcPr>
            <w:tcW w:w="180" w:type="dxa"/>
            <w:vAlign w:val="bottom"/>
            <w:shd w:val="clear" w:color="auto" w:fill="CCEEFF"/>
          </w:tcPr>
          <w:p>
            <w:pPr>
              <w:spacing w:after="0"/>
              <w:rPr>
                <w:sz w:val="12"/>
                <w:szCs w:val="12"/>
                <w:color w:val="auto"/>
              </w:rPr>
            </w:pPr>
          </w:p>
        </w:tc>
        <w:tc>
          <w:tcPr>
            <w:tcW w:w="740" w:type="dxa"/>
            <w:vAlign w:val="bottom"/>
            <w:gridSpan w:val="2"/>
            <w:shd w:val="clear" w:color="auto" w:fill="CCEEFF"/>
          </w:tcPr>
          <w:p>
            <w:pPr>
              <w:ind w:left="42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2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ind w:left="46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r>
      <w:tr>
        <w:trPr>
          <w:trHeight w:val="148"/>
        </w:trPr>
        <w:tc>
          <w:tcPr>
            <w:tcW w:w="2600" w:type="dxa"/>
            <w:vAlign w:val="bottom"/>
          </w:tcPr>
          <w:p>
            <w:pPr>
              <w:spacing w:after="0" w:line="149" w:lineRule="exact"/>
              <w:rPr>
                <w:sz w:val="20"/>
                <w:szCs w:val="20"/>
                <w:color w:val="auto"/>
              </w:rPr>
            </w:pPr>
            <w:r>
              <w:rPr>
                <w:rFonts w:ascii="Arial" w:cs="Arial" w:eastAsia="Arial" w:hAnsi="Arial"/>
                <w:sz w:val="14"/>
                <w:szCs w:val="14"/>
                <w:color w:val="auto"/>
              </w:rPr>
              <w:t>Exercise of share options</w:t>
            </w:r>
          </w:p>
        </w:tc>
        <w:tc>
          <w:tcPr>
            <w:tcW w:w="76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13,014</w:t>
            </w:r>
          </w:p>
        </w:tc>
        <w:tc>
          <w:tcPr>
            <w:tcW w:w="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20" w:type="dxa"/>
            <w:vAlign w:val="bottom"/>
            <w:gridSpan w:val="2"/>
          </w:tcPr>
          <w:p>
            <w:pPr>
              <w:ind w:left="8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w:t>
            </w:r>
          </w:p>
        </w:tc>
        <w:tc>
          <w:tcPr>
            <w:tcW w:w="720" w:type="dxa"/>
            <w:vAlign w:val="bottom"/>
            <w:gridSpan w:val="2"/>
          </w:tcPr>
          <w:p>
            <w:pPr>
              <w:ind w:left="320"/>
              <w:spacing w:after="0" w:line="149" w:lineRule="exact"/>
              <w:rPr>
                <w:sz w:val="20"/>
                <w:szCs w:val="20"/>
                <w:color w:val="auto"/>
              </w:rPr>
            </w:pPr>
            <w:r>
              <w:rPr>
                <w:rFonts w:ascii="Arial" w:cs="Arial" w:eastAsia="Arial" w:hAnsi="Arial"/>
                <w:sz w:val="14"/>
                <w:szCs w:val="14"/>
                <w:color w:val="auto"/>
              </w:rPr>
              <w:t>—</w:t>
            </w:r>
          </w:p>
        </w:tc>
        <w:tc>
          <w:tcPr>
            <w:tcW w:w="740" w:type="dxa"/>
            <w:vAlign w:val="bottom"/>
            <w:gridSpan w:val="2"/>
          </w:tcPr>
          <w:p>
            <w:pPr>
              <w:ind w:left="360"/>
              <w:spacing w:after="0" w:line="149" w:lineRule="exact"/>
              <w:rPr>
                <w:sz w:val="20"/>
                <w:szCs w:val="20"/>
                <w:color w:val="auto"/>
              </w:rPr>
            </w:pPr>
            <w:r>
              <w:rPr>
                <w:rFonts w:ascii="Arial" w:cs="Arial" w:eastAsia="Arial" w:hAnsi="Arial"/>
                <w:sz w:val="14"/>
                <w:szCs w:val="14"/>
                <w:color w:val="auto"/>
              </w:rPr>
              <w:t>126</w:t>
            </w:r>
          </w:p>
        </w:tc>
        <w:tc>
          <w:tcPr>
            <w:tcW w:w="180" w:type="dxa"/>
            <w:vAlign w:val="bottom"/>
          </w:tcPr>
          <w:p>
            <w:pPr>
              <w:spacing w:after="0"/>
              <w:rPr>
                <w:sz w:val="12"/>
                <w:szCs w:val="12"/>
                <w:color w:val="auto"/>
              </w:rPr>
            </w:pPr>
          </w:p>
        </w:tc>
        <w:tc>
          <w:tcPr>
            <w:tcW w:w="740" w:type="dxa"/>
            <w:vAlign w:val="bottom"/>
            <w:gridSpan w:val="2"/>
          </w:tcPr>
          <w:p>
            <w:pPr>
              <w:ind w:left="42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126</w:t>
            </w: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tcPr>
          <w:p>
            <w:pPr>
              <w:ind w:left="46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126</w:t>
            </w:r>
          </w:p>
        </w:tc>
      </w:tr>
      <w:tr>
        <w:trPr>
          <w:trHeight w:val="148"/>
        </w:trPr>
        <w:tc>
          <w:tcPr>
            <w:tcW w:w="26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Share-based compensation expense</w:t>
            </w:r>
          </w:p>
        </w:tc>
        <w:tc>
          <w:tcPr>
            <w:tcW w:w="760" w:type="dxa"/>
            <w:vAlign w:val="bottom"/>
            <w:gridSpan w:val="2"/>
            <w:shd w:val="clear" w:color="auto" w:fill="CCEEFF"/>
          </w:tcPr>
          <w:p>
            <w:pPr>
              <w:ind w:left="48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20" w:type="dxa"/>
            <w:vAlign w:val="bottom"/>
            <w:gridSpan w:val="2"/>
            <w:shd w:val="clear" w:color="auto" w:fill="CCEEFF"/>
          </w:tcPr>
          <w:p>
            <w:pPr>
              <w:ind w:left="8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w:t>
            </w:r>
          </w:p>
        </w:tc>
        <w:tc>
          <w:tcPr>
            <w:tcW w:w="720" w:type="dxa"/>
            <w:vAlign w:val="bottom"/>
            <w:gridSpan w:val="2"/>
            <w:shd w:val="clear" w:color="auto" w:fill="CCEEFF"/>
          </w:tcPr>
          <w:p>
            <w:pPr>
              <w:ind w:left="320"/>
              <w:spacing w:after="0" w:line="149" w:lineRule="exact"/>
              <w:rPr>
                <w:sz w:val="20"/>
                <w:szCs w:val="20"/>
                <w:color w:val="auto"/>
              </w:rPr>
            </w:pPr>
            <w:r>
              <w:rPr>
                <w:rFonts w:ascii="Arial" w:cs="Arial" w:eastAsia="Arial" w:hAnsi="Arial"/>
                <w:sz w:val="14"/>
                <w:szCs w:val="14"/>
                <w:color w:val="auto"/>
              </w:rPr>
              <w:t>—</w:t>
            </w:r>
          </w:p>
        </w:tc>
        <w:tc>
          <w:tcPr>
            <w:tcW w:w="74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4,388</w:t>
            </w:r>
          </w:p>
        </w:tc>
        <w:tc>
          <w:tcPr>
            <w:tcW w:w="180" w:type="dxa"/>
            <w:vAlign w:val="bottom"/>
            <w:shd w:val="clear" w:color="auto" w:fill="CCEEFF"/>
          </w:tcPr>
          <w:p>
            <w:pPr>
              <w:spacing w:after="0"/>
              <w:rPr>
                <w:sz w:val="12"/>
                <w:szCs w:val="12"/>
                <w:color w:val="auto"/>
              </w:rPr>
            </w:pPr>
          </w:p>
        </w:tc>
        <w:tc>
          <w:tcPr>
            <w:tcW w:w="740" w:type="dxa"/>
            <w:vAlign w:val="bottom"/>
            <w:gridSpan w:val="2"/>
            <w:shd w:val="clear" w:color="auto" w:fill="CCEEFF"/>
          </w:tcPr>
          <w:p>
            <w:pPr>
              <w:ind w:left="42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4,388</w:t>
            </w: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ind w:left="46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4,388</w:t>
            </w:r>
          </w:p>
        </w:tc>
      </w:tr>
      <w:tr>
        <w:trPr>
          <w:trHeight w:val="148"/>
        </w:trPr>
        <w:tc>
          <w:tcPr>
            <w:tcW w:w="2600" w:type="dxa"/>
            <w:vAlign w:val="bottom"/>
          </w:tcPr>
          <w:p>
            <w:pPr>
              <w:spacing w:after="0" w:line="149" w:lineRule="exact"/>
              <w:rPr>
                <w:sz w:val="20"/>
                <w:szCs w:val="20"/>
                <w:color w:val="auto"/>
              </w:rPr>
            </w:pPr>
            <w:r>
              <w:rPr>
                <w:rFonts w:ascii="Arial" w:cs="Arial" w:eastAsia="Arial" w:hAnsi="Arial"/>
                <w:sz w:val="14"/>
                <w:szCs w:val="14"/>
                <w:color w:val="auto"/>
              </w:rPr>
              <w:t>Comprehensive income:</w:t>
            </w:r>
          </w:p>
        </w:tc>
        <w:tc>
          <w:tcPr>
            <w:tcW w:w="6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r>
      <w:tr>
        <w:trPr>
          <w:trHeight w:val="130"/>
        </w:trPr>
        <w:tc>
          <w:tcPr>
            <w:tcW w:w="2600" w:type="dxa"/>
            <w:vAlign w:val="bottom"/>
            <w:shd w:val="clear" w:color="auto" w:fill="CCEEFF"/>
          </w:tcPr>
          <w:p>
            <w:pPr>
              <w:ind w:left="280"/>
              <w:spacing w:after="0" w:line="130" w:lineRule="exact"/>
              <w:rPr>
                <w:sz w:val="20"/>
                <w:szCs w:val="20"/>
                <w:color w:val="auto"/>
              </w:rPr>
            </w:pPr>
            <w:r>
              <w:rPr>
                <w:rFonts w:ascii="Arial" w:cs="Arial" w:eastAsia="Arial" w:hAnsi="Arial"/>
                <w:sz w:val="14"/>
                <w:szCs w:val="14"/>
                <w:color w:val="auto"/>
              </w:rPr>
              <w:t>Net income attributable to Textainer</w:t>
            </w:r>
          </w:p>
        </w:tc>
        <w:tc>
          <w:tcPr>
            <w:tcW w:w="6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0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r>
      <w:tr>
        <w:trPr>
          <w:trHeight w:val="148"/>
        </w:trPr>
        <w:tc>
          <w:tcPr>
            <w:tcW w:w="260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Group Holdings Limited common</w:t>
            </w:r>
          </w:p>
        </w:tc>
        <w:tc>
          <w:tcPr>
            <w:tcW w:w="6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r>
      <w:tr>
        <w:trPr>
          <w:trHeight w:val="167"/>
        </w:trPr>
        <w:tc>
          <w:tcPr>
            <w:tcW w:w="2600" w:type="dxa"/>
            <w:vAlign w:val="bottom"/>
            <w:shd w:val="clear" w:color="auto" w:fill="CCEEFF"/>
          </w:tcPr>
          <w:p>
            <w:pPr>
              <w:ind w:left="420"/>
              <w:spacing w:after="0"/>
              <w:rPr>
                <w:sz w:val="20"/>
                <w:szCs w:val="20"/>
                <w:color w:val="auto"/>
              </w:rPr>
            </w:pPr>
            <w:r>
              <w:rPr>
                <w:rFonts w:ascii="Arial" w:cs="Arial" w:eastAsia="Arial" w:hAnsi="Arial"/>
                <w:sz w:val="14"/>
                <w:szCs w:val="14"/>
                <w:color w:val="auto"/>
              </w:rPr>
              <w:t>shareholders</w:t>
            </w:r>
          </w:p>
        </w:tc>
        <w:tc>
          <w:tcPr>
            <w:tcW w:w="760" w:type="dxa"/>
            <w:vAlign w:val="bottom"/>
            <w:gridSpan w:val="2"/>
            <w:shd w:val="clear" w:color="auto" w:fill="CCEEFF"/>
          </w:tcPr>
          <w:p>
            <w:pPr>
              <w:ind w:left="48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420" w:type="dxa"/>
            <w:vAlign w:val="bottom"/>
            <w:gridSpan w:val="2"/>
            <w:shd w:val="clear" w:color="auto" w:fill="CCEEFF"/>
          </w:tcPr>
          <w:p>
            <w:pPr>
              <w:ind w:left="80"/>
              <w:spacing w:after="0"/>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w:t>
            </w:r>
          </w:p>
        </w:tc>
        <w:tc>
          <w:tcPr>
            <w:tcW w:w="720" w:type="dxa"/>
            <w:vAlign w:val="bottom"/>
            <w:gridSpan w:val="2"/>
            <w:shd w:val="clear" w:color="auto" w:fill="CCEEFF"/>
          </w:tcPr>
          <w:p>
            <w:pPr>
              <w:ind w:left="320"/>
              <w:spacing w:after="0"/>
              <w:rPr>
                <w:sz w:val="20"/>
                <w:szCs w:val="20"/>
                <w:color w:val="auto"/>
              </w:rPr>
            </w:pPr>
            <w:r>
              <w:rPr>
                <w:rFonts w:ascii="Arial" w:cs="Arial" w:eastAsia="Arial" w:hAnsi="Arial"/>
                <w:sz w:val="14"/>
                <w:szCs w:val="14"/>
                <w:color w:val="auto"/>
              </w:rPr>
              <w:t>—</w:t>
            </w:r>
          </w:p>
        </w:tc>
        <w:tc>
          <w:tcPr>
            <w:tcW w:w="740" w:type="dxa"/>
            <w:vAlign w:val="bottom"/>
            <w:gridSpan w:val="2"/>
            <w:shd w:val="clear" w:color="auto" w:fill="CCEEFF"/>
          </w:tcPr>
          <w:p>
            <w:pPr>
              <w:ind w:left="360"/>
              <w:spacing w:after="0"/>
              <w:rPr>
                <w:sz w:val="20"/>
                <w:szCs w:val="20"/>
                <w:color w:val="auto"/>
              </w:rPr>
            </w:pPr>
            <w:r>
              <w:rPr>
                <w:rFonts w:ascii="Arial" w:cs="Arial" w:eastAsia="Arial" w:hAnsi="Arial"/>
                <w:sz w:val="14"/>
                <w:szCs w:val="14"/>
                <w:color w:val="auto"/>
              </w:rPr>
              <w:t>—</w:t>
            </w:r>
          </w:p>
        </w:tc>
        <w:tc>
          <w:tcPr>
            <w:tcW w:w="180" w:type="dxa"/>
            <w:vAlign w:val="bottom"/>
            <w:shd w:val="clear" w:color="auto" w:fill="CCEEFF"/>
          </w:tcPr>
          <w:p>
            <w:pPr>
              <w:spacing w:after="0"/>
              <w:rPr>
                <w:sz w:val="14"/>
                <w:szCs w:val="14"/>
                <w:color w:val="auto"/>
              </w:rPr>
            </w:pPr>
          </w:p>
        </w:tc>
        <w:tc>
          <w:tcPr>
            <w:tcW w:w="740" w:type="dxa"/>
            <w:vAlign w:val="bottom"/>
            <w:gridSpan w:val="2"/>
            <w:shd w:val="clear" w:color="auto" w:fill="CCEEFF"/>
          </w:tcPr>
          <w:p>
            <w:pPr>
              <w:ind w:left="420"/>
              <w:spacing w:after="0"/>
              <w:rPr>
                <w:sz w:val="20"/>
                <w:szCs w:val="20"/>
                <w:color w:val="auto"/>
              </w:rPr>
            </w:pPr>
            <w:r>
              <w:rPr>
                <w:rFonts w:ascii="Arial" w:cs="Arial" w:eastAsia="Arial" w:hAnsi="Arial"/>
                <w:sz w:val="14"/>
                <w:szCs w:val="14"/>
                <w:color w:val="auto"/>
              </w:rPr>
              <w:t>—</w:t>
            </w:r>
          </w:p>
        </w:tc>
        <w:tc>
          <w:tcPr>
            <w:tcW w:w="740" w:type="dxa"/>
            <w:vAlign w:val="bottom"/>
            <w:gridSpan w:val="3"/>
            <w:shd w:val="clear" w:color="auto" w:fill="CCEEFF"/>
          </w:tcPr>
          <w:p>
            <w:pPr>
              <w:jc w:val="right"/>
              <w:ind w:right="120"/>
              <w:spacing w:after="0"/>
              <w:rPr>
                <w:sz w:val="20"/>
                <w:szCs w:val="20"/>
                <w:color w:val="auto"/>
              </w:rPr>
            </w:pPr>
            <w:r>
              <w:rPr>
                <w:rFonts w:ascii="Arial" w:cs="Arial" w:eastAsia="Arial" w:hAnsi="Arial"/>
                <w:sz w:val="14"/>
                <w:szCs w:val="14"/>
                <w:color w:val="auto"/>
              </w:rPr>
              <w:t>56,724</w:t>
            </w:r>
          </w:p>
        </w:tc>
        <w:tc>
          <w:tcPr>
            <w:tcW w:w="6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12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56,724</w:t>
            </w:r>
          </w:p>
        </w:tc>
        <w:tc>
          <w:tcPr>
            <w:tcW w:w="8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860" w:type="dxa"/>
            <w:vAlign w:val="bottom"/>
            <w:gridSpan w:val="2"/>
            <w:shd w:val="clear" w:color="auto" w:fill="CCEEFF"/>
          </w:tcPr>
          <w:p>
            <w:pPr>
              <w:ind w:left="460"/>
              <w:spacing w:after="0"/>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56,724</w:t>
            </w:r>
          </w:p>
        </w:tc>
      </w:tr>
      <w:tr>
        <w:trPr>
          <w:trHeight w:val="130"/>
        </w:trPr>
        <w:tc>
          <w:tcPr>
            <w:tcW w:w="2600" w:type="dxa"/>
            <w:vAlign w:val="bottom"/>
          </w:tcPr>
          <w:p>
            <w:pPr>
              <w:ind w:left="280"/>
              <w:spacing w:after="0" w:line="130" w:lineRule="exact"/>
              <w:rPr>
                <w:sz w:val="20"/>
                <w:szCs w:val="20"/>
                <w:color w:val="auto"/>
              </w:rPr>
            </w:pPr>
            <w:r>
              <w:rPr>
                <w:rFonts w:ascii="Arial" w:cs="Arial" w:eastAsia="Arial" w:hAnsi="Arial"/>
                <w:sz w:val="14"/>
                <w:szCs w:val="14"/>
                <w:color w:val="auto"/>
              </w:rPr>
              <w:t>Net income attributable to</w:t>
            </w:r>
          </w:p>
        </w:tc>
        <w:tc>
          <w:tcPr>
            <w:tcW w:w="6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r>
      <w:tr>
        <w:trPr>
          <w:trHeight w:val="167"/>
        </w:trPr>
        <w:tc>
          <w:tcPr>
            <w:tcW w:w="2600" w:type="dxa"/>
            <w:vAlign w:val="bottom"/>
          </w:tcPr>
          <w:p>
            <w:pPr>
              <w:ind w:left="420"/>
              <w:spacing w:after="0"/>
              <w:rPr>
                <w:sz w:val="20"/>
                <w:szCs w:val="20"/>
                <w:color w:val="auto"/>
              </w:rPr>
            </w:pPr>
            <w:r>
              <w:rPr>
                <w:rFonts w:ascii="Arial" w:cs="Arial" w:eastAsia="Arial" w:hAnsi="Arial"/>
                <w:sz w:val="14"/>
                <w:szCs w:val="14"/>
                <w:color w:val="auto"/>
              </w:rPr>
              <w:t>noncontrolling interests</w:t>
            </w:r>
          </w:p>
        </w:tc>
        <w:tc>
          <w:tcPr>
            <w:tcW w:w="760" w:type="dxa"/>
            <w:vAlign w:val="bottom"/>
            <w:gridSpan w:val="2"/>
          </w:tcPr>
          <w:p>
            <w:pPr>
              <w:ind w:left="48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20" w:type="dxa"/>
            <w:vAlign w:val="bottom"/>
            <w:gridSpan w:val="2"/>
          </w:tcPr>
          <w:p>
            <w:pPr>
              <w:ind w:left="80"/>
              <w:spacing w:after="0"/>
              <w:rPr>
                <w:sz w:val="20"/>
                <w:szCs w:val="20"/>
                <w:color w:val="auto"/>
              </w:rPr>
            </w:pPr>
            <w:r>
              <w:rPr>
                <w:rFonts w:ascii="Arial" w:cs="Arial" w:eastAsia="Arial" w:hAnsi="Arial"/>
                <w:sz w:val="14"/>
                <w:szCs w:val="14"/>
                <w:color w:val="auto"/>
              </w:rPr>
              <w:t>—</w:t>
            </w:r>
          </w:p>
        </w:tc>
        <w:tc>
          <w:tcPr>
            <w:tcW w:w="840" w:type="dxa"/>
            <w:vAlign w:val="bottom"/>
            <w:gridSpan w:val="2"/>
          </w:tcPr>
          <w:p>
            <w:pPr>
              <w:jc w:val="right"/>
              <w:ind w:right="240"/>
              <w:spacing w:after="0"/>
              <w:rPr>
                <w:sz w:val="20"/>
                <w:szCs w:val="20"/>
                <w:color w:val="auto"/>
              </w:rPr>
            </w:pPr>
            <w:r>
              <w:rPr>
                <w:rFonts w:ascii="Arial" w:cs="Arial" w:eastAsia="Arial" w:hAnsi="Arial"/>
                <w:sz w:val="14"/>
                <w:szCs w:val="14"/>
                <w:color w:val="auto"/>
              </w:rPr>
              <w:t>—</w:t>
            </w:r>
          </w:p>
        </w:tc>
        <w:tc>
          <w:tcPr>
            <w:tcW w:w="720" w:type="dxa"/>
            <w:vAlign w:val="bottom"/>
            <w:gridSpan w:val="2"/>
          </w:tcPr>
          <w:p>
            <w:pPr>
              <w:ind w:left="320"/>
              <w:spacing w:after="0"/>
              <w:rPr>
                <w:sz w:val="20"/>
                <w:szCs w:val="20"/>
                <w:color w:val="auto"/>
              </w:rPr>
            </w:pPr>
            <w:r>
              <w:rPr>
                <w:rFonts w:ascii="Arial" w:cs="Arial" w:eastAsia="Arial" w:hAnsi="Arial"/>
                <w:sz w:val="14"/>
                <w:szCs w:val="14"/>
                <w:color w:val="auto"/>
              </w:rPr>
              <w:t>—</w:t>
            </w:r>
          </w:p>
        </w:tc>
        <w:tc>
          <w:tcPr>
            <w:tcW w:w="740" w:type="dxa"/>
            <w:vAlign w:val="bottom"/>
            <w:gridSpan w:val="2"/>
          </w:tcPr>
          <w:p>
            <w:pPr>
              <w:ind w:left="360"/>
              <w:spacing w:after="0"/>
              <w:rPr>
                <w:sz w:val="20"/>
                <w:szCs w:val="20"/>
                <w:color w:val="auto"/>
              </w:rPr>
            </w:pPr>
            <w:r>
              <w:rPr>
                <w:rFonts w:ascii="Arial" w:cs="Arial" w:eastAsia="Arial" w:hAnsi="Arial"/>
                <w:sz w:val="14"/>
                <w:szCs w:val="14"/>
                <w:color w:val="auto"/>
              </w:rPr>
              <w:t>—</w:t>
            </w:r>
          </w:p>
        </w:tc>
        <w:tc>
          <w:tcPr>
            <w:tcW w:w="180" w:type="dxa"/>
            <w:vAlign w:val="bottom"/>
          </w:tcPr>
          <w:p>
            <w:pPr>
              <w:spacing w:after="0"/>
              <w:rPr>
                <w:sz w:val="14"/>
                <w:szCs w:val="14"/>
                <w:color w:val="auto"/>
              </w:rPr>
            </w:pPr>
          </w:p>
        </w:tc>
        <w:tc>
          <w:tcPr>
            <w:tcW w:w="740" w:type="dxa"/>
            <w:vAlign w:val="bottom"/>
            <w:gridSpan w:val="2"/>
          </w:tcPr>
          <w:p>
            <w:pPr>
              <w:ind w:left="42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14"/>
                <w:szCs w:val="14"/>
                <w:color w:val="auto"/>
              </w:rPr>
            </w:pPr>
          </w:p>
        </w:tc>
        <w:tc>
          <w:tcPr>
            <w:tcW w:w="66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2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60" w:type="dxa"/>
            <w:vAlign w:val="bottom"/>
            <w:gridSpan w:val="2"/>
          </w:tcPr>
          <w:p>
            <w:pPr>
              <w:jc w:val="right"/>
              <w:ind w:right="140"/>
              <w:spacing w:after="0"/>
              <w:rPr>
                <w:sz w:val="20"/>
                <w:szCs w:val="20"/>
                <w:color w:val="auto"/>
              </w:rPr>
            </w:pPr>
            <w:r>
              <w:rPr>
                <w:rFonts w:ascii="Arial" w:cs="Arial" w:eastAsia="Arial" w:hAnsi="Arial"/>
                <w:sz w:val="14"/>
                <w:szCs w:val="14"/>
                <w:color w:val="auto"/>
              </w:rPr>
              <w:t>(168)</w:t>
            </w:r>
          </w:p>
        </w:tc>
        <w:tc>
          <w:tcPr>
            <w:tcW w:w="760" w:type="dxa"/>
            <w:vAlign w:val="bottom"/>
            <w:gridSpan w:val="2"/>
          </w:tcPr>
          <w:p>
            <w:pPr>
              <w:jc w:val="right"/>
              <w:ind w:right="60"/>
              <w:spacing w:after="0"/>
              <w:rPr>
                <w:sz w:val="20"/>
                <w:szCs w:val="20"/>
                <w:color w:val="auto"/>
              </w:rPr>
            </w:pPr>
            <w:r>
              <w:rPr>
                <w:rFonts w:ascii="Arial" w:cs="Arial" w:eastAsia="Arial" w:hAnsi="Arial"/>
                <w:sz w:val="14"/>
                <w:szCs w:val="14"/>
                <w:color w:val="auto"/>
              </w:rPr>
              <w:t>(168)</w:t>
            </w:r>
          </w:p>
        </w:tc>
      </w:tr>
      <w:tr>
        <w:trPr>
          <w:trHeight w:val="130"/>
        </w:trPr>
        <w:tc>
          <w:tcPr>
            <w:tcW w:w="2600" w:type="dxa"/>
            <w:vAlign w:val="bottom"/>
            <w:shd w:val="clear" w:color="auto" w:fill="CCEEFF"/>
          </w:tcPr>
          <w:p>
            <w:pPr>
              <w:ind w:left="280"/>
              <w:spacing w:after="0" w:line="130" w:lineRule="exact"/>
              <w:rPr>
                <w:sz w:val="20"/>
                <w:szCs w:val="20"/>
                <w:color w:val="auto"/>
              </w:rPr>
            </w:pPr>
            <w:r>
              <w:rPr>
                <w:rFonts w:ascii="Arial" w:cs="Arial" w:eastAsia="Arial" w:hAnsi="Arial"/>
                <w:sz w:val="14"/>
                <w:szCs w:val="14"/>
                <w:color w:val="auto"/>
              </w:rPr>
              <w:t>Change in derivative instruments</w:t>
            </w:r>
          </w:p>
        </w:tc>
        <w:tc>
          <w:tcPr>
            <w:tcW w:w="6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0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r>
      <w:tr>
        <w:trPr>
          <w:trHeight w:val="167"/>
        </w:trPr>
        <w:tc>
          <w:tcPr>
            <w:tcW w:w="2600" w:type="dxa"/>
            <w:vAlign w:val="bottom"/>
            <w:shd w:val="clear" w:color="auto" w:fill="CCEEFF"/>
          </w:tcPr>
          <w:p>
            <w:pPr>
              <w:ind w:left="420"/>
              <w:spacing w:after="0"/>
              <w:rPr>
                <w:sz w:val="20"/>
                <w:szCs w:val="20"/>
                <w:color w:val="auto"/>
              </w:rPr>
            </w:pPr>
            <w:r>
              <w:rPr>
                <w:rFonts w:ascii="Arial" w:cs="Arial" w:eastAsia="Arial" w:hAnsi="Arial"/>
                <w:sz w:val="14"/>
                <w:szCs w:val="14"/>
                <w:color w:val="auto"/>
              </w:rPr>
              <w:t>designated as cash flow hedges</w:t>
            </w:r>
          </w:p>
        </w:tc>
        <w:tc>
          <w:tcPr>
            <w:tcW w:w="760" w:type="dxa"/>
            <w:vAlign w:val="bottom"/>
            <w:gridSpan w:val="2"/>
            <w:shd w:val="clear" w:color="auto" w:fill="CCEEFF"/>
          </w:tcPr>
          <w:p>
            <w:pPr>
              <w:ind w:left="48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420" w:type="dxa"/>
            <w:vAlign w:val="bottom"/>
            <w:gridSpan w:val="2"/>
            <w:shd w:val="clear" w:color="auto" w:fill="CCEEFF"/>
          </w:tcPr>
          <w:p>
            <w:pPr>
              <w:ind w:left="80"/>
              <w:spacing w:after="0"/>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w:t>
            </w:r>
          </w:p>
        </w:tc>
        <w:tc>
          <w:tcPr>
            <w:tcW w:w="720" w:type="dxa"/>
            <w:vAlign w:val="bottom"/>
            <w:gridSpan w:val="2"/>
            <w:shd w:val="clear" w:color="auto" w:fill="CCEEFF"/>
          </w:tcPr>
          <w:p>
            <w:pPr>
              <w:ind w:left="320"/>
              <w:spacing w:after="0"/>
              <w:rPr>
                <w:sz w:val="20"/>
                <w:szCs w:val="20"/>
                <w:color w:val="auto"/>
              </w:rPr>
            </w:pPr>
            <w:r>
              <w:rPr>
                <w:rFonts w:ascii="Arial" w:cs="Arial" w:eastAsia="Arial" w:hAnsi="Arial"/>
                <w:sz w:val="14"/>
                <w:szCs w:val="14"/>
                <w:color w:val="auto"/>
              </w:rPr>
              <w:t>—</w:t>
            </w:r>
          </w:p>
        </w:tc>
        <w:tc>
          <w:tcPr>
            <w:tcW w:w="740" w:type="dxa"/>
            <w:vAlign w:val="bottom"/>
            <w:gridSpan w:val="2"/>
            <w:shd w:val="clear" w:color="auto" w:fill="CCEEFF"/>
          </w:tcPr>
          <w:p>
            <w:pPr>
              <w:ind w:left="360"/>
              <w:spacing w:after="0"/>
              <w:rPr>
                <w:sz w:val="20"/>
                <w:szCs w:val="20"/>
                <w:color w:val="auto"/>
              </w:rPr>
            </w:pPr>
            <w:r>
              <w:rPr>
                <w:rFonts w:ascii="Arial" w:cs="Arial" w:eastAsia="Arial" w:hAnsi="Arial"/>
                <w:sz w:val="14"/>
                <w:szCs w:val="14"/>
                <w:color w:val="auto"/>
              </w:rPr>
              <w:t>—</w:t>
            </w:r>
          </w:p>
        </w:tc>
        <w:tc>
          <w:tcPr>
            <w:tcW w:w="180" w:type="dxa"/>
            <w:vAlign w:val="bottom"/>
            <w:shd w:val="clear" w:color="auto" w:fill="CCEEFF"/>
          </w:tcPr>
          <w:p>
            <w:pPr>
              <w:spacing w:after="0"/>
              <w:rPr>
                <w:sz w:val="14"/>
                <w:szCs w:val="14"/>
                <w:color w:val="auto"/>
              </w:rPr>
            </w:pPr>
          </w:p>
        </w:tc>
        <w:tc>
          <w:tcPr>
            <w:tcW w:w="74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(110)</w:t>
            </w:r>
          </w:p>
        </w:tc>
        <w:tc>
          <w:tcPr>
            <w:tcW w:w="80" w:type="dxa"/>
            <w:vAlign w:val="bottom"/>
            <w:shd w:val="clear" w:color="auto" w:fill="CCEEFF"/>
          </w:tcPr>
          <w:p>
            <w:pPr>
              <w:spacing w:after="0"/>
              <w:rPr>
                <w:sz w:val="14"/>
                <w:szCs w:val="14"/>
                <w:color w:val="auto"/>
              </w:rPr>
            </w:pPr>
          </w:p>
        </w:tc>
        <w:tc>
          <w:tcPr>
            <w:tcW w:w="66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12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(110)</w:t>
            </w:r>
          </w:p>
        </w:tc>
        <w:tc>
          <w:tcPr>
            <w:tcW w:w="8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860" w:type="dxa"/>
            <w:vAlign w:val="bottom"/>
            <w:gridSpan w:val="2"/>
            <w:shd w:val="clear" w:color="auto" w:fill="CCEEFF"/>
          </w:tcPr>
          <w:p>
            <w:pPr>
              <w:ind w:left="460"/>
              <w:spacing w:after="0"/>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(110)</w:t>
            </w:r>
          </w:p>
        </w:tc>
      </w:tr>
      <w:tr>
        <w:trPr>
          <w:trHeight w:val="130"/>
        </w:trPr>
        <w:tc>
          <w:tcPr>
            <w:tcW w:w="2600" w:type="dxa"/>
            <w:vAlign w:val="bottom"/>
          </w:tcPr>
          <w:p>
            <w:pPr>
              <w:ind w:left="280"/>
              <w:spacing w:after="0" w:line="130" w:lineRule="exact"/>
              <w:rPr>
                <w:sz w:val="20"/>
                <w:szCs w:val="20"/>
                <w:color w:val="auto"/>
              </w:rPr>
            </w:pPr>
            <w:r>
              <w:rPr>
                <w:rFonts w:ascii="Arial" w:cs="Arial" w:eastAsia="Arial" w:hAnsi="Arial"/>
                <w:sz w:val="14"/>
                <w:szCs w:val="14"/>
                <w:color w:val="auto"/>
              </w:rPr>
              <w:t>Reclassification of realized gain on</w:t>
            </w:r>
          </w:p>
        </w:tc>
        <w:tc>
          <w:tcPr>
            <w:tcW w:w="6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r>
      <w:tr>
        <w:trPr>
          <w:trHeight w:val="148"/>
        </w:trPr>
        <w:tc>
          <w:tcPr>
            <w:tcW w:w="2600" w:type="dxa"/>
            <w:vAlign w:val="bottom"/>
          </w:tcPr>
          <w:p>
            <w:pPr>
              <w:ind w:left="420"/>
              <w:spacing w:after="0" w:line="149" w:lineRule="exact"/>
              <w:rPr>
                <w:sz w:val="20"/>
                <w:szCs w:val="20"/>
                <w:color w:val="auto"/>
              </w:rPr>
            </w:pPr>
            <w:r>
              <w:rPr>
                <w:rFonts w:ascii="Arial" w:cs="Arial" w:eastAsia="Arial" w:hAnsi="Arial"/>
                <w:sz w:val="14"/>
                <w:szCs w:val="14"/>
                <w:color w:val="auto"/>
                <w:w w:val="95"/>
              </w:rPr>
              <w:t>derivative instruments designated as</w:t>
            </w:r>
          </w:p>
        </w:tc>
        <w:tc>
          <w:tcPr>
            <w:tcW w:w="6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r>
      <w:tr>
        <w:trPr>
          <w:trHeight w:val="167"/>
        </w:trPr>
        <w:tc>
          <w:tcPr>
            <w:tcW w:w="2600" w:type="dxa"/>
            <w:vAlign w:val="bottom"/>
          </w:tcPr>
          <w:p>
            <w:pPr>
              <w:ind w:left="420"/>
              <w:spacing w:after="0"/>
              <w:rPr>
                <w:sz w:val="20"/>
                <w:szCs w:val="20"/>
                <w:color w:val="auto"/>
              </w:rPr>
            </w:pPr>
            <w:r>
              <w:rPr>
                <w:rFonts w:ascii="Arial" w:cs="Arial" w:eastAsia="Arial" w:hAnsi="Arial"/>
                <w:sz w:val="14"/>
                <w:szCs w:val="14"/>
                <w:color w:val="auto"/>
              </w:rPr>
              <w:t>cash flow hedges</w:t>
            </w:r>
          </w:p>
        </w:tc>
        <w:tc>
          <w:tcPr>
            <w:tcW w:w="760" w:type="dxa"/>
            <w:vAlign w:val="bottom"/>
            <w:gridSpan w:val="2"/>
          </w:tcPr>
          <w:p>
            <w:pPr>
              <w:ind w:left="48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20" w:type="dxa"/>
            <w:vAlign w:val="bottom"/>
            <w:gridSpan w:val="2"/>
          </w:tcPr>
          <w:p>
            <w:pPr>
              <w:ind w:left="80"/>
              <w:spacing w:after="0"/>
              <w:rPr>
                <w:sz w:val="20"/>
                <w:szCs w:val="20"/>
                <w:color w:val="auto"/>
              </w:rPr>
            </w:pPr>
            <w:r>
              <w:rPr>
                <w:rFonts w:ascii="Arial" w:cs="Arial" w:eastAsia="Arial" w:hAnsi="Arial"/>
                <w:sz w:val="14"/>
                <w:szCs w:val="14"/>
                <w:color w:val="auto"/>
              </w:rPr>
              <w:t>—</w:t>
            </w:r>
          </w:p>
        </w:tc>
        <w:tc>
          <w:tcPr>
            <w:tcW w:w="840" w:type="dxa"/>
            <w:vAlign w:val="bottom"/>
            <w:gridSpan w:val="2"/>
          </w:tcPr>
          <w:p>
            <w:pPr>
              <w:jc w:val="right"/>
              <w:ind w:right="240"/>
              <w:spacing w:after="0"/>
              <w:rPr>
                <w:sz w:val="20"/>
                <w:szCs w:val="20"/>
                <w:color w:val="auto"/>
              </w:rPr>
            </w:pPr>
            <w:r>
              <w:rPr>
                <w:rFonts w:ascii="Arial" w:cs="Arial" w:eastAsia="Arial" w:hAnsi="Arial"/>
                <w:sz w:val="14"/>
                <w:szCs w:val="14"/>
                <w:color w:val="auto"/>
              </w:rPr>
              <w:t>—</w:t>
            </w:r>
          </w:p>
        </w:tc>
        <w:tc>
          <w:tcPr>
            <w:tcW w:w="720" w:type="dxa"/>
            <w:vAlign w:val="bottom"/>
            <w:gridSpan w:val="2"/>
          </w:tcPr>
          <w:p>
            <w:pPr>
              <w:ind w:left="320"/>
              <w:spacing w:after="0"/>
              <w:rPr>
                <w:sz w:val="20"/>
                <w:szCs w:val="20"/>
                <w:color w:val="auto"/>
              </w:rPr>
            </w:pPr>
            <w:r>
              <w:rPr>
                <w:rFonts w:ascii="Arial" w:cs="Arial" w:eastAsia="Arial" w:hAnsi="Arial"/>
                <w:sz w:val="14"/>
                <w:szCs w:val="14"/>
                <w:color w:val="auto"/>
              </w:rPr>
              <w:t>—</w:t>
            </w:r>
          </w:p>
        </w:tc>
        <w:tc>
          <w:tcPr>
            <w:tcW w:w="740" w:type="dxa"/>
            <w:vAlign w:val="bottom"/>
            <w:gridSpan w:val="2"/>
          </w:tcPr>
          <w:p>
            <w:pPr>
              <w:ind w:left="360"/>
              <w:spacing w:after="0"/>
              <w:rPr>
                <w:sz w:val="20"/>
                <w:szCs w:val="20"/>
                <w:color w:val="auto"/>
              </w:rPr>
            </w:pPr>
            <w:r>
              <w:rPr>
                <w:rFonts w:ascii="Arial" w:cs="Arial" w:eastAsia="Arial" w:hAnsi="Arial"/>
                <w:sz w:val="14"/>
                <w:szCs w:val="14"/>
                <w:color w:val="auto"/>
              </w:rPr>
              <w:t>—</w:t>
            </w:r>
          </w:p>
        </w:tc>
        <w:tc>
          <w:tcPr>
            <w:tcW w:w="180" w:type="dxa"/>
            <w:vAlign w:val="bottom"/>
          </w:tcPr>
          <w:p>
            <w:pPr>
              <w:spacing w:after="0"/>
              <w:rPr>
                <w:sz w:val="14"/>
                <w:szCs w:val="14"/>
                <w:color w:val="auto"/>
              </w:rPr>
            </w:pPr>
          </w:p>
        </w:tc>
        <w:tc>
          <w:tcPr>
            <w:tcW w:w="740" w:type="dxa"/>
            <w:vAlign w:val="bottom"/>
            <w:gridSpan w:val="2"/>
          </w:tcPr>
          <w:p>
            <w:pPr>
              <w:jc w:val="right"/>
              <w:ind w:right="60"/>
              <w:spacing w:after="0"/>
              <w:rPr>
                <w:sz w:val="20"/>
                <w:szCs w:val="20"/>
                <w:color w:val="auto"/>
              </w:rPr>
            </w:pPr>
            <w:r>
              <w:rPr>
                <w:rFonts w:ascii="Arial" w:cs="Arial" w:eastAsia="Arial" w:hAnsi="Arial"/>
                <w:sz w:val="14"/>
                <w:szCs w:val="14"/>
                <w:color w:val="auto"/>
              </w:rPr>
              <w:t>(7)</w:t>
            </w:r>
          </w:p>
        </w:tc>
        <w:tc>
          <w:tcPr>
            <w:tcW w:w="80" w:type="dxa"/>
            <w:vAlign w:val="bottom"/>
          </w:tcPr>
          <w:p>
            <w:pPr>
              <w:spacing w:after="0"/>
              <w:rPr>
                <w:sz w:val="14"/>
                <w:szCs w:val="14"/>
                <w:color w:val="auto"/>
              </w:rPr>
            </w:pPr>
          </w:p>
        </w:tc>
        <w:tc>
          <w:tcPr>
            <w:tcW w:w="66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20" w:type="dxa"/>
            <w:vAlign w:val="bottom"/>
            <w:gridSpan w:val="2"/>
          </w:tcPr>
          <w:p>
            <w:pPr>
              <w:jc w:val="right"/>
              <w:ind w:right="60"/>
              <w:spacing w:after="0"/>
              <w:rPr>
                <w:sz w:val="20"/>
                <w:szCs w:val="20"/>
                <w:color w:val="auto"/>
              </w:rPr>
            </w:pPr>
            <w:r>
              <w:rPr>
                <w:rFonts w:ascii="Arial" w:cs="Arial" w:eastAsia="Arial" w:hAnsi="Arial"/>
                <w:sz w:val="14"/>
                <w:szCs w:val="14"/>
                <w:color w:val="auto"/>
              </w:rPr>
              <w:t>(7)</w:t>
            </w: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60" w:type="dxa"/>
            <w:vAlign w:val="bottom"/>
            <w:gridSpan w:val="2"/>
          </w:tcPr>
          <w:p>
            <w:pPr>
              <w:ind w:left="460"/>
              <w:spacing w:after="0"/>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60"/>
              <w:spacing w:after="0"/>
              <w:rPr>
                <w:sz w:val="20"/>
                <w:szCs w:val="20"/>
                <w:color w:val="auto"/>
              </w:rPr>
            </w:pPr>
            <w:r>
              <w:rPr>
                <w:rFonts w:ascii="Arial" w:cs="Arial" w:eastAsia="Arial" w:hAnsi="Arial"/>
                <w:sz w:val="14"/>
                <w:szCs w:val="14"/>
                <w:color w:val="auto"/>
              </w:rPr>
              <w:t>(7)</w:t>
            </w:r>
          </w:p>
        </w:tc>
      </w:tr>
      <w:tr>
        <w:trPr>
          <w:trHeight w:val="130"/>
        </w:trPr>
        <w:tc>
          <w:tcPr>
            <w:tcW w:w="2600" w:type="dxa"/>
            <w:vAlign w:val="bottom"/>
            <w:shd w:val="clear" w:color="auto" w:fill="CCEEFF"/>
          </w:tcPr>
          <w:p>
            <w:pPr>
              <w:ind w:left="280"/>
              <w:spacing w:after="0" w:line="130" w:lineRule="exact"/>
              <w:rPr>
                <w:sz w:val="20"/>
                <w:szCs w:val="20"/>
                <w:color w:val="auto"/>
              </w:rPr>
            </w:pPr>
            <w:r>
              <w:rPr>
                <w:rFonts w:ascii="Arial" w:cs="Arial" w:eastAsia="Arial" w:hAnsi="Arial"/>
                <w:sz w:val="14"/>
                <w:szCs w:val="14"/>
                <w:color w:val="auto"/>
              </w:rPr>
              <w:t>Foreign currency translation</w:t>
            </w:r>
          </w:p>
        </w:tc>
        <w:tc>
          <w:tcPr>
            <w:tcW w:w="6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0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r>
      <w:tr>
        <w:trPr>
          <w:trHeight w:val="167"/>
        </w:trPr>
        <w:tc>
          <w:tcPr>
            <w:tcW w:w="2600" w:type="dxa"/>
            <w:vAlign w:val="bottom"/>
            <w:shd w:val="clear" w:color="auto" w:fill="CCEEFF"/>
          </w:tcPr>
          <w:p>
            <w:pPr>
              <w:ind w:left="420"/>
              <w:spacing w:after="0"/>
              <w:rPr>
                <w:sz w:val="20"/>
                <w:szCs w:val="20"/>
                <w:color w:val="auto"/>
              </w:rPr>
            </w:pPr>
            <w:r>
              <w:rPr>
                <w:rFonts w:ascii="Arial" w:cs="Arial" w:eastAsia="Arial" w:hAnsi="Arial"/>
                <w:sz w:val="14"/>
                <w:szCs w:val="14"/>
                <w:color w:val="auto"/>
              </w:rPr>
              <w:t>adjustments</w:t>
            </w:r>
          </w:p>
        </w:tc>
        <w:tc>
          <w:tcPr>
            <w:tcW w:w="760" w:type="dxa"/>
            <w:vAlign w:val="bottom"/>
            <w:gridSpan w:val="2"/>
            <w:shd w:val="clear" w:color="auto" w:fill="CCEEFF"/>
          </w:tcPr>
          <w:p>
            <w:pPr>
              <w:ind w:left="48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420" w:type="dxa"/>
            <w:vAlign w:val="bottom"/>
            <w:gridSpan w:val="2"/>
            <w:shd w:val="clear" w:color="auto" w:fill="CCEEFF"/>
          </w:tcPr>
          <w:p>
            <w:pPr>
              <w:ind w:left="80"/>
              <w:spacing w:after="0"/>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w:t>
            </w:r>
          </w:p>
        </w:tc>
        <w:tc>
          <w:tcPr>
            <w:tcW w:w="720" w:type="dxa"/>
            <w:vAlign w:val="bottom"/>
            <w:gridSpan w:val="2"/>
            <w:shd w:val="clear" w:color="auto" w:fill="CCEEFF"/>
          </w:tcPr>
          <w:p>
            <w:pPr>
              <w:ind w:left="320"/>
              <w:spacing w:after="0"/>
              <w:rPr>
                <w:sz w:val="20"/>
                <w:szCs w:val="20"/>
                <w:color w:val="auto"/>
              </w:rPr>
            </w:pPr>
            <w:r>
              <w:rPr>
                <w:rFonts w:ascii="Arial" w:cs="Arial" w:eastAsia="Arial" w:hAnsi="Arial"/>
                <w:sz w:val="14"/>
                <w:szCs w:val="14"/>
                <w:color w:val="auto"/>
              </w:rPr>
              <w:t>—</w:t>
            </w:r>
          </w:p>
        </w:tc>
        <w:tc>
          <w:tcPr>
            <w:tcW w:w="740" w:type="dxa"/>
            <w:vAlign w:val="bottom"/>
            <w:gridSpan w:val="2"/>
            <w:shd w:val="clear" w:color="auto" w:fill="CCEEFF"/>
          </w:tcPr>
          <w:p>
            <w:pPr>
              <w:ind w:left="360"/>
              <w:spacing w:after="0"/>
              <w:rPr>
                <w:sz w:val="20"/>
                <w:szCs w:val="20"/>
                <w:color w:val="auto"/>
              </w:rPr>
            </w:pPr>
            <w:r>
              <w:rPr>
                <w:rFonts w:ascii="Arial" w:cs="Arial" w:eastAsia="Arial" w:hAnsi="Arial"/>
                <w:sz w:val="14"/>
                <w:szCs w:val="14"/>
                <w:color w:val="auto"/>
              </w:rPr>
              <w:t>—</w:t>
            </w:r>
          </w:p>
        </w:tc>
        <w:tc>
          <w:tcPr>
            <w:tcW w:w="180" w:type="dxa"/>
            <w:vAlign w:val="bottom"/>
            <w:shd w:val="clear" w:color="auto" w:fill="CCEEFF"/>
          </w:tcPr>
          <w:p>
            <w:pPr>
              <w:spacing w:after="0"/>
              <w:rPr>
                <w:sz w:val="14"/>
                <w:szCs w:val="14"/>
                <w:color w:val="auto"/>
              </w:rPr>
            </w:pP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42</w:t>
            </w:r>
          </w:p>
        </w:tc>
        <w:tc>
          <w:tcPr>
            <w:tcW w:w="80" w:type="dxa"/>
            <w:vAlign w:val="bottom"/>
            <w:shd w:val="clear" w:color="auto" w:fill="CCEEFF"/>
          </w:tcPr>
          <w:p>
            <w:pPr>
              <w:spacing w:after="0"/>
              <w:rPr>
                <w:sz w:val="14"/>
                <w:szCs w:val="14"/>
                <w:color w:val="auto"/>
              </w:rPr>
            </w:pPr>
          </w:p>
        </w:tc>
        <w:tc>
          <w:tcPr>
            <w:tcW w:w="66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12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42</w:t>
            </w:r>
          </w:p>
        </w:tc>
        <w:tc>
          <w:tcPr>
            <w:tcW w:w="8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860" w:type="dxa"/>
            <w:vAlign w:val="bottom"/>
            <w:gridSpan w:val="2"/>
            <w:shd w:val="clear" w:color="auto" w:fill="CCEEFF"/>
          </w:tcPr>
          <w:p>
            <w:pPr>
              <w:ind w:left="460"/>
              <w:spacing w:after="0"/>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42</w:t>
            </w:r>
          </w:p>
        </w:tc>
      </w:tr>
      <w:tr>
        <w:trPr>
          <w:trHeight w:val="163"/>
        </w:trPr>
        <w:tc>
          <w:tcPr>
            <w:tcW w:w="2600" w:type="dxa"/>
            <w:vAlign w:val="bottom"/>
          </w:tcPr>
          <w:p>
            <w:pPr>
              <w:ind w:left="580"/>
              <w:spacing w:after="0" w:line="155" w:lineRule="exact"/>
              <w:rPr>
                <w:sz w:val="20"/>
                <w:szCs w:val="20"/>
                <w:color w:val="auto"/>
              </w:rPr>
            </w:pPr>
            <w:r>
              <w:rPr>
                <w:rFonts w:ascii="Arial" w:cs="Arial" w:eastAsia="Arial" w:hAnsi="Arial"/>
                <w:sz w:val="14"/>
                <w:szCs w:val="14"/>
                <w:color w:val="auto"/>
              </w:rPr>
              <w:t>Total comprehensive income</w:t>
            </w:r>
          </w:p>
        </w:tc>
        <w:tc>
          <w:tcPr>
            <w:tcW w:w="680" w:type="dxa"/>
            <w:vAlign w:val="bottom"/>
            <w:tcBorders>
              <w:top w:val="single" w:sz="8" w:color="auto"/>
            </w:tcBorders>
          </w:tcPr>
          <w:p>
            <w:pPr>
              <w:spacing w:after="0"/>
              <w:rPr>
                <w:sz w:val="14"/>
                <w:szCs w:val="14"/>
                <w:color w:val="auto"/>
              </w:rPr>
            </w:pPr>
          </w:p>
        </w:tc>
        <w:tc>
          <w:tcPr>
            <w:tcW w:w="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40" w:type="dxa"/>
            <w:vAlign w:val="bottom"/>
            <w:tcBorders>
              <w:top w:val="single" w:sz="8" w:color="auto"/>
            </w:tcBorders>
          </w:tcPr>
          <w:p>
            <w:pPr>
              <w:spacing w:after="0"/>
              <w:rPr>
                <w:sz w:val="14"/>
                <w:szCs w:val="14"/>
                <w:color w:val="auto"/>
              </w:rPr>
            </w:pPr>
          </w:p>
        </w:tc>
        <w:tc>
          <w:tcPr>
            <w:tcW w:w="300" w:type="dxa"/>
            <w:vAlign w:val="bottom"/>
            <w:tcBorders>
              <w:top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680" w:type="dxa"/>
            <w:vAlign w:val="bottom"/>
            <w:tcBorders>
              <w:top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540" w:type="dxa"/>
            <w:vAlign w:val="bottom"/>
            <w:tcBorders>
              <w:top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580" w:type="dxa"/>
            <w:vAlign w:val="bottom"/>
            <w:tcBorders>
              <w:top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180" w:type="dxa"/>
            <w:vAlign w:val="bottom"/>
            <w:tcBorders>
              <w:top w:val="single" w:sz="8" w:color="auto"/>
            </w:tcBorders>
          </w:tcPr>
          <w:p>
            <w:pPr>
              <w:spacing w:after="0"/>
              <w:rPr>
                <w:sz w:val="14"/>
                <w:szCs w:val="14"/>
                <w:color w:val="auto"/>
              </w:rPr>
            </w:pPr>
          </w:p>
        </w:tc>
        <w:tc>
          <w:tcPr>
            <w:tcW w:w="640" w:type="dxa"/>
            <w:vAlign w:val="bottom"/>
            <w:tcBorders>
              <w:top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40" w:type="dxa"/>
            <w:vAlign w:val="bottom"/>
            <w:tcBorders>
              <w:top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Borders>
              <w:top w:val="single" w:sz="8" w:color="auto"/>
            </w:tcBorders>
          </w:tcPr>
          <w:p>
            <w:pPr>
              <w:spacing w:after="0"/>
              <w:rPr>
                <w:sz w:val="14"/>
                <w:szCs w:val="14"/>
                <w:color w:val="auto"/>
              </w:rPr>
            </w:pPr>
          </w:p>
        </w:tc>
        <w:tc>
          <w:tcPr>
            <w:tcW w:w="1020" w:type="dxa"/>
            <w:vAlign w:val="bottom"/>
            <w:tcBorders>
              <w:top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20" w:type="dxa"/>
            <w:vAlign w:val="bottom"/>
            <w:tcBorders>
              <w:top w:val="single" w:sz="8" w:color="auto"/>
            </w:tcBorders>
          </w:tcPr>
          <w:p>
            <w:pPr>
              <w:spacing w:after="0"/>
              <w:rPr>
                <w:sz w:val="14"/>
                <w:szCs w:val="14"/>
                <w:color w:val="auto"/>
              </w:rPr>
            </w:pPr>
          </w:p>
        </w:tc>
        <w:tc>
          <w:tcPr>
            <w:tcW w:w="680" w:type="dxa"/>
            <w:vAlign w:val="bottom"/>
            <w:tcBorders>
              <w:top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66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56,481</w:t>
            </w:r>
          </w:p>
        </w:tc>
        <w:tc>
          <w:tcPr>
            <w:tcW w:w="100" w:type="dxa"/>
            <w:vAlign w:val="bottom"/>
          </w:tcPr>
          <w:p>
            <w:pPr>
              <w:spacing w:after="0"/>
              <w:rPr>
                <w:sz w:val="14"/>
                <w:szCs w:val="14"/>
                <w:color w:val="auto"/>
              </w:rPr>
            </w:pPr>
          </w:p>
        </w:tc>
      </w:tr>
      <w:tr>
        <w:trPr>
          <w:trHeight w:val="148"/>
        </w:trPr>
        <w:tc>
          <w:tcPr>
            <w:tcW w:w="26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Balances, December 31, 2019</w:t>
            </w:r>
          </w:p>
        </w:tc>
        <w:tc>
          <w:tcPr>
            <w:tcW w:w="7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w w:val="96"/>
              </w:rPr>
              <w:t>58,326,555</w:t>
            </w:r>
          </w:p>
        </w:tc>
        <w:tc>
          <w:tcPr>
            <w:tcW w:w="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20" w:type="dxa"/>
            <w:vAlign w:val="bottom"/>
            <w:gridSpan w:val="2"/>
            <w:shd w:val="clear" w:color="auto" w:fill="CCEEFF"/>
          </w:tcPr>
          <w:p>
            <w:pPr>
              <w:ind w:left="80"/>
              <w:spacing w:after="0" w:line="149" w:lineRule="exact"/>
              <w:rPr>
                <w:sz w:val="20"/>
                <w:szCs w:val="20"/>
                <w:color w:val="auto"/>
              </w:rPr>
            </w:pPr>
            <w:r>
              <w:rPr>
                <w:rFonts w:ascii="Arial" w:cs="Arial" w:eastAsia="Arial" w:hAnsi="Arial"/>
                <w:sz w:val="14"/>
                <w:szCs w:val="14"/>
                <w:color w:val="auto"/>
              </w:rPr>
              <w:t>583</w:t>
            </w:r>
          </w:p>
        </w:tc>
        <w:tc>
          <w:tcPr>
            <w:tcW w:w="8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w w:val="97"/>
              </w:rPr>
              <w:t>(1,508,637)</w:t>
            </w:r>
          </w:p>
        </w:tc>
        <w:tc>
          <w:tcPr>
            <w:tcW w:w="72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(17,746)</w:t>
            </w:r>
          </w:p>
        </w:tc>
        <w:tc>
          <w:tcPr>
            <w:tcW w:w="74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410,595</w:t>
            </w:r>
          </w:p>
        </w:tc>
        <w:tc>
          <w:tcPr>
            <w:tcW w:w="18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(511)</w:t>
            </w:r>
          </w:p>
        </w:tc>
        <w:tc>
          <w:tcPr>
            <w:tcW w:w="740" w:type="dxa"/>
            <w:vAlign w:val="bottom"/>
            <w:gridSpan w:val="3"/>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866,458</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1,259,379</w:t>
            </w: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26,266</w:t>
            </w: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1,285,645</w:t>
            </w:r>
          </w:p>
        </w:tc>
      </w:tr>
      <w:tr>
        <w:trPr>
          <w:trHeight w:val="137"/>
        </w:trPr>
        <w:tc>
          <w:tcPr>
            <w:tcW w:w="2600" w:type="dxa"/>
            <w:vAlign w:val="bottom"/>
          </w:tcPr>
          <w:p>
            <w:pPr>
              <w:spacing w:after="0" w:line="137" w:lineRule="exact"/>
              <w:rPr>
                <w:sz w:val="20"/>
                <w:szCs w:val="20"/>
                <w:color w:val="auto"/>
              </w:rPr>
            </w:pPr>
            <w:r>
              <w:rPr>
                <w:rFonts w:ascii="Arial" w:cs="Arial" w:eastAsia="Arial" w:hAnsi="Arial"/>
                <w:sz w:val="14"/>
                <w:szCs w:val="14"/>
                <w:color w:val="auto"/>
              </w:rPr>
              <w:t>Cumulative adjustment for adoption of</w:t>
            </w:r>
          </w:p>
        </w:tc>
        <w:tc>
          <w:tcPr>
            <w:tcW w:w="680" w:type="dxa"/>
            <w:vAlign w:val="bottom"/>
            <w:tcBorders>
              <w:top w:val="single" w:sz="8" w:color="auto"/>
            </w:tcBorders>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40" w:type="dxa"/>
            <w:vAlign w:val="bottom"/>
            <w:tcBorders>
              <w:top w:val="single" w:sz="8" w:color="auto"/>
            </w:tcBorders>
          </w:tcPr>
          <w:p>
            <w:pPr>
              <w:spacing w:after="0"/>
              <w:rPr>
                <w:sz w:val="11"/>
                <w:szCs w:val="11"/>
                <w:color w:val="auto"/>
              </w:rPr>
            </w:pPr>
          </w:p>
        </w:tc>
        <w:tc>
          <w:tcPr>
            <w:tcW w:w="300" w:type="dxa"/>
            <w:vAlign w:val="bottom"/>
            <w:tcBorders>
              <w:top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Borders>
              <w:top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540" w:type="dxa"/>
            <w:vAlign w:val="bottom"/>
            <w:tcBorders>
              <w:top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580" w:type="dxa"/>
            <w:vAlign w:val="bottom"/>
            <w:tcBorders>
              <w:top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180" w:type="dxa"/>
            <w:vAlign w:val="bottom"/>
            <w:tcBorders>
              <w:top w:val="single" w:sz="8" w:color="auto"/>
            </w:tcBorders>
          </w:tcPr>
          <w:p>
            <w:pPr>
              <w:spacing w:after="0"/>
              <w:rPr>
                <w:sz w:val="11"/>
                <w:szCs w:val="11"/>
                <w:color w:val="auto"/>
              </w:rPr>
            </w:pPr>
          </w:p>
        </w:tc>
        <w:tc>
          <w:tcPr>
            <w:tcW w:w="64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Borders>
              <w:top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102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0" w:type="dxa"/>
            <w:vAlign w:val="bottom"/>
            <w:tcBorders>
              <w:top w:val="single" w:sz="8" w:color="auto"/>
            </w:tcBorders>
          </w:tcPr>
          <w:p>
            <w:pPr>
              <w:spacing w:after="0"/>
              <w:rPr>
                <w:sz w:val="11"/>
                <w:szCs w:val="11"/>
                <w:color w:val="auto"/>
              </w:rPr>
            </w:pPr>
          </w:p>
        </w:tc>
        <w:tc>
          <w:tcPr>
            <w:tcW w:w="680" w:type="dxa"/>
            <w:vAlign w:val="bottom"/>
            <w:tcBorders>
              <w:top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66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r>
      <w:tr>
        <w:trPr>
          <w:trHeight w:val="167"/>
        </w:trPr>
        <w:tc>
          <w:tcPr>
            <w:tcW w:w="2600" w:type="dxa"/>
            <w:vAlign w:val="bottom"/>
          </w:tcPr>
          <w:p>
            <w:pPr>
              <w:ind w:left="140"/>
              <w:spacing w:after="0"/>
              <w:rPr>
                <w:sz w:val="20"/>
                <w:szCs w:val="20"/>
                <w:color w:val="auto"/>
              </w:rPr>
            </w:pPr>
            <w:r>
              <w:rPr>
                <w:rFonts w:ascii="Arial" w:cs="Arial" w:eastAsia="Arial" w:hAnsi="Arial"/>
                <w:sz w:val="14"/>
                <w:szCs w:val="14"/>
                <w:color w:val="auto"/>
              </w:rPr>
              <w:t>ASU 2016-13</w:t>
            </w:r>
          </w:p>
        </w:tc>
        <w:tc>
          <w:tcPr>
            <w:tcW w:w="760" w:type="dxa"/>
            <w:vAlign w:val="bottom"/>
            <w:gridSpan w:val="2"/>
          </w:tcPr>
          <w:p>
            <w:pPr>
              <w:ind w:left="48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20" w:type="dxa"/>
            <w:vAlign w:val="bottom"/>
            <w:gridSpan w:val="2"/>
          </w:tcPr>
          <w:p>
            <w:pPr>
              <w:ind w:left="80"/>
              <w:spacing w:after="0"/>
              <w:rPr>
                <w:sz w:val="20"/>
                <w:szCs w:val="20"/>
                <w:color w:val="auto"/>
              </w:rPr>
            </w:pPr>
            <w:r>
              <w:rPr>
                <w:rFonts w:ascii="Arial" w:cs="Arial" w:eastAsia="Arial" w:hAnsi="Arial"/>
                <w:sz w:val="14"/>
                <w:szCs w:val="14"/>
                <w:color w:val="auto"/>
              </w:rPr>
              <w:t>—</w:t>
            </w:r>
          </w:p>
        </w:tc>
        <w:tc>
          <w:tcPr>
            <w:tcW w:w="840" w:type="dxa"/>
            <w:vAlign w:val="bottom"/>
            <w:gridSpan w:val="2"/>
          </w:tcPr>
          <w:p>
            <w:pPr>
              <w:jc w:val="right"/>
              <w:ind w:right="240"/>
              <w:spacing w:after="0"/>
              <w:rPr>
                <w:sz w:val="20"/>
                <w:szCs w:val="20"/>
                <w:color w:val="auto"/>
              </w:rPr>
            </w:pPr>
            <w:r>
              <w:rPr>
                <w:rFonts w:ascii="Arial" w:cs="Arial" w:eastAsia="Arial" w:hAnsi="Arial"/>
                <w:sz w:val="14"/>
                <w:szCs w:val="14"/>
                <w:color w:val="auto"/>
              </w:rPr>
              <w:t>—</w:t>
            </w:r>
          </w:p>
        </w:tc>
        <w:tc>
          <w:tcPr>
            <w:tcW w:w="720" w:type="dxa"/>
            <w:vAlign w:val="bottom"/>
            <w:gridSpan w:val="2"/>
          </w:tcPr>
          <w:p>
            <w:pPr>
              <w:ind w:left="320"/>
              <w:spacing w:after="0"/>
              <w:rPr>
                <w:sz w:val="20"/>
                <w:szCs w:val="20"/>
                <w:color w:val="auto"/>
              </w:rPr>
            </w:pPr>
            <w:r>
              <w:rPr>
                <w:rFonts w:ascii="Arial" w:cs="Arial" w:eastAsia="Arial" w:hAnsi="Arial"/>
                <w:sz w:val="14"/>
                <w:szCs w:val="14"/>
                <w:color w:val="auto"/>
              </w:rPr>
              <w:t>—</w:t>
            </w:r>
          </w:p>
        </w:tc>
        <w:tc>
          <w:tcPr>
            <w:tcW w:w="740" w:type="dxa"/>
            <w:vAlign w:val="bottom"/>
            <w:gridSpan w:val="2"/>
          </w:tcPr>
          <w:p>
            <w:pPr>
              <w:ind w:left="360"/>
              <w:spacing w:after="0"/>
              <w:rPr>
                <w:sz w:val="20"/>
                <w:szCs w:val="20"/>
                <w:color w:val="auto"/>
              </w:rPr>
            </w:pPr>
            <w:r>
              <w:rPr>
                <w:rFonts w:ascii="Arial" w:cs="Arial" w:eastAsia="Arial" w:hAnsi="Arial"/>
                <w:sz w:val="14"/>
                <w:szCs w:val="14"/>
                <w:color w:val="auto"/>
              </w:rPr>
              <w:t>—</w:t>
            </w:r>
          </w:p>
        </w:tc>
        <w:tc>
          <w:tcPr>
            <w:tcW w:w="180" w:type="dxa"/>
            <w:vAlign w:val="bottom"/>
          </w:tcPr>
          <w:p>
            <w:pPr>
              <w:spacing w:after="0"/>
              <w:rPr>
                <w:sz w:val="14"/>
                <w:szCs w:val="14"/>
                <w:color w:val="auto"/>
              </w:rPr>
            </w:pPr>
          </w:p>
        </w:tc>
        <w:tc>
          <w:tcPr>
            <w:tcW w:w="740" w:type="dxa"/>
            <w:vAlign w:val="bottom"/>
            <w:gridSpan w:val="2"/>
          </w:tcPr>
          <w:p>
            <w:pPr>
              <w:ind w:left="420"/>
              <w:spacing w:after="0"/>
              <w:rPr>
                <w:sz w:val="20"/>
                <w:szCs w:val="20"/>
                <w:color w:val="auto"/>
              </w:rPr>
            </w:pPr>
            <w:r>
              <w:rPr>
                <w:rFonts w:ascii="Arial" w:cs="Arial" w:eastAsia="Arial" w:hAnsi="Arial"/>
                <w:sz w:val="14"/>
                <w:szCs w:val="14"/>
                <w:color w:val="auto"/>
              </w:rPr>
              <w:t>—</w:t>
            </w:r>
          </w:p>
        </w:tc>
        <w:tc>
          <w:tcPr>
            <w:tcW w:w="740" w:type="dxa"/>
            <w:vAlign w:val="bottom"/>
            <w:gridSpan w:val="3"/>
          </w:tcPr>
          <w:p>
            <w:pPr>
              <w:jc w:val="right"/>
              <w:ind w:right="60"/>
              <w:spacing w:after="0"/>
              <w:rPr>
                <w:sz w:val="20"/>
                <w:szCs w:val="20"/>
                <w:color w:val="auto"/>
              </w:rPr>
            </w:pPr>
            <w:r>
              <w:rPr>
                <w:rFonts w:ascii="Arial" w:cs="Arial" w:eastAsia="Arial" w:hAnsi="Arial"/>
                <w:sz w:val="14"/>
                <w:szCs w:val="14"/>
                <w:color w:val="auto"/>
              </w:rPr>
              <w:t>(885)</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20" w:type="dxa"/>
            <w:vAlign w:val="bottom"/>
            <w:gridSpan w:val="2"/>
          </w:tcPr>
          <w:p>
            <w:pPr>
              <w:jc w:val="right"/>
              <w:ind w:right="60"/>
              <w:spacing w:after="0"/>
              <w:rPr>
                <w:sz w:val="20"/>
                <w:szCs w:val="20"/>
                <w:color w:val="auto"/>
              </w:rPr>
            </w:pPr>
            <w:r>
              <w:rPr>
                <w:rFonts w:ascii="Arial" w:cs="Arial" w:eastAsia="Arial" w:hAnsi="Arial"/>
                <w:sz w:val="14"/>
                <w:szCs w:val="14"/>
                <w:color w:val="auto"/>
              </w:rPr>
              <w:t>(885)</w:t>
            </w: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60" w:type="dxa"/>
            <w:vAlign w:val="bottom"/>
            <w:gridSpan w:val="2"/>
          </w:tcPr>
          <w:p>
            <w:pPr>
              <w:jc w:val="right"/>
              <w:ind w:right="140"/>
              <w:spacing w:after="0"/>
              <w:rPr>
                <w:sz w:val="20"/>
                <w:szCs w:val="20"/>
                <w:color w:val="auto"/>
              </w:rPr>
            </w:pPr>
            <w:r>
              <w:rPr>
                <w:rFonts w:ascii="Arial" w:cs="Arial" w:eastAsia="Arial" w:hAnsi="Arial"/>
                <w:sz w:val="14"/>
                <w:szCs w:val="14"/>
                <w:color w:val="auto"/>
              </w:rPr>
              <w:t>(7)</w:t>
            </w:r>
          </w:p>
        </w:tc>
        <w:tc>
          <w:tcPr>
            <w:tcW w:w="760" w:type="dxa"/>
            <w:vAlign w:val="bottom"/>
            <w:gridSpan w:val="2"/>
          </w:tcPr>
          <w:p>
            <w:pPr>
              <w:jc w:val="right"/>
              <w:ind w:right="60"/>
              <w:spacing w:after="0"/>
              <w:rPr>
                <w:sz w:val="20"/>
                <w:szCs w:val="20"/>
                <w:color w:val="auto"/>
              </w:rPr>
            </w:pPr>
            <w:r>
              <w:rPr>
                <w:rFonts w:ascii="Arial" w:cs="Arial" w:eastAsia="Arial" w:hAnsi="Arial"/>
                <w:sz w:val="14"/>
                <w:szCs w:val="14"/>
                <w:color w:val="auto"/>
              </w:rPr>
              <w:t>(892)</w:t>
            </w:r>
          </w:p>
        </w:tc>
      </w:tr>
      <w:tr>
        <w:trPr>
          <w:trHeight w:val="148"/>
        </w:trPr>
        <w:tc>
          <w:tcPr>
            <w:tcW w:w="26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Purchase of treasury shares</w:t>
            </w:r>
          </w:p>
        </w:tc>
        <w:tc>
          <w:tcPr>
            <w:tcW w:w="760" w:type="dxa"/>
            <w:vAlign w:val="bottom"/>
            <w:gridSpan w:val="2"/>
            <w:shd w:val="clear" w:color="auto" w:fill="CCEEFF"/>
          </w:tcPr>
          <w:p>
            <w:pPr>
              <w:ind w:left="48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20" w:type="dxa"/>
            <w:vAlign w:val="bottom"/>
            <w:gridSpan w:val="2"/>
            <w:shd w:val="clear" w:color="auto" w:fill="CCEEFF"/>
          </w:tcPr>
          <w:p>
            <w:pPr>
              <w:ind w:left="8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w w:val="97"/>
              </w:rPr>
              <w:t>(6,736,493)</w:t>
            </w:r>
          </w:p>
        </w:tc>
        <w:tc>
          <w:tcPr>
            <w:tcW w:w="72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(68,493)</w:t>
            </w:r>
          </w:p>
        </w:tc>
        <w:tc>
          <w:tcPr>
            <w:tcW w:w="740" w:type="dxa"/>
            <w:vAlign w:val="bottom"/>
            <w:gridSpan w:val="2"/>
            <w:shd w:val="clear" w:color="auto" w:fill="CCEEFF"/>
          </w:tcPr>
          <w:p>
            <w:pPr>
              <w:ind w:left="360"/>
              <w:spacing w:after="0" w:line="149" w:lineRule="exact"/>
              <w:rPr>
                <w:sz w:val="20"/>
                <w:szCs w:val="20"/>
                <w:color w:val="auto"/>
              </w:rPr>
            </w:pPr>
            <w:r>
              <w:rPr>
                <w:rFonts w:ascii="Arial" w:cs="Arial" w:eastAsia="Arial" w:hAnsi="Arial"/>
                <w:sz w:val="14"/>
                <w:szCs w:val="14"/>
                <w:color w:val="auto"/>
              </w:rPr>
              <w:t>—</w:t>
            </w:r>
          </w:p>
        </w:tc>
        <w:tc>
          <w:tcPr>
            <w:tcW w:w="180" w:type="dxa"/>
            <w:vAlign w:val="bottom"/>
            <w:shd w:val="clear" w:color="auto" w:fill="CCEEFF"/>
          </w:tcPr>
          <w:p>
            <w:pPr>
              <w:spacing w:after="0"/>
              <w:rPr>
                <w:sz w:val="12"/>
                <w:szCs w:val="12"/>
                <w:color w:val="auto"/>
              </w:rPr>
            </w:pPr>
          </w:p>
        </w:tc>
        <w:tc>
          <w:tcPr>
            <w:tcW w:w="740" w:type="dxa"/>
            <w:vAlign w:val="bottom"/>
            <w:gridSpan w:val="2"/>
            <w:shd w:val="clear" w:color="auto" w:fill="CCEEFF"/>
          </w:tcPr>
          <w:p>
            <w:pPr>
              <w:ind w:left="42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(68,493)</w:t>
            </w: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ind w:left="46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(68,493)</w:t>
            </w:r>
          </w:p>
        </w:tc>
      </w:tr>
      <w:tr>
        <w:trPr>
          <w:trHeight w:val="149"/>
        </w:trPr>
        <w:tc>
          <w:tcPr>
            <w:tcW w:w="2600" w:type="dxa"/>
            <w:vAlign w:val="bottom"/>
          </w:tcPr>
          <w:p>
            <w:pPr>
              <w:spacing w:after="0" w:line="149" w:lineRule="exact"/>
              <w:rPr>
                <w:sz w:val="20"/>
                <w:szCs w:val="20"/>
                <w:color w:val="auto"/>
              </w:rPr>
            </w:pPr>
            <w:r>
              <w:rPr>
                <w:rFonts w:ascii="Arial" w:cs="Arial" w:eastAsia="Arial" w:hAnsi="Arial"/>
                <w:sz w:val="14"/>
                <w:szCs w:val="14"/>
                <w:color w:val="auto"/>
              </w:rPr>
              <w:t>Restricted share units vested</w:t>
            </w:r>
          </w:p>
        </w:tc>
        <w:tc>
          <w:tcPr>
            <w:tcW w:w="76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300,404</w:t>
            </w:r>
          </w:p>
        </w:tc>
        <w:tc>
          <w:tcPr>
            <w:tcW w:w="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2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3</w:t>
            </w:r>
          </w:p>
        </w:tc>
        <w:tc>
          <w:tcPr>
            <w:tcW w:w="84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w:t>
            </w:r>
          </w:p>
        </w:tc>
        <w:tc>
          <w:tcPr>
            <w:tcW w:w="720" w:type="dxa"/>
            <w:vAlign w:val="bottom"/>
            <w:gridSpan w:val="2"/>
          </w:tcPr>
          <w:p>
            <w:pPr>
              <w:ind w:left="320"/>
              <w:spacing w:after="0" w:line="149" w:lineRule="exact"/>
              <w:rPr>
                <w:sz w:val="20"/>
                <w:szCs w:val="20"/>
                <w:color w:val="auto"/>
              </w:rPr>
            </w:pPr>
            <w:r>
              <w:rPr>
                <w:rFonts w:ascii="Arial" w:cs="Arial" w:eastAsia="Arial" w:hAnsi="Arial"/>
                <w:sz w:val="14"/>
                <w:szCs w:val="14"/>
                <w:color w:val="auto"/>
              </w:rPr>
              <w:t>—</w:t>
            </w:r>
          </w:p>
        </w:tc>
        <w:tc>
          <w:tcPr>
            <w:tcW w:w="7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(3)</w:t>
            </w:r>
          </w:p>
        </w:tc>
        <w:tc>
          <w:tcPr>
            <w:tcW w:w="180" w:type="dxa"/>
            <w:vAlign w:val="bottom"/>
          </w:tcPr>
          <w:p>
            <w:pPr>
              <w:spacing w:after="0"/>
              <w:rPr>
                <w:sz w:val="12"/>
                <w:szCs w:val="12"/>
                <w:color w:val="auto"/>
              </w:rPr>
            </w:pPr>
          </w:p>
        </w:tc>
        <w:tc>
          <w:tcPr>
            <w:tcW w:w="740" w:type="dxa"/>
            <w:vAlign w:val="bottom"/>
            <w:gridSpan w:val="2"/>
          </w:tcPr>
          <w:p>
            <w:pPr>
              <w:ind w:left="42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66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2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tcPr>
          <w:p>
            <w:pPr>
              <w:ind w:left="46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r>
      <w:tr>
        <w:trPr>
          <w:trHeight w:val="148"/>
        </w:trPr>
        <w:tc>
          <w:tcPr>
            <w:tcW w:w="26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Exercise of share options</w:t>
            </w:r>
          </w:p>
        </w:tc>
        <w:tc>
          <w:tcPr>
            <w:tcW w:w="7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113,960</w:t>
            </w:r>
          </w:p>
        </w:tc>
        <w:tc>
          <w:tcPr>
            <w:tcW w:w="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w:t>
            </w:r>
          </w:p>
        </w:tc>
        <w:tc>
          <w:tcPr>
            <w:tcW w:w="84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w:t>
            </w:r>
          </w:p>
        </w:tc>
        <w:tc>
          <w:tcPr>
            <w:tcW w:w="720" w:type="dxa"/>
            <w:vAlign w:val="bottom"/>
            <w:gridSpan w:val="2"/>
            <w:shd w:val="clear" w:color="auto" w:fill="CCEEFF"/>
          </w:tcPr>
          <w:p>
            <w:pPr>
              <w:ind w:left="320"/>
              <w:spacing w:after="0" w:line="149" w:lineRule="exact"/>
              <w:rPr>
                <w:sz w:val="20"/>
                <w:szCs w:val="20"/>
                <w:color w:val="auto"/>
              </w:rPr>
            </w:pPr>
            <w:r>
              <w:rPr>
                <w:rFonts w:ascii="Arial" w:cs="Arial" w:eastAsia="Arial" w:hAnsi="Arial"/>
                <w:sz w:val="14"/>
                <w:szCs w:val="14"/>
                <w:color w:val="auto"/>
              </w:rPr>
              <w:t>—</w:t>
            </w:r>
          </w:p>
        </w:tc>
        <w:tc>
          <w:tcPr>
            <w:tcW w:w="74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1,294</w:t>
            </w:r>
          </w:p>
        </w:tc>
        <w:tc>
          <w:tcPr>
            <w:tcW w:w="180" w:type="dxa"/>
            <w:vAlign w:val="bottom"/>
            <w:shd w:val="clear" w:color="auto" w:fill="CCEEFF"/>
          </w:tcPr>
          <w:p>
            <w:pPr>
              <w:spacing w:after="0"/>
              <w:rPr>
                <w:sz w:val="12"/>
                <w:szCs w:val="12"/>
                <w:color w:val="auto"/>
              </w:rPr>
            </w:pPr>
          </w:p>
        </w:tc>
        <w:tc>
          <w:tcPr>
            <w:tcW w:w="740" w:type="dxa"/>
            <w:vAlign w:val="bottom"/>
            <w:gridSpan w:val="2"/>
            <w:shd w:val="clear" w:color="auto" w:fill="CCEEFF"/>
          </w:tcPr>
          <w:p>
            <w:pPr>
              <w:ind w:left="42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1,295</w:t>
            </w: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ind w:left="46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1,295</w:t>
            </w:r>
          </w:p>
        </w:tc>
      </w:tr>
      <w:tr>
        <w:trPr>
          <w:trHeight w:val="148"/>
        </w:trPr>
        <w:tc>
          <w:tcPr>
            <w:tcW w:w="2600" w:type="dxa"/>
            <w:vAlign w:val="bottom"/>
          </w:tcPr>
          <w:p>
            <w:pPr>
              <w:spacing w:after="0" w:line="149" w:lineRule="exact"/>
              <w:rPr>
                <w:sz w:val="20"/>
                <w:szCs w:val="20"/>
                <w:color w:val="auto"/>
              </w:rPr>
            </w:pPr>
            <w:r>
              <w:rPr>
                <w:rFonts w:ascii="Arial" w:cs="Arial" w:eastAsia="Arial" w:hAnsi="Arial"/>
                <w:sz w:val="14"/>
                <w:szCs w:val="14"/>
                <w:color w:val="auto"/>
              </w:rPr>
              <w:t>Share-based compensation expense</w:t>
            </w:r>
          </w:p>
        </w:tc>
        <w:tc>
          <w:tcPr>
            <w:tcW w:w="760" w:type="dxa"/>
            <w:vAlign w:val="bottom"/>
            <w:gridSpan w:val="2"/>
          </w:tcPr>
          <w:p>
            <w:pPr>
              <w:ind w:left="48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20" w:type="dxa"/>
            <w:vAlign w:val="bottom"/>
            <w:gridSpan w:val="2"/>
          </w:tcPr>
          <w:p>
            <w:pPr>
              <w:ind w:left="8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w:t>
            </w:r>
          </w:p>
        </w:tc>
        <w:tc>
          <w:tcPr>
            <w:tcW w:w="720" w:type="dxa"/>
            <w:vAlign w:val="bottom"/>
            <w:gridSpan w:val="2"/>
          </w:tcPr>
          <w:p>
            <w:pPr>
              <w:ind w:left="320"/>
              <w:spacing w:after="0" w:line="149" w:lineRule="exact"/>
              <w:rPr>
                <w:sz w:val="20"/>
                <w:szCs w:val="20"/>
                <w:color w:val="auto"/>
              </w:rPr>
            </w:pPr>
            <w:r>
              <w:rPr>
                <w:rFonts w:ascii="Arial" w:cs="Arial" w:eastAsia="Arial" w:hAnsi="Arial"/>
                <w:sz w:val="14"/>
                <w:szCs w:val="14"/>
                <w:color w:val="auto"/>
              </w:rPr>
              <w:t>—</w:t>
            </w:r>
          </w:p>
        </w:tc>
        <w:tc>
          <w:tcPr>
            <w:tcW w:w="74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4,723</w:t>
            </w:r>
          </w:p>
        </w:tc>
        <w:tc>
          <w:tcPr>
            <w:tcW w:w="180" w:type="dxa"/>
            <w:vAlign w:val="bottom"/>
          </w:tcPr>
          <w:p>
            <w:pPr>
              <w:spacing w:after="0"/>
              <w:rPr>
                <w:sz w:val="12"/>
                <w:szCs w:val="12"/>
                <w:color w:val="auto"/>
              </w:rPr>
            </w:pPr>
          </w:p>
        </w:tc>
        <w:tc>
          <w:tcPr>
            <w:tcW w:w="740" w:type="dxa"/>
            <w:vAlign w:val="bottom"/>
            <w:gridSpan w:val="2"/>
          </w:tcPr>
          <w:p>
            <w:pPr>
              <w:ind w:left="42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66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4,723</w:t>
            </w: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tcPr>
          <w:p>
            <w:pPr>
              <w:ind w:left="46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4,723</w:t>
            </w:r>
          </w:p>
        </w:tc>
      </w:tr>
      <w:tr>
        <w:trPr>
          <w:trHeight w:val="149"/>
        </w:trPr>
        <w:tc>
          <w:tcPr>
            <w:tcW w:w="26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Comprehensive income:</w:t>
            </w:r>
          </w:p>
        </w:tc>
        <w:tc>
          <w:tcPr>
            <w:tcW w:w="6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r>
      <w:tr>
        <w:trPr>
          <w:trHeight w:val="130"/>
        </w:trPr>
        <w:tc>
          <w:tcPr>
            <w:tcW w:w="2600" w:type="dxa"/>
            <w:vAlign w:val="bottom"/>
          </w:tcPr>
          <w:p>
            <w:pPr>
              <w:ind w:left="280"/>
              <w:spacing w:after="0" w:line="130" w:lineRule="exact"/>
              <w:rPr>
                <w:sz w:val="20"/>
                <w:szCs w:val="20"/>
                <w:color w:val="auto"/>
              </w:rPr>
            </w:pPr>
            <w:r>
              <w:rPr>
                <w:rFonts w:ascii="Arial" w:cs="Arial" w:eastAsia="Arial" w:hAnsi="Arial"/>
                <w:sz w:val="14"/>
                <w:szCs w:val="14"/>
                <w:color w:val="auto"/>
              </w:rPr>
              <w:t>Net income attributable to Textainer</w:t>
            </w:r>
          </w:p>
        </w:tc>
        <w:tc>
          <w:tcPr>
            <w:tcW w:w="6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r>
      <w:tr>
        <w:trPr>
          <w:trHeight w:val="148"/>
        </w:trPr>
        <w:tc>
          <w:tcPr>
            <w:tcW w:w="2600" w:type="dxa"/>
            <w:vAlign w:val="bottom"/>
          </w:tcPr>
          <w:p>
            <w:pPr>
              <w:ind w:left="420"/>
              <w:spacing w:after="0" w:line="149" w:lineRule="exact"/>
              <w:rPr>
                <w:sz w:val="20"/>
                <w:szCs w:val="20"/>
                <w:color w:val="auto"/>
              </w:rPr>
            </w:pPr>
            <w:r>
              <w:rPr>
                <w:rFonts w:ascii="Arial" w:cs="Arial" w:eastAsia="Arial" w:hAnsi="Arial"/>
                <w:sz w:val="14"/>
                <w:szCs w:val="14"/>
                <w:color w:val="auto"/>
              </w:rPr>
              <w:t>Group Holdings Limited common</w:t>
            </w:r>
          </w:p>
        </w:tc>
        <w:tc>
          <w:tcPr>
            <w:tcW w:w="6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r>
      <w:tr>
        <w:trPr>
          <w:trHeight w:val="167"/>
        </w:trPr>
        <w:tc>
          <w:tcPr>
            <w:tcW w:w="2600" w:type="dxa"/>
            <w:vAlign w:val="bottom"/>
          </w:tcPr>
          <w:p>
            <w:pPr>
              <w:ind w:left="420"/>
              <w:spacing w:after="0"/>
              <w:rPr>
                <w:sz w:val="20"/>
                <w:szCs w:val="20"/>
                <w:color w:val="auto"/>
              </w:rPr>
            </w:pPr>
            <w:r>
              <w:rPr>
                <w:rFonts w:ascii="Arial" w:cs="Arial" w:eastAsia="Arial" w:hAnsi="Arial"/>
                <w:sz w:val="14"/>
                <w:szCs w:val="14"/>
                <w:color w:val="auto"/>
              </w:rPr>
              <w:t>shareholders</w:t>
            </w:r>
          </w:p>
        </w:tc>
        <w:tc>
          <w:tcPr>
            <w:tcW w:w="760" w:type="dxa"/>
            <w:vAlign w:val="bottom"/>
            <w:gridSpan w:val="2"/>
          </w:tcPr>
          <w:p>
            <w:pPr>
              <w:ind w:left="48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20" w:type="dxa"/>
            <w:vAlign w:val="bottom"/>
            <w:gridSpan w:val="2"/>
          </w:tcPr>
          <w:p>
            <w:pPr>
              <w:ind w:left="80"/>
              <w:spacing w:after="0"/>
              <w:rPr>
                <w:sz w:val="20"/>
                <w:szCs w:val="20"/>
                <w:color w:val="auto"/>
              </w:rPr>
            </w:pPr>
            <w:r>
              <w:rPr>
                <w:rFonts w:ascii="Arial" w:cs="Arial" w:eastAsia="Arial" w:hAnsi="Arial"/>
                <w:sz w:val="14"/>
                <w:szCs w:val="14"/>
                <w:color w:val="auto"/>
              </w:rPr>
              <w:t>—</w:t>
            </w:r>
          </w:p>
        </w:tc>
        <w:tc>
          <w:tcPr>
            <w:tcW w:w="840" w:type="dxa"/>
            <w:vAlign w:val="bottom"/>
            <w:gridSpan w:val="2"/>
          </w:tcPr>
          <w:p>
            <w:pPr>
              <w:jc w:val="right"/>
              <w:ind w:right="240"/>
              <w:spacing w:after="0"/>
              <w:rPr>
                <w:sz w:val="20"/>
                <w:szCs w:val="20"/>
                <w:color w:val="auto"/>
              </w:rPr>
            </w:pPr>
            <w:r>
              <w:rPr>
                <w:rFonts w:ascii="Arial" w:cs="Arial" w:eastAsia="Arial" w:hAnsi="Arial"/>
                <w:sz w:val="14"/>
                <w:szCs w:val="14"/>
                <w:color w:val="auto"/>
              </w:rPr>
              <w:t>—</w:t>
            </w:r>
          </w:p>
        </w:tc>
        <w:tc>
          <w:tcPr>
            <w:tcW w:w="720" w:type="dxa"/>
            <w:vAlign w:val="bottom"/>
            <w:gridSpan w:val="2"/>
          </w:tcPr>
          <w:p>
            <w:pPr>
              <w:ind w:left="320"/>
              <w:spacing w:after="0"/>
              <w:rPr>
                <w:sz w:val="20"/>
                <w:szCs w:val="20"/>
                <w:color w:val="auto"/>
              </w:rPr>
            </w:pPr>
            <w:r>
              <w:rPr>
                <w:rFonts w:ascii="Arial" w:cs="Arial" w:eastAsia="Arial" w:hAnsi="Arial"/>
                <w:sz w:val="14"/>
                <w:szCs w:val="14"/>
                <w:color w:val="auto"/>
              </w:rPr>
              <w:t>—</w:t>
            </w:r>
          </w:p>
        </w:tc>
        <w:tc>
          <w:tcPr>
            <w:tcW w:w="740" w:type="dxa"/>
            <w:vAlign w:val="bottom"/>
            <w:gridSpan w:val="2"/>
          </w:tcPr>
          <w:p>
            <w:pPr>
              <w:ind w:left="360"/>
              <w:spacing w:after="0"/>
              <w:rPr>
                <w:sz w:val="20"/>
                <w:szCs w:val="20"/>
                <w:color w:val="auto"/>
              </w:rPr>
            </w:pPr>
            <w:r>
              <w:rPr>
                <w:rFonts w:ascii="Arial" w:cs="Arial" w:eastAsia="Arial" w:hAnsi="Arial"/>
                <w:sz w:val="14"/>
                <w:szCs w:val="14"/>
                <w:color w:val="auto"/>
              </w:rPr>
              <w:t>—</w:t>
            </w:r>
          </w:p>
        </w:tc>
        <w:tc>
          <w:tcPr>
            <w:tcW w:w="180" w:type="dxa"/>
            <w:vAlign w:val="bottom"/>
          </w:tcPr>
          <w:p>
            <w:pPr>
              <w:spacing w:after="0"/>
              <w:rPr>
                <w:sz w:val="14"/>
                <w:szCs w:val="14"/>
                <w:color w:val="auto"/>
              </w:rPr>
            </w:pPr>
          </w:p>
        </w:tc>
        <w:tc>
          <w:tcPr>
            <w:tcW w:w="740" w:type="dxa"/>
            <w:vAlign w:val="bottom"/>
            <w:gridSpan w:val="2"/>
          </w:tcPr>
          <w:p>
            <w:pPr>
              <w:ind w:left="420"/>
              <w:spacing w:after="0"/>
              <w:rPr>
                <w:sz w:val="20"/>
                <w:szCs w:val="20"/>
                <w:color w:val="auto"/>
              </w:rPr>
            </w:pPr>
            <w:r>
              <w:rPr>
                <w:rFonts w:ascii="Arial" w:cs="Arial" w:eastAsia="Arial" w:hAnsi="Arial"/>
                <w:sz w:val="14"/>
                <w:szCs w:val="14"/>
                <w:color w:val="auto"/>
              </w:rPr>
              <w:t>—</w:t>
            </w:r>
          </w:p>
        </w:tc>
        <w:tc>
          <w:tcPr>
            <w:tcW w:w="740" w:type="dxa"/>
            <w:vAlign w:val="bottom"/>
            <w:gridSpan w:val="3"/>
          </w:tcPr>
          <w:p>
            <w:pPr>
              <w:jc w:val="right"/>
              <w:ind w:right="120"/>
              <w:spacing w:after="0"/>
              <w:rPr>
                <w:sz w:val="20"/>
                <w:szCs w:val="20"/>
                <w:color w:val="auto"/>
              </w:rPr>
            </w:pPr>
            <w:r>
              <w:rPr>
                <w:rFonts w:ascii="Arial" w:cs="Arial" w:eastAsia="Arial" w:hAnsi="Arial"/>
                <w:sz w:val="14"/>
                <w:szCs w:val="14"/>
                <w:color w:val="auto"/>
              </w:rPr>
              <w:t>72,822</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20" w:type="dxa"/>
            <w:vAlign w:val="bottom"/>
            <w:gridSpan w:val="2"/>
          </w:tcPr>
          <w:p>
            <w:pPr>
              <w:jc w:val="right"/>
              <w:ind w:right="100"/>
              <w:spacing w:after="0"/>
              <w:rPr>
                <w:sz w:val="20"/>
                <w:szCs w:val="20"/>
                <w:color w:val="auto"/>
              </w:rPr>
            </w:pPr>
            <w:r>
              <w:rPr>
                <w:rFonts w:ascii="Arial" w:cs="Arial" w:eastAsia="Arial" w:hAnsi="Arial"/>
                <w:sz w:val="14"/>
                <w:szCs w:val="14"/>
                <w:color w:val="auto"/>
              </w:rPr>
              <w:t>72,822</w:t>
            </w: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60" w:type="dxa"/>
            <w:vAlign w:val="bottom"/>
            <w:gridSpan w:val="2"/>
          </w:tcPr>
          <w:p>
            <w:pPr>
              <w:ind w:left="460"/>
              <w:spacing w:after="0"/>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100"/>
              <w:spacing w:after="0"/>
              <w:rPr>
                <w:sz w:val="20"/>
                <w:szCs w:val="20"/>
                <w:color w:val="auto"/>
              </w:rPr>
            </w:pPr>
            <w:r>
              <w:rPr>
                <w:rFonts w:ascii="Arial" w:cs="Arial" w:eastAsia="Arial" w:hAnsi="Arial"/>
                <w:sz w:val="14"/>
                <w:szCs w:val="14"/>
                <w:color w:val="auto"/>
              </w:rPr>
              <w:t>72,822</w:t>
            </w:r>
          </w:p>
        </w:tc>
      </w:tr>
      <w:tr>
        <w:trPr>
          <w:trHeight w:val="130"/>
        </w:trPr>
        <w:tc>
          <w:tcPr>
            <w:tcW w:w="2600" w:type="dxa"/>
            <w:vAlign w:val="bottom"/>
            <w:shd w:val="clear" w:color="auto" w:fill="CCEEFF"/>
          </w:tcPr>
          <w:p>
            <w:pPr>
              <w:ind w:left="280"/>
              <w:spacing w:after="0" w:line="130" w:lineRule="exact"/>
              <w:rPr>
                <w:sz w:val="20"/>
                <w:szCs w:val="20"/>
                <w:color w:val="auto"/>
              </w:rPr>
            </w:pPr>
            <w:r>
              <w:rPr>
                <w:rFonts w:ascii="Arial" w:cs="Arial" w:eastAsia="Arial" w:hAnsi="Arial"/>
                <w:sz w:val="14"/>
                <w:szCs w:val="14"/>
                <w:color w:val="auto"/>
              </w:rPr>
              <w:t>Net income attributable to</w:t>
            </w:r>
          </w:p>
        </w:tc>
        <w:tc>
          <w:tcPr>
            <w:tcW w:w="6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0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r>
      <w:tr>
        <w:trPr>
          <w:trHeight w:val="167"/>
        </w:trPr>
        <w:tc>
          <w:tcPr>
            <w:tcW w:w="2600" w:type="dxa"/>
            <w:vAlign w:val="bottom"/>
            <w:shd w:val="clear" w:color="auto" w:fill="CCEEFF"/>
          </w:tcPr>
          <w:p>
            <w:pPr>
              <w:ind w:left="420"/>
              <w:spacing w:after="0"/>
              <w:rPr>
                <w:sz w:val="20"/>
                <w:szCs w:val="20"/>
                <w:color w:val="auto"/>
              </w:rPr>
            </w:pPr>
            <w:r>
              <w:rPr>
                <w:rFonts w:ascii="Arial" w:cs="Arial" w:eastAsia="Arial" w:hAnsi="Arial"/>
                <w:sz w:val="14"/>
                <w:szCs w:val="14"/>
                <w:color w:val="auto"/>
              </w:rPr>
              <w:t>noncontrolling interests</w:t>
            </w:r>
          </w:p>
        </w:tc>
        <w:tc>
          <w:tcPr>
            <w:tcW w:w="760" w:type="dxa"/>
            <w:vAlign w:val="bottom"/>
            <w:gridSpan w:val="2"/>
            <w:shd w:val="clear" w:color="auto" w:fill="CCEEFF"/>
          </w:tcPr>
          <w:p>
            <w:pPr>
              <w:ind w:left="48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420" w:type="dxa"/>
            <w:vAlign w:val="bottom"/>
            <w:gridSpan w:val="2"/>
            <w:shd w:val="clear" w:color="auto" w:fill="CCEEFF"/>
          </w:tcPr>
          <w:p>
            <w:pPr>
              <w:ind w:left="80"/>
              <w:spacing w:after="0"/>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w:t>
            </w:r>
          </w:p>
        </w:tc>
        <w:tc>
          <w:tcPr>
            <w:tcW w:w="720" w:type="dxa"/>
            <w:vAlign w:val="bottom"/>
            <w:gridSpan w:val="2"/>
            <w:shd w:val="clear" w:color="auto" w:fill="CCEEFF"/>
          </w:tcPr>
          <w:p>
            <w:pPr>
              <w:ind w:left="320"/>
              <w:spacing w:after="0"/>
              <w:rPr>
                <w:sz w:val="20"/>
                <w:szCs w:val="20"/>
                <w:color w:val="auto"/>
              </w:rPr>
            </w:pPr>
            <w:r>
              <w:rPr>
                <w:rFonts w:ascii="Arial" w:cs="Arial" w:eastAsia="Arial" w:hAnsi="Arial"/>
                <w:sz w:val="14"/>
                <w:szCs w:val="14"/>
                <w:color w:val="auto"/>
              </w:rPr>
              <w:t>—</w:t>
            </w:r>
          </w:p>
        </w:tc>
        <w:tc>
          <w:tcPr>
            <w:tcW w:w="740" w:type="dxa"/>
            <w:vAlign w:val="bottom"/>
            <w:gridSpan w:val="2"/>
            <w:shd w:val="clear" w:color="auto" w:fill="CCEEFF"/>
          </w:tcPr>
          <w:p>
            <w:pPr>
              <w:ind w:left="360"/>
              <w:spacing w:after="0"/>
              <w:rPr>
                <w:sz w:val="20"/>
                <w:szCs w:val="20"/>
                <w:color w:val="auto"/>
              </w:rPr>
            </w:pPr>
            <w:r>
              <w:rPr>
                <w:rFonts w:ascii="Arial" w:cs="Arial" w:eastAsia="Arial" w:hAnsi="Arial"/>
                <w:sz w:val="14"/>
                <w:szCs w:val="14"/>
                <w:color w:val="auto"/>
              </w:rPr>
              <w:t>—</w:t>
            </w:r>
          </w:p>
        </w:tc>
        <w:tc>
          <w:tcPr>
            <w:tcW w:w="180" w:type="dxa"/>
            <w:vAlign w:val="bottom"/>
            <w:shd w:val="clear" w:color="auto" w:fill="CCEEFF"/>
          </w:tcPr>
          <w:p>
            <w:pPr>
              <w:spacing w:after="0"/>
              <w:rPr>
                <w:sz w:val="14"/>
                <w:szCs w:val="14"/>
                <w:color w:val="auto"/>
              </w:rPr>
            </w:pPr>
          </w:p>
        </w:tc>
        <w:tc>
          <w:tcPr>
            <w:tcW w:w="740" w:type="dxa"/>
            <w:vAlign w:val="bottom"/>
            <w:gridSpan w:val="2"/>
            <w:shd w:val="clear" w:color="auto" w:fill="CCEEFF"/>
          </w:tcPr>
          <w:p>
            <w:pPr>
              <w:ind w:left="420"/>
              <w:spacing w:after="0"/>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4"/>
                <w:szCs w:val="14"/>
                <w:color w:val="auto"/>
              </w:rPr>
            </w:pPr>
          </w:p>
        </w:tc>
        <w:tc>
          <w:tcPr>
            <w:tcW w:w="66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12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860" w:type="dxa"/>
            <w:vAlign w:val="bottom"/>
            <w:gridSpan w:val="2"/>
            <w:shd w:val="clear" w:color="auto" w:fill="CCEEFF"/>
          </w:tcPr>
          <w:p>
            <w:pPr>
              <w:ind w:left="460"/>
              <w:spacing w:after="0"/>
              <w:rPr>
                <w:sz w:val="20"/>
                <w:szCs w:val="20"/>
                <w:color w:val="auto"/>
              </w:rPr>
            </w:pPr>
            <w:r>
              <w:rPr>
                <w:rFonts w:ascii="Arial" w:cs="Arial" w:eastAsia="Arial" w:hAnsi="Arial"/>
                <w:sz w:val="14"/>
                <w:szCs w:val="14"/>
                <w:color w:val="auto"/>
              </w:rPr>
              <w:t>851</w:t>
            </w:r>
          </w:p>
        </w:tc>
        <w:tc>
          <w:tcPr>
            <w:tcW w:w="76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851</w:t>
            </w:r>
          </w:p>
        </w:tc>
      </w:tr>
      <w:tr>
        <w:trPr>
          <w:trHeight w:val="130"/>
        </w:trPr>
        <w:tc>
          <w:tcPr>
            <w:tcW w:w="2600" w:type="dxa"/>
            <w:vAlign w:val="bottom"/>
          </w:tcPr>
          <w:p>
            <w:pPr>
              <w:ind w:left="280"/>
              <w:spacing w:after="0" w:line="130" w:lineRule="exact"/>
              <w:rPr>
                <w:sz w:val="20"/>
                <w:szCs w:val="20"/>
                <w:color w:val="auto"/>
              </w:rPr>
            </w:pPr>
            <w:r>
              <w:rPr>
                <w:rFonts w:ascii="Arial" w:cs="Arial" w:eastAsia="Arial" w:hAnsi="Arial"/>
                <w:sz w:val="14"/>
                <w:szCs w:val="14"/>
                <w:color w:val="auto"/>
              </w:rPr>
              <w:t>Change in derivative instruments</w:t>
            </w:r>
          </w:p>
        </w:tc>
        <w:tc>
          <w:tcPr>
            <w:tcW w:w="6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r>
      <w:tr>
        <w:trPr>
          <w:trHeight w:val="167"/>
        </w:trPr>
        <w:tc>
          <w:tcPr>
            <w:tcW w:w="2600" w:type="dxa"/>
            <w:vAlign w:val="bottom"/>
          </w:tcPr>
          <w:p>
            <w:pPr>
              <w:ind w:left="420"/>
              <w:spacing w:after="0"/>
              <w:rPr>
                <w:sz w:val="20"/>
                <w:szCs w:val="20"/>
                <w:color w:val="auto"/>
              </w:rPr>
            </w:pPr>
            <w:r>
              <w:rPr>
                <w:rFonts w:ascii="Arial" w:cs="Arial" w:eastAsia="Arial" w:hAnsi="Arial"/>
                <w:sz w:val="14"/>
                <w:szCs w:val="14"/>
                <w:color w:val="auto"/>
              </w:rPr>
              <w:t>designated as cash flow hedges</w:t>
            </w:r>
          </w:p>
        </w:tc>
        <w:tc>
          <w:tcPr>
            <w:tcW w:w="760" w:type="dxa"/>
            <w:vAlign w:val="bottom"/>
            <w:gridSpan w:val="2"/>
          </w:tcPr>
          <w:p>
            <w:pPr>
              <w:ind w:left="48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20" w:type="dxa"/>
            <w:vAlign w:val="bottom"/>
            <w:gridSpan w:val="2"/>
          </w:tcPr>
          <w:p>
            <w:pPr>
              <w:ind w:left="80"/>
              <w:spacing w:after="0"/>
              <w:rPr>
                <w:sz w:val="20"/>
                <w:szCs w:val="20"/>
                <w:color w:val="auto"/>
              </w:rPr>
            </w:pPr>
            <w:r>
              <w:rPr>
                <w:rFonts w:ascii="Arial" w:cs="Arial" w:eastAsia="Arial" w:hAnsi="Arial"/>
                <w:sz w:val="14"/>
                <w:szCs w:val="14"/>
                <w:color w:val="auto"/>
              </w:rPr>
              <w:t>—</w:t>
            </w:r>
          </w:p>
        </w:tc>
        <w:tc>
          <w:tcPr>
            <w:tcW w:w="840" w:type="dxa"/>
            <w:vAlign w:val="bottom"/>
            <w:gridSpan w:val="2"/>
          </w:tcPr>
          <w:p>
            <w:pPr>
              <w:jc w:val="right"/>
              <w:ind w:right="240"/>
              <w:spacing w:after="0"/>
              <w:rPr>
                <w:sz w:val="20"/>
                <w:szCs w:val="20"/>
                <w:color w:val="auto"/>
              </w:rPr>
            </w:pPr>
            <w:r>
              <w:rPr>
                <w:rFonts w:ascii="Arial" w:cs="Arial" w:eastAsia="Arial" w:hAnsi="Arial"/>
                <w:sz w:val="14"/>
                <w:szCs w:val="14"/>
                <w:color w:val="auto"/>
              </w:rPr>
              <w:t>—</w:t>
            </w:r>
          </w:p>
        </w:tc>
        <w:tc>
          <w:tcPr>
            <w:tcW w:w="720" w:type="dxa"/>
            <w:vAlign w:val="bottom"/>
            <w:gridSpan w:val="2"/>
          </w:tcPr>
          <w:p>
            <w:pPr>
              <w:ind w:left="320"/>
              <w:spacing w:after="0"/>
              <w:rPr>
                <w:sz w:val="20"/>
                <w:szCs w:val="20"/>
                <w:color w:val="auto"/>
              </w:rPr>
            </w:pPr>
            <w:r>
              <w:rPr>
                <w:rFonts w:ascii="Arial" w:cs="Arial" w:eastAsia="Arial" w:hAnsi="Arial"/>
                <w:sz w:val="14"/>
                <w:szCs w:val="14"/>
                <w:color w:val="auto"/>
              </w:rPr>
              <w:t>—</w:t>
            </w:r>
          </w:p>
        </w:tc>
        <w:tc>
          <w:tcPr>
            <w:tcW w:w="740" w:type="dxa"/>
            <w:vAlign w:val="bottom"/>
            <w:gridSpan w:val="2"/>
          </w:tcPr>
          <w:p>
            <w:pPr>
              <w:ind w:left="360"/>
              <w:spacing w:after="0"/>
              <w:rPr>
                <w:sz w:val="20"/>
                <w:szCs w:val="20"/>
                <w:color w:val="auto"/>
              </w:rPr>
            </w:pPr>
            <w:r>
              <w:rPr>
                <w:rFonts w:ascii="Arial" w:cs="Arial" w:eastAsia="Arial" w:hAnsi="Arial"/>
                <w:sz w:val="14"/>
                <w:szCs w:val="14"/>
                <w:color w:val="auto"/>
              </w:rPr>
              <w:t>—</w:t>
            </w:r>
          </w:p>
        </w:tc>
        <w:tc>
          <w:tcPr>
            <w:tcW w:w="180" w:type="dxa"/>
            <w:vAlign w:val="bottom"/>
          </w:tcPr>
          <w:p>
            <w:pPr>
              <w:spacing w:after="0"/>
              <w:rPr>
                <w:sz w:val="14"/>
                <w:szCs w:val="14"/>
                <w:color w:val="auto"/>
              </w:rPr>
            </w:pPr>
          </w:p>
        </w:tc>
        <w:tc>
          <w:tcPr>
            <w:tcW w:w="740" w:type="dxa"/>
            <w:vAlign w:val="bottom"/>
            <w:gridSpan w:val="2"/>
          </w:tcPr>
          <w:p>
            <w:pPr>
              <w:jc w:val="right"/>
              <w:ind w:right="60"/>
              <w:spacing w:after="0"/>
              <w:rPr>
                <w:sz w:val="20"/>
                <w:szCs w:val="20"/>
                <w:color w:val="auto"/>
              </w:rPr>
            </w:pPr>
            <w:r>
              <w:rPr>
                <w:rFonts w:ascii="Arial" w:cs="Arial" w:eastAsia="Arial" w:hAnsi="Arial"/>
                <w:sz w:val="14"/>
                <w:szCs w:val="14"/>
                <w:color w:val="auto"/>
              </w:rPr>
              <w:t>(12,307)</w:t>
            </w:r>
          </w:p>
        </w:tc>
        <w:tc>
          <w:tcPr>
            <w:tcW w:w="80" w:type="dxa"/>
            <w:vAlign w:val="bottom"/>
          </w:tcPr>
          <w:p>
            <w:pPr>
              <w:spacing w:after="0"/>
              <w:rPr>
                <w:sz w:val="14"/>
                <w:szCs w:val="14"/>
                <w:color w:val="auto"/>
              </w:rPr>
            </w:pPr>
          </w:p>
        </w:tc>
        <w:tc>
          <w:tcPr>
            <w:tcW w:w="66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20" w:type="dxa"/>
            <w:vAlign w:val="bottom"/>
            <w:gridSpan w:val="2"/>
          </w:tcPr>
          <w:p>
            <w:pPr>
              <w:jc w:val="right"/>
              <w:ind w:right="60"/>
              <w:spacing w:after="0"/>
              <w:rPr>
                <w:sz w:val="20"/>
                <w:szCs w:val="20"/>
                <w:color w:val="auto"/>
              </w:rPr>
            </w:pPr>
            <w:r>
              <w:rPr>
                <w:rFonts w:ascii="Arial" w:cs="Arial" w:eastAsia="Arial" w:hAnsi="Arial"/>
                <w:sz w:val="14"/>
                <w:szCs w:val="14"/>
                <w:color w:val="auto"/>
              </w:rPr>
              <w:t>(12,307)</w:t>
            </w: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60" w:type="dxa"/>
            <w:vAlign w:val="bottom"/>
            <w:gridSpan w:val="2"/>
          </w:tcPr>
          <w:p>
            <w:pPr>
              <w:ind w:left="460"/>
              <w:spacing w:after="0"/>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60"/>
              <w:spacing w:after="0"/>
              <w:rPr>
                <w:sz w:val="20"/>
                <w:szCs w:val="20"/>
                <w:color w:val="auto"/>
              </w:rPr>
            </w:pPr>
            <w:r>
              <w:rPr>
                <w:rFonts w:ascii="Arial" w:cs="Arial" w:eastAsia="Arial" w:hAnsi="Arial"/>
                <w:sz w:val="14"/>
                <w:szCs w:val="14"/>
                <w:color w:val="auto"/>
              </w:rPr>
              <w:t>(12,307)</w:t>
            </w:r>
          </w:p>
        </w:tc>
      </w:tr>
      <w:tr>
        <w:trPr>
          <w:trHeight w:val="130"/>
        </w:trPr>
        <w:tc>
          <w:tcPr>
            <w:tcW w:w="2600" w:type="dxa"/>
            <w:vAlign w:val="bottom"/>
            <w:shd w:val="clear" w:color="auto" w:fill="CCEEFF"/>
          </w:tcPr>
          <w:p>
            <w:pPr>
              <w:ind w:left="280"/>
              <w:spacing w:after="0" w:line="130" w:lineRule="exact"/>
              <w:rPr>
                <w:sz w:val="20"/>
                <w:szCs w:val="20"/>
                <w:color w:val="auto"/>
              </w:rPr>
            </w:pPr>
            <w:r>
              <w:rPr>
                <w:rFonts w:ascii="Arial" w:cs="Arial" w:eastAsia="Arial" w:hAnsi="Arial"/>
                <w:sz w:val="14"/>
                <w:szCs w:val="14"/>
                <w:color w:val="auto"/>
              </w:rPr>
              <w:t>Reclassification of realized loss on</w:t>
            </w:r>
          </w:p>
        </w:tc>
        <w:tc>
          <w:tcPr>
            <w:tcW w:w="6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0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r>
      <w:tr>
        <w:trPr>
          <w:trHeight w:val="149"/>
        </w:trPr>
        <w:tc>
          <w:tcPr>
            <w:tcW w:w="260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w w:val="95"/>
              </w:rPr>
              <w:t>derivative instruments designated as</w:t>
            </w:r>
          </w:p>
        </w:tc>
        <w:tc>
          <w:tcPr>
            <w:tcW w:w="6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r>
      <w:tr>
        <w:trPr>
          <w:trHeight w:val="167"/>
        </w:trPr>
        <w:tc>
          <w:tcPr>
            <w:tcW w:w="2600" w:type="dxa"/>
            <w:vAlign w:val="bottom"/>
            <w:shd w:val="clear" w:color="auto" w:fill="CCEEFF"/>
          </w:tcPr>
          <w:p>
            <w:pPr>
              <w:ind w:left="420"/>
              <w:spacing w:after="0"/>
              <w:rPr>
                <w:sz w:val="20"/>
                <w:szCs w:val="20"/>
                <w:color w:val="auto"/>
              </w:rPr>
            </w:pPr>
            <w:r>
              <w:rPr>
                <w:rFonts w:ascii="Arial" w:cs="Arial" w:eastAsia="Arial" w:hAnsi="Arial"/>
                <w:sz w:val="14"/>
                <w:szCs w:val="14"/>
                <w:color w:val="auto"/>
              </w:rPr>
              <w:t>cash flow hedges</w:t>
            </w:r>
          </w:p>
        </w:tc>
        <w:tc>
          <w:tcPr>
            <w:tcW w:w="760" w:type="dxa"/>
            <w:vAlign w:val="bottom"/>
            <w:gridSpan w:val="2"/>
            <w:shd w:val="clear" w:color="auto" w:fill="CCEEFF"/>
          </w:tcPr>
          <w:p>
            <w:pPr>
              <w:ind w:left="48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420" w:type="dxa"/>
            <w:vAlign w:val="bottom"/>
            <w:gridSpan w:val="2"/>
            <w:shd w:val="clear" w:color="auto" w:fill="CCEEFF"/>
          </w:tcPr>
          <w:p>
            <w:pPr>
              <w:ind w:left="80"/>
              <w:spacing w:after="0"/>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w:t>
            </w:r>
          </w:p>
        </w:tc>
        <w:tc>
          <w:tcPr>
            <w:tcW w:w="720" w:type="dxa"/>
            <w:vAlign w:val="bottom"/>
            <w:gridSpan w:val="2"/>
            <w:shd w:val="clear" w:color="auto" w:fill="CCEEFF"/>
          </w:tcPr>
          <w:p>
            <w:pPr>
              <w:ind w:left="320"/>
              <w:spacing w:after="0"/>
              <w:rPr>
                <w:sz w:val="20"/>
                <w:szCs w:val="20"/>
                <w:color w:val="auto"/>
              </w:rPr>
            </w:pPr>
            <w:r>
              <w:rPr>
                <w:rFonts w:ascii="Arial" w:cs="Arial" w:eastAsia="Arial" w:hAnsi="Arial"/>
                <w:sz w:val="14"/>
                <w:szCs w:val="14"/>
                <w:color w:val="auto"/>
              </w:rPr>
              <w:t>—</w:t>
            </w:r>
          </w:p>
        </w:tc>
        <w:tc>
          <w:tcPr>
            <w:tcW w:w="740" w:type="dxa"/>
            <w:vAlign w:val="bottom"/>
            <w:gridSpan w:val="2"/>
            <w:shd w:val="clear" w:color="auto" w:fill="CCEEFF"/>
          </w:tcPr>
          <w:p>
            <w:pPr>
              <w:ind w:left="360"/>
              <w:spacing w:after="0"/>
              <w:rPr>
                <w:sz w:val="20"/>
                <w:szCs w:val="20"/>
                <w:color w:val="auto"/>
              </w:rPr>
            </w:pPr>
            <w:r>
              <w:rPr>
                <w:rFonts w:ascii="Arial" w:cs="Arial" w:eastAsia="Arial" w:hAnsi="Arial"/>
                <w:sz w:val="14"/>
                <w:szCs w:val="14"/>
                <w:color w:val="auto"/>
              </w:rPr>
              <w:t>—</w:t>
            </w:r>
          </w:p>
        </w:tc>
        <w:tc>
          <w:tcPr>
            <w:tcW w:w="180" w:type="dxa"/>
            <w:vAlign w:val="bottom"/>
            <w:shd w:val="clear" w:color="auto" w:fill="CCEEFF"/>
          </w:tcPr>
          <w:p>
            <w:pPr>
              <w:spacing w:after="0"/>
              <w:rPr>
                <w:sz w:val="14"/>
                <w:szCs w:val="14"/>
                <w:color w:val="auto"/>
              </w:rPr>
            </w:pP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2,806</w:t>
            </w:r>
          </w:p>
        </w:tc>
        <w:tc>
          <w:tcPr>
            <w:tcW w:w="80" w:type="dxa"/>
            <w:vAlign w:val="bottom"/>
            <w:shd w:val="clear" w:color="auto" w:fill="CCEEFF"/>
          </w:tcPr>
          <w:p>
            <w:pPr>
              <w:spacing w:after="0"/>
              <w:rPr>
                <w:sz w:val="14"/>
                <w:szCs w:val="14"/>
                <w:color w:val="auto"/>
              </w:rPr>
            </w:pPr>
          </w:p>
        </w:tc>
        <w:tc>
          <w:tcPr>
            <w:tcW w:w="66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12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2,806</w:t>
            </w:r>
          </w:p>
        </w:tc>
        <w:tc>
          <w:tcPr>
            <w:tcW w:w="8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860" w:type="dxa"/>
            <w:vAlign w:val="bottom"/>
            <w:gridSpan w:val="2"/>
            <w:shd w:val="clear" w:color="auto" w:fill="CCEEFF"/>
          </w:tcPr>
          <w:p>
            <w:pPr>
              <w:ind w:left="460"/>
              <w:spacing w:after="0"/>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2,806</w:t>
            </w:r>
          </w:p>
        </w:tc>
      </w:tr>
      <w:tr>
        <w:trPr>
          <w:trHeight w:val="130"/>
        </w:trPr>
        <w:tc>
          <w:tcPr>
            <w:tcW w:w="2600" w:type="dxa"/>
            <w:vAlign w:val="bottom"/>
          </w:tcPr>
          <w:p>
            <w:pPr>
              <w:ind w:left="280"/>
              <w:spacing w:after="0" w:line="130" w:lineRule="exact"/>
              <w:rPr>
                <w:sz w:val="20"/>
                <w:szCs w:val="20"/>
                <w:color w:val="auto"/>
              </w:rPr>
            </w:pPr>
            <w:r>
              <w:rPr>
                <w:rFonts w:ascii="Arial" w:cs="Arial" w:eastAsia="Arial" w:hAnsi="Arial"/>
                <w:sz w:val="14"/>
                <w:szCs w:val="14"/>
                <w:color w:val="auto"/>
              </w:rPr>
              <w:t>Foreign currency translation</w:t>
            </w:r>
          </w:p>
        </w:tc>
        <w:tc>
          <w:tcPr>
            <w:tcW w:w="6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r>
      <w:tr>
        <w:trPr>
          <w:trHeight w:val="167"/>
        </w:trPr>
        <w:tc>
          <w:tcPr>
            <w:tcW w:w="2600" w:type="dxa"/>
            <w:vAlign w:val="bottom"/>
          </w:tcPr>
          <w:p>
            <w:pPr>
              <w:ind w:left="420"/>
              <w:spacing w:after="0"/>
              <w:rPr>
                <w:sz w:val="20"/>
                <w:szCs w:val="20"/>
                <w:color w:val="auto"/>
              </w:rPr>
            </w:pPr>
            <w:r>
              <w:rPr>
                <w:rFonts w:ascii="Arial" w:cs="Arial" w:eastAsia="Arial" w:hAnsi="Arial"/>
                <w:sz w:val="14"/>
                <w:szCs w:val="14"/>
                <w:color w:val="auto"/>
              </w:rPr>
              <w:t>adjustments</w:t>
            </w:r>
          </w:p>
        </w:tc>
        <w:tc>
          <w:tcPr>
            <w:tcW w:w="760" w:type="dxa"/>
            <w:vAlign w:val="bottom"/>
            <w:gridSpan w:val="2"/>
          </w:tcPr>
          <w:p>
            <w:pPr>
              <w:ind w:left="48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20" w:type="dxa"/>
            <w:vAlign w:val="bottom"/>
            <w:gridSpan w:val="2"/>
          </w:tcPr>
          <w:p>
            <w:pPr>
              <w:ind w:left="80"/>
              <w:spacing w:after="0"/>
              <w:rPr>
                <w:sz w:val="20"/>
                <w:szCs w:val="20"/>
                <w:color w:val="auto"/>
              </w:rPr>
            </w:pPr>
            <w:r>
              <w:rPr>
                <w:rFonts w:ascii="Arial" w:cs="Arial" w:eastAsia="Arial" w:hAnsi="Arial"/>
                <w:sz w:val="14"/>
                <w:szCs w:val="14"/>
                <w:color w:val="auto"/>
              </w:rPr>
              <w:t>—</w:t>
            </w:r>
          </w:p>
        </w:tc>
        <w:tc>
          <w:tcPr>
            <w:tcW w:w="840" w:type="dxa"/>
            <w:vAlign w:val="bottom"/>
            <w:gridSpan w:val="2"/>
          </w:tcPr>
          <w:p>
            <w:pPr>
              <w:jc w:val="right"/>
              <w:ind w:right="240"/>
              <w:spacing w:after="0"/>
              <w:rPr>
                <w:sz w:val="20"/>
                <w:szCs w:val="20"/>
                <w:color w:val="auto"/>
              </w:rPr>
            </w:pPr>
            <w:r>
              <w:rPr>
                <w:rFonts w:ascii="Arial" w:cs="Arial" w:eastAsia="Arial" w:hAnsi="Arial"/>
                <w:sz w:val="14"/>
                <w:szCs w:val="14"/>
                <w:color w:val="auto"/>
              </w:rPr>
              <w:t>—</w:t>
            </w:r>
          </w:p>
        </w:tc>
        <w:tc>
          <w:tcPr>
            <w:tcW w:w="720" w:type="dxa"/>
            <w:vAlign w:val="bottom"/>
            <w:gridSpan w:val="2"/>
          </w:tcPr>
          <w:p>
            <w:pPr>
              <w:ind w:left="320"/>
              <w:spacing w:after="0"/>
              <w:rPr>
                <w:sz w:val="20"/>
                <w:szCs w:val="20"/>
                <w:color w:val="auto"/>
              </w:rPr>
            </w:pPr>
            <w:r>
              <w:rPr>
                <w:rFonts w:ascii="Arial" w:cs="Arial" w:eastAsia="Arial" w:hAnsi="Arial"/>
                <w:sz w:val="14"/>
                <w:szCs w:val="14"/>
                <w:color w:val="auto"/>
              </w:rPr>
              <w:t>—</w:t>
            </w:r>
          </w:p>
        </w:tc>
        <w:tc>
          <w:tcPr>
            <w:tcW w:w="740" w:type="dxa"/>
            <w:vAlign w:val="bottom"/>
            <w:gridSpan w:val="2"/>
          </w:tcPr>
          <w:p>
            <w:pPr>
              <w:ind w:left="360"/>
              <w:spacing w:after="0"/>
              <w:rPr>
                <w:sz w:val="20"/>
                <w:szCs w:val="20"/>
                <w:color w:val="auto"/>
              </w:rPr>
            </w:pPr>
            <w:r>
              <w:rPr>
                <w:rFonts w:ascii="Arial" w:cs="Arial" w:eastAsia="Arial" w:hAnsi="Arial"/>
                <w:sz w:val="14"/>
                <w:szCs w:val="14"/>
                <w:color w:val="auto"/>
              </w:rPr>
              <w:t>—</w:t>
            </w:r>
          </w:p>
        </w:tc>
        <w:tc>
          <w:tcPr>
            <w:tcW w:w="180" w:type="dxa"/>
            <w:vAlign w:val="bottom"/>
          </w:tcPr>
          <w:p>
            <w:pPr>
              <w:spacing w:after="0"/>
              <w:rPr>
                <w:sz w:val="14"/>
                <w:szCs w:val="14"/>
                <w:color w:val="auto"/>
              </w:rPr>
            </w:pPr>
          </w:p>
        </w:tc>
        <w:tc>
          <w:tcPr>
            <w:tcW w:w="740" w:type="dxa"/>
            <w:vAlign w:val="bottom"/>
            <w:gridSpan w:val="2"/>
          </w:tcPr>
          <w:p>
            <w:pPr>
              <w:ind w:left="420"/>
              <w:spacing w:after="0"/>
              <w:rPr>
                <w:sz w:val="20"/>
                <w:szCs w:val="20"/>
                <w:color w:val="auto"/>
              </w:rPr>
            </w:pPr>
            <w:r>
              <w:rPr>
                <w:rFonts w:ascii="Arial" w:cs="Arial" w:eastAsia="Arial" w:hAnsi="Arial"/>
                <w:sz w:val="14"/>
                <w:szCs w:val="14"/>
                <w:color w:val="auto"/>
              </w:rPr>
              <w:t>177</w:t>
            </w:r>
          </w:p>
        </w:tc>
        <w:tc>
          <w:tcPr>
            <w:tcW w:w="80" w:type="dxa"/>
            <w:vAlign w:val="bottom"/>
          </w:tcPr>
          <w:p>
            <w:pPr>
              <w:spacing w:after="0"/>
              <w:rPr>
                <w:sz w:val="14"/>
                <w:szCs w:val="14"/>
                <w:color w:val="auto"/>
              </w:rPr>
            </w:pPr>
          </w:p>
        </w:tc>
        <w:tc>
          <w:tcPr>
            <w:tcW w:w="66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20" w:type="dxa"/>
            <w:vAlign w:val="bottom"/>
            <w:gridSpan w:val="2"/>
          </w:tcPr>
          <w:p>
            <w:pPr>
              <w:jc w:val="right"/>
              <w:ind w:right="100"/>
              <w:spacing w:after="0"/>
              <w:rPr>
                <w:sz w:val="20"/>
                <w:szCs w:val="20"/>
                <w:color w:val="auto"/>
              </w:rPr>
            </w:pPr>
            <w:r>
              <w:rPr>
                <w:rFonts w:ascii="Arial" w:cs="Arial" w:eastAsia="Arial" w:hAnsi="Arial"/>
                <w:sz w:val="14"/>
                <w:szCs w:val="14"/>
                <w:color w:val="auto"/>
              </w:rPr>
              <w:t>177</w:t>
            </w: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60" w:type="dxa"/>
            <w:vAlign w:val="bottom"/>
            <w:gridSpan w:val="2"/>
          </w:tcPr>
          <w:p>
            <w:pPr>
              <w:ind w:left="460"/>
              <w:spacing w:after="0"/>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100"/>
              <w:spacing w:after="0"/>
              <w:rPr>
                <w:sz w:val="20"/>
                <w:szCs w:val="20"/>
                <w:color w:val="auto"/>
              </w:rPr>
            </w:pPr>
            <w:r>
              <w:rPr>
                <w:rFonts w:ascii="Arial" w:cs="Arial" w:eastAsia="Arial" w:hAnsi="Arial"/>
                <w:sz w:val="14"/>
                <w:szCs w:val="14"/>
                <w:color w:val="auto"/>
              </w:rPr>
              <w:t>177</w:t>
            </w:r>
          </w:p>
        </w:tc>
      </w:tr>
      <w:tr>
        <w:trPr>
          <w:trHeight w:val="130"/>
        </w:trPr>
        <w:tc>
          <w:tcPr>
            <w:tcW w:w="2600" w:type="dxa"/>
            <w:vAlign w:val="bottom"/>
            <w:shd w:val="clear" w:color="auto" w:fill="CCEEFF"/>
          </w:tcPr>
          <w:p>
            <w:pPr>
              <w:ind w:left="280"/>
              <w:spacing w:after="0" w:line="130" w:lineRule="exact"/>
              <w:rPr>
                <w:sz w:val="20"/>
                <w:szCs w:val="20"/>
                <w:color w:val="auto"/>
              </w:rPr>
            </w:pPr>
            <w:r>
              <w:rPr>
                <w:rFonts w:ascii="Arial" w:cs="Arial" w:eastAsia="Arial" w:hAnsi="Arial"/>
                <w:sz w:val="14"/>
                <w:szCs w:val="14"/>
                <w:color w:val="auto"/>
              </w:rPr>
              <w:t>Income tax benefit related to items of</w:t>
            </w:r>
          </w:p>
        </w:tc>
        <w:tc>
          <w:tcPr>
            <w:tcW w:w="6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0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r>
      <w:tr>
        <w:trPr>
          <w:trHeight w:val="167"/>
        </w:trPr>
        <w:tc>
          <w:tcPr>
            <w:tcW w:w="2600" w:type="dxa"/>
            <w:vAlign w:val="bottom"/>
            <w:shd w:val="clear" w:color="auto" w:fill="CCEEFF"/>
          </w:tcPr>
          <w:p>
            <w:pPr>
              <w:ind w:left="420"/>
              <w:spacing w:after="0"/>
              <w:rPr>
                <w:sz w:val="20"/>
                <w:szCs w:val="20"/>
                <w:color w:val="auto"/>
              </w:rPr>
            </w:pPr>
            <w:r>
              <w:rPr>
                <w:rFonts w:ascii="Arial" w:cs="Arial" w:eastAsia="Arial" w:hAnsi="Arial"/>
                <w:sz w:val="14"/>
                <w:szCs w:val="14"/>
                <w:color w:val="auto"/>
              </w:rPr>
              <w:t>other comprehensive income</w:t>
            </w:r>
          </w:p>
        </w:tc>
        <w:tc>
          <w:tcPr>
            <w:tcW w:w="760" w:type="dxa"/>
            <w:vAlign w:val="bottom"/>
            <w:gridSpan w:val="2"/>
            <w:shd w:val="clear" w:color="auto" w:fill="CCEEFF"/>
          </w:tcPr>
          <w:p>
            <w:pPr>
              <w:ind w:left="48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420" w:type="dxa"/>
            <w:vAlign w:val="bottom"/>
            <w:gridSpan w:val="2"/>
            <w:shd w:val="clear" w:color="auto" w:fill="CCEEFF"/>
          </w:tcPr>
          <w:p>
            <w:pPr>
              <w:ind w:left="80"/>
              <w:spacing w:after="0"/>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w:t>
            </w:r>
          </w:p>
        </w:tc>
        <w:tc>
          <w:tcPr>
            <w:tcW w:w="720" w:type="dxa"/>
            <w:vAlign w:val="bottom"/>
            <w:gridSpan w:val="2"/>
            <w:shd w:val="clear" w:color="auto" w:fill="CCEEFF"/>
          </w:tcPr>
          <w:p>
            <w:pPr>
              <w:ind w:left="320"/>
              <w:spacing w:after="0"/>
              <w:rPr>
                <w:sz w:val="20"/>
                <w:szCs w:val="20"/>
                <w:color w:val="auto"/>
              </w:rPr>
            </w:pPr>
            <w:r>
              <w:rPr>
                <w:rFonts w:ascii="Arial" w:cs="Arial" w:eastAsia="Arial" w:hAnsi="Arial"/>
                <w:sz w:val="14"/>
                <w:szCs w:val="14"/>
                <w:color w:val="auto"/>
              </w:rPr>
              <w:t>—</w:t>
            </w:r>
          </w:p>
        </w:tc>
        <w:tc>
          <w:tcPr>
            <w:tcW w:w="740" w:type="dxa"/>
            <w:vAlign w:val="bottom"/>
            <w:gridSpan w:val="2"/>
            <w:shd w:val="clear" w:color="auto" w:fill="CCEEFF"/>
          </w:tcPr>
          <w:p>
            <w:pPr>
              <w:ind w:left="360"/>
              <w:spacing w:after="0"/>
              <w:rPr>
                <w:sz w:val="20"/>
                <w:szCs w:val="20"/>
                <w:color w:val="auto"/>
              </w:rPr>
            </w:pPr>
            <w:r>
              <w:rPr>
                <w:rFonts w:ascii="Arial" w:cs="Arial" w:eastAsia="Arial" w:hAnsi="Arial"/>
                <w:sz w:val="14"/>
                <w:szCs w:val="14"/>
                <w:color w:val="auto"/>
              </w:rPr>
              <w:t>—</w:t>
            </w:r>
          </w:p>
        </w:tc>
        <w:tc>
          <w:tcPr>
            <w:tcW w:w="180" w:type="dxa"/>
            <w:vAlign w:val="bottom"/>
            <w:shd w:val="clear" w:color="auto" w:fill="CCEEFF"/>
          </w:tcPr>
          <w:p>
            <w:pPr>
              <w:spacing w:after="0"/>
              <w:rPr>
                <w:sz w:val="14"/>
                <w:szCs w:val="14"/>
                <w:color w:val="auto"/>
              </w:rPr>
            </w:pP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91</w:t>
            </w:r>
          </w:p>
        </w:tc>
        <w:tc>
          <w:tcPr>
            <w:tcW w:w="80" w:type="dxa"/>
            <w:vAlign w:val="bottom"/>
            <w:shd w:val="clear" w:color="auto" w:fill="CCEEFF"/>
          </w:tcPr>
          <w:p>
            <w:pPr>
              <w:spacing w:after="0"/>
              <w:rPr>
                <w:sz w:val="14"/>
                <w:szCs w:val="14"/>
                <w:color w:val="auto"/>
              </w:rPr>
            </w:pPr>
          </w:p>
        </w:tc>
        <w:tc>
          <w:tcPr>
            <w:tcW w:w="66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12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91</w:t>
            </w:r>
          </w:p>
        </w:tc>
        <w:tc>
          <w:tcPr>
            <w:tcW w:w="8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860" w:type="dxa"/>
            <w:vAlign w:val="bottom"/>
            <w:gridSpan w:val="2"/>
            <w:shd w:val="clear" w:color="auto" w:fill="CCEEFF"/>
          </w:tcPr>
          <w:p>
            <w:pPr>
              <w:ind w:left="460"/>
              <w:spacing w:after="0"/>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91</w:t>
            </w:r>
          </w:p>
        </w:tc>
      </w:tr>
      <w:tr>
        <w:trPr>
          <w:trHeight w:val="163"/>
        </w:trPr>
        <w:tc>
          <w:tcPr>
            <w:tcW w:w="2600" w:type="dxa"/>
            <w:vAlign w:val="bottom"/>
          </w:tcPr>
          <w:p>
            <w:pPr>
              <w:ind w:left="580"/>
              <w:spacing w:after="0" w:line="155" w:lineRule="exact"/>
              <w:rPr>
                <w:sz w:val="20"/>
                <w:szCs w:val="20"/>
                <w:color w:val="auto"/>
              </w:rPr>
            </w:pPr>
            <w:r>
              <w:rPr>
                <w:rFonts w:ascii="Arial" w:cs="Arial" w:eastAsia="Arial" w:hAnsi="Arial"/>
                <w:sz w:val="14"/>
                <w:szCs w:val="14"/>
                <w:color w:val="auto"/>
              </w:rPr>
              <w:t>Total comprehensive income</w:t>
            </w:r>
          </w:p>
        </w:tc>
        <w:tc>
          <w:tcPr>
            <w:tcW w:w="680" w:type="dxa"/>
            <w:vAlign w:val="bottom"/>
            <w:tcBorders>
              <w:top w:val="single" w:sz="8" w:color="auto"/>
            </w:tcBorders>
          </w:tcPr>
          <w:p>
            <w:pPr>
              <w:spacing w:after="0"/>
              <w:rPr>
                <w:sz w:val="14"/>
                <w:szCs w:val="14"/>
                <w:color w:val="auto"/>
              </w:rPr>
            </w:pPr>
          </w:p>
        </w:tc>
        <w:tc>
          <w:tcPr>
            <w:tcW w:w="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40" w:type="dxa"/>
            <w:vAlign w:val="bottom"/>
            <w:tcBorders>
              <w:top w:val="single" w:sz="8" w:color="auto"/>
            </w:tcBorders>
          </w:tcPr>
          <w:p>
            <w:pPr>
              <w:spacing w:after="0"/>
              <w:rPr>
                <w:sz w:val="14"/>
                <w:szCs w:val="14"/>
                <w:color w:val="auto"/>
              </w:rPr>
            </w:pPr>
          </w:p>
        </w:tc>
        <w:tc>
          <w:tcPr>
            <w:tcW w:w="300" w:type="dxa"/>
            <w:vAlign w:val="bottom"/>
            <w:tcBorders>
              <w:top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680" w:type="dxa"/>
            <w:vAlign w:val="bottom"/>
            <w:tcBorders>
              <w:top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540" w:type="dxa"/>
            <w:vAlign w:val="bottom"/>
            <w:tcBorders>
              <w:top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580" w:type="dxa"/>
            <w:vAlign w:val="bottom"/>
            <w:tcBorders>
              <w:top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180" w:type="dxa"/>
            <w:vAlign w:val="bottom"/>
            <w:tcBorders>
              <w:top w:val="single" w:sz="8" w:color="auto"/>
            </w:tcBorders>
          </w:tcPr>
          <w:p>
            <w:pPr>
              <w:spacing w:after="0"/>
              <w:rPr>
                <w:sz w:val="14"/>
                <w:szCs w:val="14"/>
                <w:color w:val="auto"/>
              </w:rPr>
            </w:pPr>
          </w:p>
        </w:tc>
        <w:tc>
          <w:tcPr>
            <w:tcW w:w="640" w:type="dxa"/>
            <w:vAlign w:val="bottom"/>
            <w:tcBorders>
              <w:top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40" w:type="dxa"/>
            <w:vAlign w:val="bottom"/>
            <w:tcBorders>
              <w:top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Borders>
              <w:top w:val="single" w:sz="8" w:color="auto"/>
            </w:tcBorders>
          </w:tcPr>
          <w:p>
            <w:pPr>
              <w:spacing w:after="0"/>
              <w:rPr>
                <w:sz w:val="14"/>
                <w:szCs w:val="14"/>
                <w:color w:val="auto"/>
              </w:rPr>
            </w:pPr>
          </w:p>
        </w:tc>
        <w:tc>
          <w:tcPr>
            <w:tcW w:w="1020" w:type="dxa"/>
            <w:vAlign w:val="bottom"/>
            <w:tcBorders>
              <w:top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20" w:type="dxa"/>
            <w:vAlign w:val="bottom"/>
            <w:tcBorders>
              <w:top w:val="single" w:sz="8" w:color="auto"/>
            </w:tcBorders>
          </w:tcPr>
          <w:p>
            <w:pPr>
              <w:spacing w:after="0"/>
              <w:rPr>
                <w:sz w:val="14"/>
                <w:szCs w:val="14"/>
                <w:color w:val="auto"/>
              </w:rPr>
            </w:pPr>
          </w:p>
        </w:tc>
        <w:tc>
          <w:tcPr>
            <w:tcW w:w="680" w:type="dxa"/>
            <w:vAlign w:val="bottom"/>
            <w:tcBorders>
              <w:top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66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64,440</w:t>
            </w:r>
          </w:p>
        </w:tc>
        <w:tc>
          <w:tcPr>
            <w:tcW w:w="100" w:type="dxa"/>
            <w:vAlign w:val="bottom"/>
          </w:tcPr>
          <w:p>
            <w:pPr>
              <w:spacing w:after="0"/>
              <w:rPr>
                <w:sz w:val="14"/>
                <w:szCs w:val="14"/>
                <w:color w:val="auto"/>
              </w:rPr>
            </w:pPr>
          </w:p>
        </w:tc>
      </w:tr>
      <w:tr>
        <w:trPr>
          <w:trHeight w:val="148"/>
        </w:trPr>
        <w:tc>
          <w:tcPr>
            <w:tcW w:w="26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Balances, December 31, 2020</w:t>
            </w:r>
          </w:p>
        </w:tc>
        <w:tc>
          <w:tcPr>
            <w:tcW w:w="7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w w:val="96"/>
              </w:rPr>
              <w:t>58,740,919</w:t>
            </w:r>
          </w:p>
        </w:tc>
        <w:tc>
          <w:tcPr>
            <w:tcW w:w="200" w:type="dxa"/>
            <w:vAlign w:val="bottom"/>
            <w:gridSpan w:val="2"/>
            <w:shd w:val="clear" w:color="auto" w:fill="CCEEFF"/>
          </w:tcPr>
          <w:p>
            <w:pPr>
              <w:jc w:val="right"/>
              <w:ind w:right="23"/>
              <w:spacing w:after="0" w:line="149" w:lineRule="exact"/>
              <w:rPr>
                <w:sz w:val="20"/>
                <w:szCs w:val="20"/>
                <w:color w:val="auto"/>
              </w:rPr>
            </w:pPr>
            <w:r>
              <w:rPr>
                <w:rFonts w:ascii="Arial" w:cs="Arial" w:eastAsia="Arial" w:hAnsi="Arial"/>
                <w:sz w:val="14"/>
                <w:szCs w:val="14"/>
                <w:color w:val="auto"/>
              </w:rPr>
              <w:t>$</w:t>
            </w:r>
          </w:p>
        </w:tc>
        <w:tc>
          <w:tcPr>
            <w:tcW w:w="420" w:type="dxa"/>
            <w:vAlign w:val="bottom"/>
            <w:gridSpan w:val="2"/>
            <w:shd w:val="clear" w:color="auto" w:fill="CCEEFF"/>
          </w:tcPr>
          <w:p>
            <w:pPr>
              <w:ind w:left="80"/>
              <w:spacing w:after="0" w:line="149" w:lineRule="exact"/>
              <w:rPr>
                <w:sz w:val="20"/>
                <w:szCs w:val="20"/>
                <w:color w:val="auto"/>
              </w:rPr>
            </w:pPr>
            <w:r>
              <w:rPr>
                <w:rFonts w:ascii="Arial" w:cs="Arial" w:eastAsia="Arial" w:hAnsi="Arial"/>
                <w:sz w:val="14"/>
                <w:szCs w:val="14"/>
                <w:color w:val="auto"/>
              </w:rPr>
              <w:t>587</w:t>
            </w:r>
          </w:p>
        </w:tc>
        <w:tc>
          <w:tcPr>
            <w:tcW w:w="8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w w:val="97"/>
              </w:rPr>
              <w:t>(8,245,130)</w:t>
            </w:r>
          </w:p>
        </w:tc>
        <w:tc>
          <w:tcPr>
            <w:tcW w:w="72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u w:val="single" w:color="auto"/>
                <w:color w:val="auto"/>
                <w:w w:val="93"/>
              </w:rPr>
              <w:t>$</w:t>
            </w:r>
            <w:r>
              <w:rPr>
                <w:rFonts w:ascii="Arial" w:cs="Arial" w:eastAsia="Arial" w:hAnsi="Arial"/>
                <w:sz w:val="14"/>
                <w:szCs w:val="14"/>
                <w:color w:val="auto"/>
                <w:w w:val="93"/>
              </w:rPr>
              <w:t>(86,239)</w:t>
            </w:r>
          </w:p>
        </w:tc>
        <w:tc>
          <w:tcPr>
            <w:tcW w:w="74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w w:val="89"/>
              </w:rPr>
              <w:t>$ 416,609</w:t>
            </w:r>
          </w:p>
        </w:tc>
        <w:tc>
          <w:tcPr>
            <w:tcW w:w="180" w:type="dxa"/>
            <w:vAlign w:val="bottom"/>
            <w:shd w:val="clear" w:color="auto" w:fill="CCEEFF"/>
          </w:tcPr>
          <w:p>
            <w:pPr>
              <w:jc w:val="right"/>
              <w:ind w:right="34"/>
              <w:spacing w:after="0" w:line="149" w:lineRule="exact"/>
              <w:rPr>
                <w:sz w:val="20"/>
                <w:szCs w:val="20"/>
                <w:color w:val="auto"/>
              </w:rPr>
            </w:pPr>
            <w:r>
              <w:rPr>
                <w:rFonts w:ascii="Arial" w:cs="Arial" w:eastAsia="Arial" w:hAnsi="Arial"/>
                <w:sz w:val="14"/>
                <w:szCs w:val="14"/>
                <w:color w:val="auto"/>
                <w:w w:val="76"/>
              </w:rPr>
              <w:t>$</w:t>
            </w:r>
          </w:p>
        </w:tc>
        <w:tc>
          <w:tcPr>
            <w:tcW w:w="7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(9,744)</w:t>
            </w:r>
          </w:p>
        </w:tc>
        <w:tc>
          <w:tcPr>
            <w:tcW w:w="740" w:type="dxa"/>
            <w:vAlign w:val="bottom"/>
            <w:gridSpan w:val="3"/>
            <w:shd w:val="clear" w:color="auto" w:fill="CCEEFF"/>
          </w:tcPr>
          <w:p>
            <w:pPr>
              <w:jc w:val="right"/>
              <w:ind w:right="120"/>
              <w:spacing w:after="0" w:line="149" w:lineRule="exact"/>
              <w:rPr>
                <w:sz w:val="20"/>
                <w:szCs w:val="20"/>
                <w:color w:val="auto"/>
              </w:rPr>
            </w:pPr>
            <w:r>
              <w:rPr>
                <w:rFonts w:ascii="Arial" w:cs="Arial" w:eastAsia="Arial" w:hAnsi="Arial"/>
                <w:sz w:val="14"/>
                <w:szCs w:val="14"/>
                <w:u w:val="single" w:color="auto"/>
                <w:color w:val="auto"/>
              </w:rPr>
              <w:t>$</w:t>
            </w:r>
            <w:r>
              <w:rPr>
                <w:rFonts w:ascii="Arial" w:cs="Arial" w:eastAsia="Arial" w:hAnsi="Arial"/>
                <w:sz w:val="14"/>
                <w:szCs w:val="14"/>
                <w:color w:val="auto"/>
              </w:rPr>
              <w:t>938,395</w:t>
            </w:r>
          </w:p>
        </w:tc>
        <w:tc>
          <w:tcPr>
            <w:tcW w:w="140" w:type="dxa"/>
            <w:vAlign w:val="bottom"/>
            <w:gridSpan w:val="2"/>
            <w:shd w:val="clear" w:color="auto" w:fill="CCEEFF"/>
          </w:tcPr>
          <w:p>
            <w:pPr>
              <w:ind w:left="60"/>
              <w:spacing w:after="0" w:line="149" w:lineRule="exact"/>
              <w:rPr>
                <w:sz w:val="20"/>
                <w:szCs w:val="20"/>
                <w:color w:val="auto"/>
              </w:rPr>
            </w:pPr>
            <w:r>
              <w:rPr>
                <w:rFonts w:ascii="Arial" w:cs="Arial" w:eastAsia="Arial" w:hAnsi="Arial"/>
                <w:sz w:val="14"/>
                <w:szCs w:val="14"/>
                <w:color w:val="auto"/>
                <w:w w:val="76"/>
              </w:rPr>
              <w:t>$</w:t>
            </w:r>
          </w:p>
        </w:tc>
        <w:tc>
          <w:tcPr>
            <w:tcW w:w="11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1,259,608</w:t>
            </w:r>
          </w:p>
        </w:tc>
        <w:tc>
          <w:tcPr>
            <w:tcW w:w="200" w:type="dxa"/>
            <w:vAlign w:val="bottom"/>
            <w:gridSpan w:val="2"/>
            <w:shd w:val="clear" w:color="auto" w:fill="CCEEFF"/>
          </w:tcPr>
          <w:p>
            <w:pPr>
              <w:jc w:val="right"/>
              <w:ind w:right="3"/>
              <w:spacing w:after="0" w:line="149" w:lineRule="exact"/>
              <w:rPr>
                <w:sz w:val="20"/>
                <w:szCs w:val="20"/>
                <w:color w:val="auto"/>
              </w:rPr>
            </w:pPr>
            <w:r>
              <w:rPr>
                <w:rFonts w:ascii="Arial" w:cs="Arial" w:eastAsia="Arial" w:hAnsi="Arial"/>
                <w:sz w:val="14"/>
                <w:szCs w:val="14"/>
                <w:color w:val="auto"/>
              </w:rPr>
              <w:t>$</w:t>
            </w:r>
          </w:p>
        </w:tc>
        <w:tc>
          <w:tcPr>
            <w:tcW w:w="86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27,110</w:t>
            </w: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u w:val="single" w:color="auto"/>
                <w:color w:val="auto"/>
                <w:w w:val="91"/>
              </w:rPr>
              <w:t>$</w:t>
            </w:r>
            <w:r>
              <w:rPr>
                <w:rFonts w:ascii="Arial" w:cs="Arial" w:eastAsia="Arial" w:hAnsi="Arial"/>
                <w:sz w:val="14"/>
                <w:szCs w:val="14"/>
                <w:color w:val="auto"/>
                <w:w w:val="91"/>
              </w:rPr>
              <w:t>1,286,718</w:t>
            </w:r>
          </w:p>
        </w:tc>
      </w:tr>
      <w:tr>
        <w:trPr>
          <w:trHeight w:val="20"/>
        </w:trPr>
        <w:tc>
          <w:tcPr>
            <w:tcW w:w="260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15"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See accompanying notes to consolidated financial statements.</w:t>
      </w:r>
    </w:p>
    <w:p>
      <w:pPr>
        <w:spacing w:after="0" w:line="158"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F-8</w:t>
      </w:r>
    </w:p>
    <w:p>
      <w:pPr>
        <w:sectPr>
          <w:pgSz w:w="11900" w:h="16838" w:orient="portrait"/>
          <w:cols w:equalWidth="0" w:num="1">
            <w:col w:w="11020"/>
          </w:cols>
          <w:pgMar w:left="440" w:top="270" w:right="439" w:bottom="1440" w:gutter="0" w:footer="0" w:header="0"/>
        </w:sectPr>
      </w:pPr>
    </w:p>
    <w:bookmarkStart w:id="122" w:name="page123"/>
    <w:bookmarkEnd w:id="122"/>
    <w:p>
      <w:pPr>
        <w:jc w:val="center"/>
        <w:ind w:right="2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TEXTAINER GROUP HOLDINGS LIMITED AND SUBSIDIARIES</w:t>
      </w:r>
    </w:p>
    <w:p>
      <w:pPr>
        <w:spacing w:after="0" w:line="27"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Consolidated Statements of Cash Flows</w:t>
      </w:r>
    </w:p>
    <w:p>
      <w:pPr>
        <w:spacing w:after="0" w:line="9"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Years ended December 31, 2020, 2019 and 2018</w:t>
      </w:r>
    </w:p>
    <w:p>
      <w:pPr>
        <w:spacing w:after="0" w:line="9"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(All currency expressed in United States dollars in thousands)</w:t>
      </w:r>
    </w:p>
    <w:p>
      <w:pPr>
        <w:spacing w:after="0" w:line="22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7780" w:type="dxa"/>
            <w:vAlign w:val="bottom"/>
            <w:tcBorders>
              <w:bottom w:val="single" w:sz="8" w:color="CCEEFF"/>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jc w:val="right"/>
              <w:ind w:right="179"/>
              <w:spacing w:after="0"/>
              <w:rPr>
                <w:sz w:val="20"/>
                <w:szCs w:val="20"/>
                <w:color w:val="auto"/>
              </w:rPr>
            </w:pPr>
            <w:r>
              <w:rPr>
                <w:rFonts w:ascii="Arial" w:cs="Arial" w:eastAsia="Arial" w:hAnsi="Arial"/>
                <w:sz w:val="14"/>
                <w:szCs w:val="14"/>
                <w:b w:val="1"/>
                <w:bCs w:val="1"/>
                <w:color w:val="auto"/>
              </w:rPr>
              <w:t>2020</w:t>
            </w:r>
          </w:p>
        </w:tc>
        <w:tc>
          <w:tcPr>
            <w:tcW w:w="220" w:type="dxa"/>
            <w:vAlign w:val="bottom"/>
            <w:tcBorders>
              <w:bottom w:val="single" w:sz="8" w:color="CCEEFF"/>
            </w:tcBorders>
          </w:tcPr>
          <w:p>
            <w:pPr>
              <w:spacing w:after="0"/>
              <w:rPr>
                <w:sz w:val="14"/>
                <w:szCs w:val="14"/>
                <w:color w:val="auto"/>
              </w:rPr>
            </w:pPr>
          </w:p>
        </w:tc>
        <w:tc>
          <w:tcPr>
            <w:tcW w:w="160" w:type="dxa"/>
            <w:vAlign w:val="bottom"/>
            <w:tcBorders>
              <w:bottom w:val="single" w:sz="8" w:color="CCEEFF"/>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jc w:val="right"/>
              <w:ind w:right="159"/>
              <w:spacing w:after="0"/>
              <w:rPr>
                <w:sz w:val="20"/>
                <w:szCs w:val="20"/>
                <w:color w:val="auto"/>
              </w:rPr>
            </w:pPr>
            <w:r>
              <w:rPr>
                <w:rFonts w:ascii="Arial" w:cs="Arial" w:eastAsia="Arial" w:hAnsi="Arial"/>
                <w:sz w:val="14"/>
                <w:szCs w:val="14"/>
                <w:b w:val="1"/>
                <w:bCs w:val="1"/>
                <w:color w:val="auto"/>
              </w:rPr>
              <w:t>2019</w:t>
            </w:r>
          </w:p>
        </w:tc>
        <w:tc>
          <w:tcPr>
            <w:tcW w:w="240" w:type="dxa"/>
            <w:vAlign w:val="bottom"/>
            <w:tcBorders>
              <w:bottom w:val="single" w:sz="8" w:color="CCEEFF"/>
            </w:tcBorders>
          </w:tcPr>
          <w:p>
            <w:pPr>
              <w:spacing w:after="0"/>
              <w:rPr>
                <w:sz w:val="14"/>
                <w:szCs w:val="14"/>
                <w:color w:val="auto"/>
              </w:rPr>
            </w:pPr>
          </w:p>
        </w:tc>
        <w:tc>
          <w:tcPr>
            <w:tcW w:w="180" w:type="dxa"/>
            <w:vAlign w:val="bottom"/>
            <w:tcBorders>
              <w:bottom w:val="single" w:sz="8" w:color="CCEEFF"/>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jc w:val="right"/>
              <w:ind w:right="179"/>
              <w:spacing w:after="0"/>
              <w:rPr>
                <w:sz w:val="20"/>
                <w:szCs w:val="20"/>
                <w:color w:val="auto"/>
              </w:rPr>
            </w:pPr>
            <w:r>
              <w:rPr>
                <w:rFonts w:ascii="Arial" w:cs="Arial" w:eastAsia="Arial" w:hAnsi="Arial"/>
                <w:sz w:val="14"/>
                <w:szCs w:val="14"/>
                <w:b w:val="1"/>
                <w:bCs w:val="1"/>
                <w:color w:val="auto"/>
              </w:rPr>
              <w:t>2018</w:t>
            </w:r>
          </w:p>
        </w:tc>
        <w:tc>
          <w:tcPr>
            <w:tcW w:w="10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183"/>
        </w:trPr>
        <w:tc>
          <w:tcPr>
            <w:tcW w:w="7780" w:type="dxa"/>
            <w:vAlign w:val="bottom"/>
            <w:shd w:val="clear" w:color="auto" w:fill="CCEEFF"/>
          </w:tcPr>
          <w:p>
            <w:pPr>
              <w:spacing w:after="0" w:line="183" w:lineRule="exact"/>
              <w:rPr>
                <w:sz w:val="20"/>
                <w:szCs w:val="20"/>
                <w:color w:val="auto"/>
              </w:rPr>
            </w:pPr>
            <w:r>
              <w:rPr>
                <w:rFonts w:ascii="Arial" w:cs="Arial" w:eastAsia="Arial" w:hAnsi="Arial"/>
                <w:sz w:val="16"/>
                <w:szCs w:val="16"/>
                <w:color w:val="auto"/>
              </w:rPr>
              <w:t>Cash flows from operating activities:</w:t>
            </w:r>
          </w:p>
        </w:tc>
        <w:tc>
          <w:tcPr>
            <w:tcW w:w="80" w:type="dxa"/>
            <w:vAlign w:val="bottom"/>
            <w:shd w:val="clear" w:color="auto" w:fill="CCEEFF"/>
          </w:tcPr>
          <w:p>
            <w:pPr>
              <w:spacing w:after="0"/>
              <w:rPr>
                <w:sz w:val="15"/>
                <w:szCs w:val="15"/>
                <w:color w:val="auto"/>
              </w:rPr>
            </w:pPr>
          </w:p>
        </w:tc>
        <w:tc>
          <w:tcPr>
            <w:tcW w:w="700" w:type="dxa"/>
            <w:vAlign w:val="bottom"/>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700" w:type="dxa"/>
            <w:vAlign w:val="bottom"/>
            <w:shd w:val="clear" w:color="auto" w:fill="CCEEFF"/>
          </w:tcPr>
          <w:p>
            <w:pPr>
              <w:spacing w:after="0"/>
              <w:rPr>
                <w:sz w:val="15"/>
                <w:szCs w:val="15"/>
                <w:color w:val="auto"/>
              </w:rPr>
            </w:pPr>
          </w:p>
        </w:tc>
        <w:tc>
          <w:tcPr>
            <w:tcW w:w="24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70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09"/>
        </w:trPr>
        <w:tc>
          <w:tcPr>
            <w:tcW w:w="7780" w:type="dxa"/>
            <w:vAlign w:val="bottom"/>
          </w:tcPr>
          <w:p>
            <w:pPr>
              <w:ind w:left="320"/>
              <w:spacing w:after="0"/>
              <w:rPr>
                <w:sz w:val="20"/>
                <w:szCs w:val="20"/>
                <w:color w:val="auto"/>
              </w:rPr>
            </w:pPr>
            <w:r>
              <w:rPr>
                <w:rFonts w:ascii="Arial" w:cs="Arial" w:eastAsia="Arial" w:hAnsi="Arial"/>
                <w:sz w:val="16"/>
                <w:szCs w:val="16"/>
                <w:color w:val="auto"/>
              </w:rPr>
              <w:t>Net income</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920" w:type="dxa"/>
            <w:vAlign w:val="bottom"/>
            <w:gridSpan w:val="2"/>
          </w:tcPr>
          <w:p>
            <w:pPr>
              <w:jc w:val="right"/>
              <w:ind w:right="220"/>
              <w:spacing w:after="0"/>
              <w:rPr>
                <w:sz w:val="20"/>
                <w:szCs w:val="20"/>
                <w:color w:val="auto"/>
              </w:rPr>
            </w:pPr>
            <w:r>
              <w:rPr>
                <w:rFonts w:ascii="Arial" w:cs="Arial" w:eastAsia="Arial" w:hAnsi="Arial"/>
                <w:sz w:val="16"/>
                <w:szCs w:val="16"/>
                <w:color w:val="auto"/>
              </w:rPr>
              <w:t>73,673</w:t>
            </w:r>
          </w:p>
        </w:tc>
        <w:tc>
          <w:tcPr>
            <w:tcW w:w="24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700" w:type="dxa"/>
            <w:vAlign w:val="bottom"/>
          </w:tcPr>
          <w:p>
            <w:pPr>
              <w:jc w:val="right"/>
              <w:spacing w:after="0"/>
              <w:rPr>
                <w:sz w:val="20"/>
                <w:szCs w:val="20"/>
                <w:color w:val="auto"/>
              </w:rPr>
            </w:pPr>
            <w:r>
              <w:rPr>
                <w:rFonts w:ascii="Arial" w:cs="Arial" w:eastAsia="Arial" w:hAnsi="Arial"/>
                <w:sz w:val="16"/>
                <w:szCs w:val="16"/>
                <w:color w:val="auto"/>
              </w:rPr>
              <w:t>56,556</w:t>
            </w:r>
          </w:p>
        </w:tc>
        <w:tc>
          <w:tcPr>
            <w:tcW w:w="240" w:type="dxa"/>
            <w:vAlign w:val="bottom"/>
          </w:tcPr>
          <w:p>
            <w:pPr>
              <w:spacing w:after="0"/>
              <w:rPr>
                <w:sz w:val="18"/>
                <w:szCs w:val="18"/>
                <w:color w:val="auto"/>
              </w:rPr>
            </w:pPr>
          </w:p>
        </w:tc>
        <w:tc>
          <w:tcPr>
            <w:tcW w:w="26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700" w:type="dxa"/>
            <w:vAlign w:val="bottom"/>
          </w:tcPr>
          <w:p>
            <w:pPr>
              <w:jc w:val="right"/>
              <w:spacing w:after="0"/>
              <w:rPr>
                <w:sz w:val="20"/>
                <w:szCs w:val="20"/>
                <w:color w:val="auto"/>
              </w:rPr>
            </w:pPr>
            <w:r>
              <w:rPr>
                <w:rFonts w:ascii="Arial" w:cs="Arial" w:eastAsia="Arial" w:hAnsi="Arial"/>
                <w:sz w:val="16"/>
                <w:szCs w:val="16"/>
                <w:color w:val="auto"/>
              </w:rPr>
              <w:t>54,250</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7780" w:type="dxa"/>
            <w:vAlign w:val="bottom"/>
            <w:shd w:val="clear" w:color="auto" w:fill="CCEEFF"/>
          </w:tcPr>
          <w:p>
            <w:pPr>
              <w:ind w:left="320"/>
              <w:spacing w:after="0"/>
              <w:rPr>
                <w:sz w:val="20"/>
                <w:szCs w:val="20"/>
                <w:color w:val="auto"/>
              </w:rPr>
            </w:pPr>
            <w:r>
              <w:rPr>
                <w:rFonts w:ascii="Arial" w:cs="Arial" w:eastAsia="Arial" w:hAnsi="Arial"/>
                <w:sz w:val="16"/>
                <w:szCs w:val="16"/>
                <w:color w:val="auto"/>
              </w:rPr>
              <w:t>Adjustments to reconcile net income to net cash provided by operating activities:</w:t>
            </w:r>
          </w:p>
        </w:tc>
        <w:tc>
          <w:tcPr>
            <w:tcW w:w="80" w:type="dxa"/>
            <w:vAlign w:val="bottom"/>
            <w:tcBorders>
              <w:top w:val="single" w:sz="8" w:color="auto"/>
            </w:tcBorders>
            <w:shd w:val="clear" w:color="auto" w:fill="CCEEFF"/>
          </w:tcPr>
          <w:p>
            <w:pPr>
              <w:spacing w:after="0"/>
              <w:rPr>
                <w:sz w:val="17"/>
                <w:szCs w:val="17"/>
                <w:color w:val="auto"/>
              </w:rPr>
            </w:pPr>
          </w:p>
        </w:tc>
        <w:tc>
          <w:tcPr>
            <w:tcW w:w="700" w:type="dxa"/>
            <w:vAlign w:val="bottom"/>
            <w:tcBorders>
              <w:top w:val="single" w:sz="8" w:color="auto"/>
            </w:tcBorders>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700" w:type="dxa"/>
            <w:vAlign w:val="bottom"/>
            <w:tcBorders>
              <w:top w:val="single" w:sz="8" w:color="auto"/>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70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780" w:type="dxa"/>
            <w:vAlign w:val="bottom"/>
          </w:tcPr>
          <w:p>
            <w:pPr>
              <w:ind w:left="640"/>
              <w:spacing w:after="0"/>
              <w:rPr>
                <w:sz w:val="20"/>
                <w:szCs w:val="20"/>
                <w:color w:val="auto"/>
              </w:rPr>
            </w:pPr>
            <w:r>
              <w:rPr>
                <w:rFonts w:ascii="Arial" w:cs="Arial" w:eastAsia="Arial" w:hAnsi="Arial"/>
                <w:sz w:val="16"/>
                <w:szCs w:val="16"/>
                <w:color w:val="auto"/>
              </w:rPr>
              <w:t>Depreciation expense</w:t>
            </w:r>
          </w:p>
        </w:tc>
        <w:tc>
          <w:tcPr>
            <w:tcW w:w="80" w:type="dxa"/>
            <w:vAlign w:val="bottom"/>
          </w:tcPr>
          <w:p>
            <w:pPr>
              <w:spacing w:after="0"/>
              <w:rPr>
                <w:sz w:val="17"/>
                <w:szCs w:val="17"/>
                <w:color w:val="auto"/>
              </w:rPr>
            </w:pPr>
          </w:p>
        </w:tc>
        <w:tc>
          <w:tcPr>
            <w:tcW w:w="920" w:type="dxa"/>
            <w:vAlign w:val="bottom"/>
            <w:gridSpan w:val="2"/>
          </w:tcPr>
          <w:p>
            <w:pPr>
              <w:jc w:val="right"/>
              <w:ind w:right="220"/>
              <w:spacing w:after="0"/>
              <w:rPr>
                <w:sz w:val="20"/>
                <w:szCs w:val="20"/>
                <w:color w:val="auto"/>
              </w:rPr>
            </w:pPr>
            <w:r>
              <w:rPr>
                <w:rFonts w:ascii="Arial" w:cs="Arial" w:eastAsia="Arial" w:hAnsi="Arial"/>
                <w:sz w:val="16"/>
                <w:szCs w:val="16"/>
                <w:color w:val="auto"/>
              </w:rPr>
              <w:t>261,665</w:t>
            </w: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00" w:type="dxa"/>
            <w:vAlign w:val="bottom"/>
          </w:tcPr>
          <w:p>
            <w:pPr>
              <w:jc w:val="right"/>
              <w:spacing w:after="0"/>
              <w:rPr>
                <w:sz w:val="20"/>
                <w:szCs w:val="20"/>
                <w:color w:val="auto"/>
              </w:rPr>
            </w:pPr>
            <w:r>
              <w:rPr>
                <w:rFonts w:ascii="Arial" w:cs="Arial" w:eastAsia="Arial" w:hAnsi="Arial"/>
                <w:sz w:val="16"/>
                <w:szCs w:val="16"/>
                <w:color w:val="auto"/>
              </w:rPr>
              <w:t>260,372</w:t>
            </w: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00" w:type="dxa"/>
            <w:vAlign w:val="bottom"/>
          </w:tcPr>
          <w:p>
            <w:pPr>
              <w:jc w:val="right"/>
              <w:spacing w:after="0"/>
              <w:rPr>
                <w:sz w:val="20"/>
                <w:szCs w:val="20"/>
                <w:color w:val="auto"/>
              </w:rPr>
            </w:pPr>
            <w:r>
              <w:rPr>
                <w:rFonts w:ascii="Arial" w:cs="Arial" w:eastAsia="Arial" w:hAnsi="Arial"/>
                <w:sz w:val="16"/>
                <w:szCs w:val="16"/>
                <w:color w:val="auto"/>
              </w:rPr>
              <w:t>249,500</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780" w:type="dxa"/>
            <w:vAlign w:val="bottom"/>
            <w:shd w:val="clear" w:color="auto" w:fill="CCEEFF"/>
          </w:tcPr>
          <w:p>
            <w:pPr>
              <w:ind w:left="640"/>
              <w:spacing w:after="0"/>
              <w:rPr>
                <w:sz w:val="20"/>
                <w:szCs w:val="20"/>
                <w:color w:val="auto"/>
              </w:rPr>
            </w:pPr>
            <w:r>
              <w:rPr>
                <w:rFonts w:ascii="Arial" w:cs="Arial" w:eastAsia="Arial" w:hAnsi="Arial"/>
                <w:sz w:val="16"/>
                <w:szCs w:val="16"/>
                <w:color w:val="auto"/>
              </w:rPr>
              <w:t>Bad debt (recovery) expense, net</w:t>
            </w:r>
          </w:p>
        </w:tc>
        <w:tc>
          <w:tcPr>
            <w:tcW w:w="8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(1,668)</w:t>
            </w: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2,002</w:t>
            </w:r>
          </w:p>
        </w:tc>
        <w:tc>
          <w:tcPr>
            <w:tcW w:w="2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2,697</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780" w:type="dxa"/>
            <w:vAlign w:val="bottom"/>
          </w:tcPr>
          <w:p>
            <w:pPr>
              <w:ind w:left="640"/>
              <w:spacing w:after="0"/>
              <w:rPr>
                <w:sz w:val="20"/>
                <w:szCs w:val="20"/>
                <w:color w:val="auto"/>
              </w:rPr>
            </w:pPr>
            <w:r>
              <w:rPr>
                <w:rFonts w:ascii="Arial" w:cs="Arial" w:eastAsia="Arial" w:hAnsi="Arial"/>
                <w:sz w:val="16"/>
                <w:szCs w:val="16"/>
                <w:color w:val="auto"/>
              </w:rPr>
              <w:t>Container (recovery) write-off from lessee default, net</w:t>
            </w:r>
          </w:p>
        </w:tc>
        <w:tc>
          <w:tcPr>
            <w:tcW w:w="80" w:type="dxa"/>
            <w:vAlign w:val="bottom"/>
          </w:tcPr>
          <w:p>
            <w:pPr>
              <w:spacing w:after="0"/>
              <w:rPr>
                <w:sz w:val="17"/>
                <w:szCs w:val="17"/>
                <w:color w:val="auto"/>
              </w:rPr>
            </w:pPr>
          </w:p>
        </w:tc>
        <w:tc>
          <w:tcPr>
            <w:tcW w:w="920" w:type="dxa"/>
            <w:vAlign w:val="bottom"/>
            <w:gridSpan w:val="2"/>
          </w:tcPr>
          <w:p>
            <w:pPr>
              <w:jc w:val="right"/>
              <w:ind w:right="180"/>
              <w:spacing w:after="0"/>
              <w:rPr>
                <w:sz w:val="20"/>
                <w:szCs w:val="20"/>
                <w:color w:val="auto"/>
              </w:rPr>
            </w:pPr>
            <w:r>
              <w:rPr>
                <w:rFonts w:ascii="Arial" w:cs="Arial" w:eastAsia="Arial" w:hAnsi="Arial"/>
                <w:sz w:val="16"/>
                <w:szCs w:val="16"/>
                <w:color w:val="auto"/>
              </w:rPr>
              <w:t>(260)</w:t>
            </w: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00" w:type="dxa"/>
            <w:vAlign w:val="bottom"/>
          </w:tcPr>
          <w:p>
            <w:pPr>
              <w:jc w:val="right"/>
              <w:spacing w:after="0"/>
              <w:rPr>
                <w:sz w:val="20"/>
                <w:szCs w:val="20"/>
                <w:color w:val="auto"/>
              </w:rPr>
            </w:pPr>
            <w:r>
              <w:rPr>
                <w:rFonts w:ascii="Arial" w:cs="Arial" w:eastAsia="Arial" w:hAnsi="Arial"/>
                <w:sz w:val="16"/>
                <w:szCs w:val="16"/>
                <w:color w:val="auto"/>
              </w:rPr>
              <w:t>7,179</w:t>
            </w: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00" w:type="dxa"/>
            <w:vAlign w:val="bottom"/>
          </w:tcPr>
          <w:p>
            <w:pPr>
              <w:jc w:val="right"/>
              <w:spacing w:after="0"/>
              <w:rPr>
                <w:sz w:val="20"/>
                <w:szCs w:val="20"/>
                <w:color w:val="auto"/>
              </w:rPr>
            </w:pPr>
            <w:r>
              <w:rPr>
                <w:rFonts w:ascii="Arial" w:cs="Arial" w:eastAsia="Arial" w:hAnsi="Arial"/>
                <w:sz w:val="16"/>
                <w:szCs w:val="16"/>
                <w:color w:val="auto"/>
              </w:rPr>
              <w:t>12,980</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780" w:type="dxa"/>
            <w:vAlign w:val="bottom"/>
            <w:shd w:val="clear" w:color="auto" w:fill="CCEEFF"/>
          </w:tcPr>
          <w:p>
            <w:pPr>
              <w:ind w:left="640"/>
              <w:spacing w:after="0"/>
              <w:rPr>
                <w:sz w:val="20"/>
                <w:szCs w:val="20"/>
                <w:color w:val="auto"/>
              </w:rPr>
            </w:pPr>
            <w:r>
              <w:rPr>
                <w:rFonts w:ascii="Arial" w:cs="Arial" w:eastAsia="Arial" w:hAnsi="Arial"/>
                <w:sz w:val="16"/>
                <w:szCs w:val="16"/>
                <w:color w:val="auto"/>
              </w:rPr>
              <w:t>Unrealized loss on derivative instruments, net</w:t>
            </w:r>
          </w:p>
        </w:tc>
        <w:tc>
          <w:tcPr>
            <w:tcW w:w="8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6,044</w:t>
            </w: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15,442</w:t>
            </w:r>
          </w:p>
        </w:tc>
        <w:tc>
          <w:tcPr>
            <w:tcW w:w="2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5,790</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780" w:type="dxa"/>
            <w:vAlign w:val="bottom"/>
          </w:tcPr>
          <w:p>
            <w:pPr>
              <w:ind w:left="640"/>
              <w:spacing w:after="0"/>
              <w:rPr>
                <w:sz w:val="20"/>
                <w:szCs w:val="20"/>
                <w:color w:val="auto"/>
              </w:rPr>
            </w:pPr>
            <w:r>
              <w:rPr>
                <w:rFonts w:ascii="Arial" w:cs="Arial" w:eastAsia="Arial" w:hAnsi="Arial"/>
                <w:sz w:val="16"/>
                <w:szCs w:val="16"/>
                <w:color w:val="auto"/>
                <w:w w:val="97"/>
              </w:rPr>
              <w:t>Amortization and write-off of unamortized deferred debt issuance costs and accretion of bond discounts</w:t>
            </w:r>
          </w:p>
        </w:tc>
        <w:tc>
          <w:tcPr>
            <w:tcW w:w="80" w:type="dxa"/>
            <w:vAlign w:val="bottom"/>
          </w:tcPr>
          <w:p>
            <w:pPr>
              <w:spacing w:after="0"/>
              <w:rPr>
                <w:sz w:val="17"/>
                <w:szCs w:val="17"/>
                <w:color w:val="auto"/>
              </w:rPr>
            </w:pPr>
          </w:p>
        </w:tc>
        <w:tc>
          <w:tcPr>
            <w:tcW w:w="920" w:type="dxa"/>
            <w:vAlign w:val="bottom"/>
            <w:gridSpan w:val="2"/>
          </w:tcPr>
          <w:p>
            <w:pPr>
              <w:jc w:val="right"/>
              <w:ind w:right="220"/>
              <w:spacing w:after="0"/>
              <w:rPr>
                <w:sz w:val="20"/>
                <w:szCs w:val="20"/>
                <w:color w:val="auto"/>
              </w:rPr>
            </w:pPr>
            <w:r>
              <w:rPr>
                <w:rFonts w:ascii="Arial" w:cs="Arial" w:eastAsia="Arial" w:hAnsi="Arial"/>
                <w:sz w:val="16"/>
                <w:szCs w:val="16"/>
                <w:color w:val="auto"/>
              </w:rPr>
              <w:t>16,862</w:t>
            </w: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00" w:type="dxa"/>
            <w:vAlign w:val="bottom"/>
          </w:tcPr>
          <w:p>
            <w:pPr>
              <w:jc w:val="right"/>
              <w:spacing w:after="0"/>
              <w:rPr>
                <w:sz w:val="20"/>
                <w:szCs w:val="20"/>
                <w:color w:val="auto"/>
              </w:rPr>
            </w:pPr>
            <w:r>
              <w:rPr>
                <w:rFonts w:ascii="Arial" w:cs="Arial" w:eastAsia="Arial" w:hAnsi="Arial"/>
                <w:sz w:val="16"/>
                <w:szCs w:val="16"/>
                <w:color w:val="auto"/>
              </w:rPr>
              <w:t>7,953</w:t>
            </w: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00" w:type="dxa"/>
            <w:vAlign w:val="bottom"/>
          </w:tcPr>
          <w:p>
            <w:pPr>
              <w:jc w:val="right"/>
              <w:spacing w:after="0"/>
              <w:rPr>
                <w:sz w:val="20"/>
                <w:szCs w:val="20"/>
                <w:color w:val="auto"/>
              </w:rPr>
            </w:pPr>
            <w:r>
              <w:rPr>
                <w:rFonts w:ascii="Arial" w:cs="Arial" w:eastAsia="Arial" w:hAnsi="Arial"/>
                <w:sz w:val="16"/>
                <w:szCs w:val="16"/>
                <w:color w:val="auto"/>
              </w:rPr>
              <w:t>9,531</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780" w:type="dxa"/>
            <w:vAlign w:val="bottom"/>
            <w:shd w:val="clear" w:color="auto" w:fill="CCEEFF"/>
          </w:tcPr>
          <w:p>
            <w:pPr>
              <w:ind w:left="640"/>
              <w:spacing w:after="0"/>
              <w:rPr>
                <w:sz w:val="20"/>
                <w:szCs w:val="20"/>
                <w:color w:val="auto"/>
              </w:rPr>
            </w:pPr>
            <w:r>
              <w:rPr>
                <w:rFonts w:ascii="Arial" w:cs="Arial" w:eastAsia="Arial" w:hAnsi="Arial"/>
                <w:sz w:val="16"/>
                <w:szCs w:val="16"/>
                <w:color w:val="auto"/>
              </w:rPr>
              <w:t>Amortization of intangible assets</w:t>
            </w:r>
          </w:p>
        </w:tc>
        <w:tc>
          <w:tcPr>
            <w:tcW w:w="8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2,572</w:t>
            </w: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2,093</w:t>
            </w:r>
          </w:p>
        </w:tc>
        <w:tc>
          <w:tcPr>
            <w:tcW w:w="2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3,721</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780" w:type="dxa"/>
            <w:vAlign w:val="bottom"/>
          </w:tcPr>
          <w:p>
            <w:pPr>
              <w:ind w:left="640"/>
              <w:spacing w:after="0"/>
              <w:rPr>
                <w:sz w:val="20"/>
                <w:szCs w:val="20"/>
                <w:color w:val="auto"/>
              </w:rPr>
            </w:pPr>
            <w:r>
              <w:rPr>
                <w:rFonts w:ascii="Arial" w:cs="Arial" w:eastAsia="Arial" w:hAnsi="Arial"/>
                <w:sz w:val="16"/>
                <w:szCs w:val="16"/>
                <w:color w:val="auto"/>
              </w:rPr>
              <w:t>Gain on sale of owned fleet containers, net</w:t>
            </w:r>
          </w:p>
        </w:tc>
        <w:tc>
          <w:tcPr>
            <w:tcW w:w="80" w:type="dxa"/>
            <w:vAlign w:val="bottom"/>
          </w:tcPr>
          <w:p>
            <w:pPr>
              <w:spacing w:after="0"/>
              <w:rPr>
                <w:sz w:val="17"/>
                <w:szCs w:val="17"/>
                <w:color w:val="auto"/>
              </w:rPr>
            </w:pPr>
          </w:p>
        </w:tc>
        <w:tc>
          <w:tcPr>
            <w:tcW w:w="920" w:type="dxa"/>
            <w:vAlign w:val="bottom"/>
            <w:gridSpan w:val="2"/>
          </w:tcPr>
          <w:p>
            <w:pPr>
              <w:jc w:val="right"/>
              <w:ind w:right="180"/>
              <w:spacing w:after="0"/>
              <w:rPr>
                <w:sz w:val="20"/>
                <w:szCs w:val="20"/>
                <w:color w:val="auto"/>
              </w:rPr>
            </w:pPr>
            <w:r>
              <w:rPr>
                <w:rFonts w:ascii="Arial" w:cs="Arial" w:eastAsia="Arial" w:hAnsi="Arial"/>
                <w:sz w:val="16"/>
                <w:szCs w:val="16"/>
                <w:color w:val="auto"/>
              </w:rPr>
              <w:t>(27,230)</w:t>
            </w: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940" w:type="dxa"/>
            <w:vAlign w:val="bottom"/>
            <w:gridSpan w:val="2"/>
          </w:tcPr>
          <w:p>
            <w:pPr>
              <w:jc w:val="right"/>
              <w:ind w:right="180"/>
              <w:spacing w:after="0"/>
              <w:rPr>
                <w:sz w:val="20"/>
                <w:szCs w:val="20"/>
                <w:color w:val="auto"/>
              </w:rPr>
            </w:pPr>
            <w:r>
              <w:rPr>
                <w:rFonts w:ascii="Arial" w:cs="Arial" w:eastAsia="Arial" w:hAnsi="Arial"/>
                <w:sz w:val="16"/>
                <w:szCs w:val="16"/>
                <w:color w:val="auto"/>
              </w:rPr>
              <w:t>(21,397)</w:t>
            </w:r>
          </w:p>
        </w:tc>
        <w:tc>
          <w:tcPr>
            <w:tcW w:w="1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0" w:type="dxa"/>
            <w:vAlign w:val="bottom"/>
            <w:gridSpan w:val="2"/>
          </w:tcPr>
          <w:p>
            <w:pPr>
              <w:jc w:val="right"/>
              <w:ind w:right="40"/>
              <w:spacing w:after="0"/>
              <w:rPr>
                <w:sz w:val="20"/>
                <w:szCs w:val="20"/>
                <w:color w:val="auto"/>
              </w:rPr>
            </w:pPr>
            <w:r>
              <w:rPr>
                <w:rFonts w:ascii="Arial" w:cs="Arial" w:eastAsia="Arial" w:hAnsi="Arial"/>
                <w:sz w:val="16"/>
                <w:szCs w:val="16"/>
                <w:color w:val="auto"/>
              </w:rPr>
              <w:t>(36,071)</w:t>
            </w:r>
          </w:p>
        </w:tc>
        <w:tc>
          <w:tcPr>
            <w:tcW w:w="0" w:type="dxa"/>
            <w:vAlign w:val="bottom"/>
          </w:tcPr>
          <w:p>
            <w:pPr>
              <w:spacing w:after="0"/>
              <w:rPr>
                <w:sz w:val="1"/>
                <w:szCs w:val="1"/>
                <w:color w:val="auto"/>
              </w:rPr>
            </w:pPr>
          </w:p>
        </w:tc>
      </w:tr>
      <w:tr>
        <w:trPr>
          <w:trHeight w:val="203"/>
        </w:trPr>
        <w:tc>
          <w:tcPr>
            <w:tcW w:w="7780" w:type="dxa"/>
            <w:vAlign w:val="bottom"/>
            <w:shd w:val="clear" w:color="auto" w:fill="CCEEFF"/>
          </w:tcPr>
          <w:p>
            <w:pPr>
              <w:ind w:left="640"/>
              <w:spacing w:after="0"/>
              <w:rPr>
                <w:sz w:val="20"/>
                <w:szCs w:val="20"/>
                <w:color w:val="auto"/>
              </w:rPr>
            </w:pPr>
            <w:r>
              <w:rPr>
                <w:rFonts w:ascii="Arial" w:cs="Arial" w:eastAsia="Arial" w:hAnsi="Arial"/>
                <w:sz w:val="16"/>
                <w:szCs w:val="16"/>
                <w:color w:val="auto"/>
              </w:rPr>
              <w:t>Gain on insurance recovery and legal settlement</w:t>
            </w:r>
          </w:p>
        </w:tc>
        <w:tc>
          <w:tcPr>
            <w:tcW w:w="8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300"/>
              <w:spacing w:after="0"/>
              <w:rPr>
                <w:sz w:val="20"/>
                <w:szCs w:val="20"/>
                <w:color w:val="auto"/>
              </w:rPr>
            </w:pPr>
            <w:r>
              <w:rPr>
                <w:rFonts w:ascii="Arial" w:cs="Arial" w:eastAsia="Arial" w:hAnsi="Arial"/>
                <w:sz w:val="16"/>
                <w:szCs w:val="16"/>
                <w:color w:val="auto"/>
              </w:rPr>
              <w:t>—</w:t>
            </w: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320"/>
              <w:spacing w:after="0"/>
              <w:rPr>
                <w:sz w:val="20"/>
                <w:szCs w:val="20"/>
                <w:color w:val="auto"/>
              </w:rPr>
            </w:pPr>
            <w:r>
              <w:rPr>
                <w:rFonts w:ascii="Arial" w:cs="Arial" w:eastAsia="Arial" w:hAnsi="Arial"/>
                <w:sz w:val="16"/>
                <w:szCs w:val="16"/>
                <w:color w:val="auto"/>
              </w:rPr>
              <w:t>—</w:t>
            </w: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0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(8,692)</w:t>
            </w:r>
          </w:p>
        </w:tc>
        <w:tc>
          <w:tcPr>
            <w:tcW w:w="0" w:type="dxa"/>
            <w:vAlign w:val="bottom"/>
          </w:tcPr>
          <w:p>
            <w:pPr>
              <w:spacing w:after="0"/>
              <w:rPr>
                <w:sz w:val="1"/>
                <w:szCs w:val="1"/>
                <w:color w:val="auto"/>
              </w:rPr>
            </w:pPr>
          </w:p>
        </w:tc>
      </w:tr>
      <w:tr>
        <w:trPr>
          <w:trHeight w:val="203"/>
        </w:trPr>
        <w:tc>
          <w:tcPr>
            <w:tcW w:w="7780" w:type="dxa"/>
            <w:vAlign w:val="bottom"/>
          </w:tcPr>
          <w:p>
            <w:pPr>
              <w:ind w:left="640"/>
              <w:spacing w:after="0"/>
              <w:rPr>
                <w:sz w:val="20"/>
                <w:szCs w:val="20"/>
                <w:color w:val="auto"/>
              </w:rPr>
            </w:pPr>
            <w:r>
              <w:rPr>
                <w:rFonts w:ascii="Arial" w:cs="Arial" w:eastAsia="Arial" w:hAnsi="Arial"/>
                <w:sz w:val="16"/>
                <w:szCs w:val="16"/>
                <w:color w:val="auto"/>
              </w:rPr>
              <w:t>Gain on settlement of pre-existing management agreement</w:t>
            </w:r>
          </w:p>
        </w:tc>
        <w:tc>
          <w:tcPr>
            <w:tcW w:w="80" w:type="dxa"/>
            <w:vAlign w:val="bottom"/>
          </w:tcPr>
          <w:p>
            <w:pPr>
              <w:spacing w:after="0"/>
              <w:rPr>
                <w:sz w:val="17"/>
                <w:szCs w:val="17"/>
                <w:color w:val="auto"/>
              </w:rPr>
            </w:pPr>
          </w:p>
        </w:tc>
        <w:tc>
          <w:tcPr>
            <w:tcW w:w="920" w:type="dxa"/>
            <w:vAlign w:val="bottom"/>
            <w:gridSpan w:val="2"/>
          </w:tcPr>
          <w:p>
            <w:pPr>
              <w:jc w:val="right"/>
              <w:ind w:right="300"/>
              <w:spacing w:after="0"/>
              <w:rPr>
                <w:sz w:val="20"/>
                <w:szCs w:val="20"/>
                <w:color w:val="auto"/>
              </w:rPr>
            </w:pPr>
            <w:r>
              <w:rPr>
                <w:rFonts w:ascii="Arial" w:cs="Arial" w:eastAsia="Arial" w:hAnsi="Arial"/>
                <w:sz w:val="16"/>
                <w:szCs w:val="16"/>
                <w:color w:val="auto"/>
              </w:rPr>
              <w:t>—</w:t>
            </w: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940" w:type="dxa"/>
            <w:vAlign w:val="bottom"/>
            <w:gridSpan w:val="2"/>
          </w:tcPr>
          <w:p>
            <w:pPr>
              <w:jc w:val="right"/>
              <w:ind w:right="180"/>
              <w:spacing w:after="0"/>
              <w:rPr>
                <w:sz w:val="20"/>
                <w:szCs w:val="20"/>
                <w:color w:val="auto"/>
              </w:rPr>
            </w:pPr>
            <w:r>
              <w:rPr>
                <w:rFonts w:ascii="Arial" w:cs="Arial" w:eastAsia="Arial" w:hAnsi="Arial"/>
                <w:sz w:val="16"/>
                <w:szCs w:val="16"/>
                <w:color w:val="auto"/>
              </w:rPr>
              <w:t>(1,823)</w:t>
            </w:r>
          </w:p>
        </w:tc>
        <w:tc>
          <w:tcPr>
            <w:tcW w:w="1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3"/>
        </w:trPr>
        <w:tc>
          <w:tcPr>
            <w:tcW w:w="7780" w:type="dxa"/>
            <w:vAlign w:val="bottom"/>
            <w:shd w:val="clear" w:color="auto" w:fill="CCEEFF"/>
          </w:tcPr>
          <w:p>
            <w:pPr>
              <w:ind w:left="640"/>
              <w:spacing w:after="0"/>
              <w:rPr>
                <w:sz w:val="20"/>
                <w:szCs w:val="20"/>
                <w:color w:val="auto"/>
              </w:rPr>
            </w:pPr>
            <w:r>
              <w:rPr>
                <w:rFonts w:ascii="Arial" w:cs="Arial" w:eastAsia="Arial" w:hAnsi="Arial"/>
                <w:sz w:val="16"/>
                <w:szCs w:val="16"/>
                <w:color w:val="auto"/>
              </w:rPr>
              <w:t>Share-based compensation expense</w:t>
            </w:r>
          </w:p>
        </w:tc>
        <w:tc>
          <w:tcPr>
            <w:tcW w:w="8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4,723</w:t>
            </w: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4,388</w:t>
            </w:r>
          </w:p>
        </w:tc>
        <w:tc>
          <w:tcPr>
            <w:tcW w:w="2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7,355</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780" w:type="dxa"/>
            <w:vAlign w:val="bottom"/>
          </w:tcPr>
          <w:p>
            <w:pPr>
              <w:ind w:left="640"/>
              <w:spacing w:after="0"/>
              <w:rPr>
                <w:sz w:val="20"/>
                <w:szCs w:val="20"/>
                <w:color w:val="auto"/>
              </w:rPr>
            </w:pPr>
            <w:r>
              <w:rPr>
                <w:rFonts w:ascii="Arial" w:cs="Arial" w:eastAsia="Arial" w:hAnsi="Arial"/>
                <w:sz w:val="16"/>
                <w:szCs w:val="16"/>
                <w:color w:val="auto"/>
              </w:rPr>
              <w:t>Decrease (increase) in:</w:t>
            </w:r>
          </w:p>
        </w:tc>
        <w:tc>
          <w:tcPr>
            <w:tcW w:w="8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780" w:type="dxa"/>
            <w:vAlign w:val="bottom"/>
            <w:shd w:val="clear" w:color="auto" w:fill="CCEEFF"/>
          </w:tcPr>
          <w:p>
            <w:pPr>
              <w:ind w:left="960"/>
              <w:spacing w:after="0"/>
              <w:rPr>
                <w:sz w:val="20"/>
                <w:szCs w:val="20"/>
                <w:color w:val="auto"/>
              </w:rPr>
            </w:pPr>
            <w:r>
              <w:rPr>
                <w:rFonts w:ascii="Arial" w:cs="Arial" w:eastAsia="Arial" w:hAnsi="Arial"/>
                <w:sz w:val="16"/>
                <w:szCs w:val="16"/>
                <w:color w:val="auto"/>
              </w:rPr>
              <w:t>Accounts receivable, net</w:t>
            </w:r>
          </w:p>
        </w:tc>
        <w:tc>
          <w:tcPr>
            <w:tcW w:w="8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11,539</w:t>
            </w: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25,530</w:t>
            </w:r>
          </w:p>
        </w:tc>
        <w:tc>
          <w:tcPr>
            <w:tcW w:w="2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0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(34,113)</w:t>
            </w:r>
          </w:p>
        </w:tc>
        <w:tc>
          <w:tcPr>
            <w:tcW w:w="0" w:type="dxa"/>
            <w:vAlign w:val="bottom"/>
          </w:tcPr>
          <w:p>
            <w:pPr>
              <w:spacing w:after="0"/>
              <w:rPr>
                <w:sz w:val="1"/>
                <w:szCs w:val="1"/>
                <w:color w:val="auto"/>
              </w:rPr>
            </w:pPr>
          </w:p>
        </w:tc>
      </w:tr>
      <w:tr>
        <w:trPr>
          <w:trHeight w:val="203"/>
        </w:trPr>
        <w:tc>
          <w:tcPr>
            <w:tcW w:w="7780" w:type="dxa"/>
            <w:vAlign w:val="bottom"/>
          </w:tcPr>
          <w:p>
            <w:pPr>
              <w:ind w:left="960"/>
              <w:spacing w:after="0"/>
              <w:rPr>
                <w:sz w:val="20"/>
                <w:szCs w:val="20"/>
                <w:color w:val="auto"/>
              </w:rPr>
            </w:pPr>
            <w:r>
              <w:rPr>
                <w:rFonts w:ascii="Arial" w:cs="Arial" w:eastAsia="Arial" w:hAnsi="Arial"/>
                <w:sz w:val="16"/>
                <w:szCs w:val="16"/>
                <w:color w:val="auto"/>
              </w:rPr>
              <w:t>Trading containers, net</w:t>
            </w:r>
          </w:p>
        </w:tc>
        <w:tc>
          <w:tcPr>
            <w:tcW w:w="80" w:type="dxa"/>
            <w:vAlign w:val="bottom"/>
          </w:tcPr>
          <w:p>
            <w:pPr>
              <w:spacing w:after="0"/>
              <w:rPr>
                <w:sz w:val="17"/>
                <w:szCs w:val="17"/>
                <w:color w:val="auto"/>
              </w:rPr>
            </w:pPr>
          </w:p>
        </w:tc>
        <w:tc>
          <w:tcPr>
            <w:tcW w:w="920" w:type="dxa"/>
            <w:vAlign w:val="bottom"/>
            <w:gridSpan w:val="2"/>
          </w:tcPr>
          <w:p>
            <w:pPr>
              <w:jc w:val="right"/>
              <w:ind w:right="220"/>
              <w:spacing w:after="0"/>
              <w:rPr>
                <w:sz w:val="20"/>
                <w:szCs w:val="20"/>
                <w:color w:val="auto"/>
              </w:rPr>
            </w:pPr>
            <w:r>
              <w:rPr>
                <w:rFonts w:ascii="Arial" w:cs="Arial" w:eastAsia="Arial" w:hAnsi="Arial"/>
                <w:sz w:val="16"/>
                <w:szCs w:val="16"/>
                <w:color w:val="auto"/>
              </w:rPr>
              <w:t>7,211</w:t>
            </w: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00" w:type="dxa"/>
            <w:vAlign w:val="bottom"/>
          </w:tcPr>
          <w:p>
            <w:pPr>
              <w:jc w:val="right"/>
              <w:spacing w:after="0"/>
              <w:rPr>
                <w:sz w:val="20"/>
                <w:szCs w:val="20"/>
                <w:color w:val="auto"/>
              </w:rPr>
            </w:pPr>
            <w:r>
              <w:rPr>
                <w:rFonts w:ascii="Arial" w:cs="Arial" w:eastAsia="Arial" w:hAnsi="Arial"/>
                <w:sz w:val="16"/>
                <w:szCs w:val="16"/>
                <w:color w:val="auto"/>
              </w:rPr>
              <w:t>19,549</w:t>
            </w: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0" w:type="dxa"/>
            <w:vAlign w:val="bottom"/>
            <w:gridSpan w:val="2"/>
          </w:tcPr>
          <w:p>
            <w:pPr>
              <w:jc w:val="right"/>
              <w:ind w:right="40"/>
              <w:spacing w:after="0"/>
              <w:rPr>
                <w:sz w:val="20"/>
                <w:szCs w:val="20"/>
                <w:color w:val="auto"/>
              </w:rPr>
            </w:pPr>
            <w:r>
              <w:rPr>
                <w:rFonts w:ascii="Arial" w:cs="Arial" w:eastAsia="Arial" w:hAnsi="Arial"/>
                <w:sz w:val="16"/>
                <w:szCs w:val="16"/>
                <w:color w:val="auto"/>
              </w:rPr>
              <w:t>(30,100)</w:t>
            </w:r>
          </w:p>
        </w:tc>
        <w:tc>
          <w:tcPr>
            <w:tcW w:w="0" w:type="dxa"/>
            <w:vAlign w:val="bottom"/>
          </w:tcPr>
          <w:p>
            <w:pPr>
              <w:spacing w:after="0"/>
              <w:rPr>
                <w:sz w:val="1"/>
                <w:szCs w:val="1"/>
                <w:color w:val="auto"/>
              </w:rPr>
            </w:pPr>
          </w:p>
        </w:tc>
      </w:tr>
      <w:tr>
        <w:trPr>
          <w:trHeight w:val="203"/>
        </w:trPr>
        <w:tc>
          <w:tcPr>
            <w:tcW w:w="7780" w:type="dxa"/>
            <w:vAlign w:val="bottom"/>
            <w:shd w:val="clear" w:color="auto" w:fill="CCEEFF"/>
          </w:tcPr>
          <w:p>
            <w:pPr>
              <w:ind w:left="960"/>
              <w:spacing w:after="0"/>
              <w:rPr>
                <w:sz w:val="20"/>
                <w:szCs w:val="20"/>
                <w:color w:val="auto"/>
              </w:rPr>
            </w:pPr>
            <w:r>
              <w:rPr>
                <w:rFonts w:ascii="Arial" w:cs="Arial" w:eastAsia="Arial" w:hAnsi="Arial"/>
                <w:sz w:val="16"/>
                <w:szCs w:val="16"/>
                <w:color w:val="auto"/>
              </w:rPr>
              <w:t>Receipt of payments on finance leases, net of income earned</w:t>
            </w:r>
          </w:p>
        </w:tc>
        <w:tc>
          <w:tcPr>
            <w:tcW w:w="8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44,569</w:t>
            </w: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49,796</w:t>
            </w:r>
          </w:p>
        </w:tc>
        <w:tc>
          <w:tcPr>
            <w:tcW w:w="2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63,847</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780" w:type="dxa"/>
            <w:vAlign w:val="bottom"/>
          </w:tcPr>
          <w:p>
            <w:pPr>
              <w:ind w:left="960"/>
              <w:spacing w:after="0"/>
              <w:rPr>
                <w:sz w:val="20"/>
                <w:szCs w:val="20"/>
                <w:color w:val="auto"/>
              </w:rPr>
            </w:pPr>
            <w:r>
              <w:rPr>
                <w:rFonts w:ascii="Arial" w:cs="Arial" w:eastAsia="Arial" w:hAnsi="Arial"/>
                <w:sz w:val="16"/>
                <w:szCs w:val="16"/>
                <w:color w:val="auto"/>
              </w:rPr>
              <w:t>Interest portion of container leaseback financing receivable</w:t>
            </w:r>
          </w:p>
        </w:tc>
        <w:tc>
          <w:tcPr>
            <w:tcW w:w="80" w:type="dxa"/>
            <w:vAlign w:val="bottom"/>
          </w:tcPr>
          <w:p>
            <w:pPr>
              <w:spacing w:after="0"/>
              <w:rPr>
                <w:sz w:val="17"/>
                <w:szCs w:val="17"/>
                <w:color w:val="auto"/>
              </w:rPr>
            </w:pPr>
          </w:p>
        </w:tc>
        <w:tc>
          <w:tcPr>
            <w:tcW w:w="920" w:type="dxa"/>
            <w:vAlign w:val="bottom"/>
            <w:gridSpan w:val="2"/>
          </w:tcPr>
          <w:p>
            <w:pPr>
              <w:jc w:val="right"/>
              <w:ind w:right="180"/>
              <w:spacing w:after="0"/>
              <w:rPr>
                <w:sz w:val="20"/>
                <w:szCs w:val="20"/>
                <w:color w:val="auto"/>
              </w:rPr>
            </w:pPr>
            <w:r>
              <w:rPr>
                <w:rFonts w:ascii="Arial" w:cs="Arial" w:eastAsia="Arial" w:hAnsi="Arial"/>
                <w:sz w:val="16"/>
                <w:szCs w:val="16"/>
                <w:color w:val="auto"/>
              </w:rPr>
              <w:t>(933)</w:t>
            </w: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940" w:type="dxa"/>
            <w:vAlign w:val="bottom"/>
            <w:gridSpan w:val="2"/>
          </w:tcPr>
          <w:p>
            <w:pPr>
              <w:jc w:val="right"/>
              <w:ind w:right="180"/>
              <w:spacing w:after="0"/>
              <w:rPr>
                <w:sz w:val="20"/>
                <w:szCs w:val="20"/>
                <w:color w:val="auto"/>
              </w:rPr>
            </w:pPr>
            <w:r>
              <w:rPr>
                <w:rFonts w:ascii="Arial" w:cs="Arial" w:eastAsia="Arial" w:hAnsi="Arial"/>
                <w:sz w:val="16"/>
                <w:szCs w:val="16"/>
                <w:color w:val="auto"/>
              </w:rPr>
              <w:t>(2,286)</w:t>
            </w:r>
          </w:p>
        </w:tc>
        <w:tc>
          <w:tcPr>
            <w:tcW w:w="1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3"/>
        </w:trPr>
        <w:tc>
          <w:tcPr>
            <w:tcW w:w="7780" w:type="dxa"/>
            <w:vAlign w:val="bottom"/>
            <w:shd w:val="clear" w:color="auto" w:fill="CCEEFF"/>
          </w:tcPr>
          <w:p>
            <w:pPr>
              <w:ind w:left="960"/>
              <w:spacing w:after="0"/>
              <w:rPr>
                <w:sz w:val="20"/>
                <w:szCs w:val="20"/>
                <w:color w:val="auto"/>
              </w:rPr>
            </w:pPr>
            <w:r>
              <w:rPr>
                <w:rFonts w:ascii="Arial" w:cs="Arial" w:eastAsia="Arial" w:hAnsi="Arial"/>
                <w:sz w:val="16"/>
                <w:szCs w:val="16"/>
                <w:color w:val="auto"/>
              </w:rPr>
              <w:t>Prepaid expenses and other current assets</w:t>
            </w:r>
          </w:p>
        </w:tc>
        <w:tc>
          <w:tcPr>
            <w:tcW w:w="8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1,103</w:t>
            </w: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8,693</w:t>
            </w:r>
          </w:p>
        </w:tc>
        <w:tc>
          <w:tcPr>
            <w:tcW w:w="2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12,072</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780" w:type="dxa"/>
            <w:vAlign w:val="bottom"/>
          </w:tcPr>
          <w:p>
            <w:pPr>
              <w:ind w:left="960"/>
              <w:spacing w:after="0"/>
              <w:rPr>
                <w:sz w:val="20"/>
                <w:szCs w:val="20"/>
                <w:color w:val="auto"/>
              </w:rPr>
            </w:pPr>
            <w:r>
              <w:rPr>
                <w:rFonts w:ascii="Arial" w:cs="Arial" w:eastAsia="Arial" w:hAnsi="Arial"/>
                <w:sz w:val="16"/>
                <w:szCs w:val="16"/>
                <w:color w:val="auto"/>
              </w:rPr>
              <w:t>Due from affiliates, net</w:t>
            </w:r>
          </w:p>
        </w:tc>
        <w:tc>
          <w:tcPr>
            <w:tcW w:w="80" w:type="dxa"/>
            <w:vAlign w:val="bottom"/>
          </w:tcPr>
          <w:p>
            <w:pPr>
              <w:spacing w:after="0"/>
              <w:rPr>
                <w:sz w:val="17"/>
                <w:szCs w:val="17"/>
                <w:color w:val="auto"/>
              </w:rPr>
            </w:pPr>
          </w:p>
        </w:tc>
        <w:tc>
          <w:tcPr>
            <w:tcW w:w="920" w:type="dxa"/>
            <w:vAlign w:val="bottom"/>
            <w:gridSpan w:val="2"/>
          </w:tcPr>
          <w:p>
            <w:pPr>
              <w:jc w:val="right"/>
              <w:ind w:right="220"/>
              <w:spacing w:after="0"/>
              <w:rPr>
                <w:sz w:val="20"/>
                <w:szCs w:val="20"/>
                <w:color w:val="auto"/>
              </w:rPr>
            </w:pPr>
            <w:r>
              <w:rPr>
                <w:rFonts w:ascii="Arial" w:cs="Arial" w:eastAsia="Arial" w:hAnsi="Arial"/>
                <w:sz w:val="16"/>
                <w:szCs w:val="16"/>
                <w:color w:val="auto"/>
              </w:rPr>
              <w:t>371</w:t>
            </w: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940" w:type="dxa"/>
            <w:vAlign w:val="bottom"/>
            <w:gridSpan w:val="2"/>
          </w:tcPr>
          <w:p>
            <w:pPr>
              <w:jc w:val="right"/>
              <w:ind w:right="180"/>
              <w:spacing w:after="0"/>
              <w:rPr>
                <w:sz w:val="20"/>
                <w:szCs w:val="20"/>
                <w:color w:val="auto"/>
              </w:rPr>
            </w:pPr>
            <w:r>
              <w:rPr>
                <w:rFonts w:ascii="Arial" w:cs="Arial" w:eastAsia="Arial" w:hAnsi="Arial"/>
                <w:sz w:val="16"/>
                <w:szCs w:val="16"/>
                <w:color w:val="auto"/>
              </w:rPr>
              <w:t>(39)</w:t>
            </w:r>
          </w:p>
        </w:tc>
        <w:tc>
          <w:tcPr>
            <w:tcW w:w="1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0" w:type="dxa"/>
            <w:vAlign w:val="bottom"/>
            <w:gridSpan w:val="2"/>
          </w:tcPr>
          <w:p>
            <w:pPr>
              <w:jc w:val="right"/>
              <w:ind w:right="40"/>
              <w:spacing w:after="0"/>
              <w:rPr>
                <w:sz w:val="20"/>
                <w:szCs w:val="20"/>
                <w:color w:val="auto"/>
              </w:rPr>
            </w:pPr>
            <w:r>
              <w:rPr>
                <w:rFonts w:ascii="Arial" w:cs="Arial" w:eastAsia="Arial" w:hAnsi="Arial"/>
                <w:sz w:val="16"/>
                <w:szCs w:val="16"/>
                <w:color w:val="auto"/>
              </w:rPr>
              <w:t>(558)</w:t>
            </w:r>
          </w:p>
        </w:tc>
        <w:tc>
          <w:tcPr>
            <w:tcW w:w="0" w:type="dxa"/>
            <w:vAlign w:val="bottom"/>
          </w:tcPr>
          <w:p>
            <w:pPr>
              <w:spacing w:after="0"/>
              <w:rPr>
                <w:sz w:val="1"/>
                <w:szCs w:val="1"/>
                <w:color w:val="auto"/>
              </w:rPr>
            </w:pPr>
          </w:p>
        </w:tc>
      </w:tr>
      <w:tr>
        <w:trPr>
          <w:trHeight w:val="203"/>
        </w:trPr>
        <w:tc>
          <w:tcPr>
            <w:tcW w:w="7780" w:type="dxa"/>
            <w:vAlign w:val="bottom"/>
            <w:shd w:val="clear" w:color="auto" w:fill="CCEEFF"/>
          </w:tcPr>
          <w:p>
            <w:pPr>
              <w:ind w:left="960"/>
              <w:spacing w:after="0"/>
              <w:rPr>
                <w:sz w:val="20"/>
                <w:szCs w:val="20"/>
                <w:color w:val="auto"/>
              </w:rPr>
            </w:pPr>
            <w:r>
              <w:rPr>
                <w:rFonts w:ascii="Arial" w:cs="Arial" w:eastAsia="Arial" w:hAnsi="Arial"/>
                <w:sz w:val="16"/>
                <w:szCs w:val="16"/>
                <w:color w:val="auto"/>
              </w:rPr>
              <w:t>Other assets</w:t>
            </w:r>
          </w:p>
        </w:tc>
        <w:tc>
          <w:tcPr>
            <w:tcW w:w="8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502</w:t>
            </w: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(10,000)</w:t>
            </w: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1,603</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780" w:type="dxa"/>
            <w:vAlign w:val="bottom"/>
          </w:tcPr>
          <w:p>
            <w:pPr>
              <w:ind w:left="640"/>
              <w:spacing w:after="0"/>
              <w:rPr>
                <w:sz w:val="20"/>
                <w:szCs w:val="20"/>
                <w:color w:val="auto"/>
              </w:rPr>
            </w:pPr>
            <w:r>
              <w:rPr>
                <w:rFonts w:ascii="Arial" w:cs="Arial" w:eastAsia="Arial" w:hAnsi="Arial"/>
                <w:sz w:val="16"/>
                <w:szCs w:val="16"/>
                <w:color w:val="auto"/>
              </w:rPr>
              <w:t>Increase (decrease) in:</w:t>
            </w:r>
          </w:p>
        </w:tc>
        <w:tc>
          <w:tcPr>
            <w:tcW w:w="8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780" w:type="dxa"/>
            <w:vAlign w:val="bottom"/>
            <w:shd w:val="clear" w:color="auto" w:fill="CCEEFF"/>
          </w:tcPr>
          <w:p>
            <w:pPr>
              <w:ind w:left="960"/>
              <w:spacing w:after="0"/>
              <w:rPr>
                <w:sz w:val="20"/>
                <w:szCs w:val="20"/>
                <w:color w:val="auto"/>
              </w:rPr>
            </w:pPr>
            <w:r>
              <w:rPr>
                <w:rFonts w:ascii="Arial" w:cs="Arial" w:eastAsia="Arial" w:hAnsi="Arial"/>
                <w:sz w:val="16"/>
                <w:szCs w:val="16"/>
                <w:color w:val="auto"/>
              </w:rPr>
              <w:t>Accounts payable and accrued expenses</w:t>
            </w:r>
          </w:p>
        </w:tc>
        <w:tc>
          <w:tcPr>
            <w:tcW w:w="8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981</w:t>
            </w: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(4,363)</w:t>
            </w: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808</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780" w:type="dxa"/>
            <w:vAlign w:val="bottom"/>
          </w:tcPr>
          <w:p>
            <w:pPr>
              <w:ind w:left="960"/>
              <w:spacing w:after="0"/>
              <w:rPr>
                <w:sz w:val="20"/>
                <w:szCs w:val="20"/>
                <w:color w:val="auto"/>
              </w:rPr>
            </w:pPr>
            <w:r>
              <w:rPr>
                <w:rFonts w:ascii="Arial" w:cs="Arial" w:eastAsia="Arial" w:hAnsi="Arial"/>
                <w:sz w:val="16"/>
                <w:szCs w:val="16"/>
                <w:color w:val="auto"/>
              </w:rPr>
              <w:t>Other liabilities</w:t>
            </w:r>
          </w:p>
        </w:tc>
        <w:tc>
          <w:tcPr>
            <w:tcW w:w="80" w:type="dxa"/>
            <w:vAlign w:val="bottom"/>
          </w:tcPr>
          <w:p>
            <w:pPr>
              <w:spacing w:after="0"/>
              <w:rPr>
                <w:sz w:val="17"/>
                <w:szCs w:val="17"/>
                <w:color w:val="auto"/>
              </w:rPr>
            </w:pPr>
          </w:p>
        </w:tc>
        <w:tc>
          <w:tcPr>
            <w:tcW w:w="920" w:type="dxa"/>
            <w:vAlign w:val="bottom"/>
            <w:gridSpan w:val="2"/>
          </w:tcPr>
          <w:p>
            <w:pPr>
              <w:jc w:val="right"/>
              <w:ind w:right="180"/>
              <w:spacing w:after="0"/>
              <w:rPr>
                <w:sz w:val="20"/>
                <w:szCs w:val="20"/>
                <w:color w:val="auto"/>
              </w:rPr>
            </w:pPr>
            <w:r>
              <w:rPr>
                <w:rFonts w:ascii="Arial" w:cs="Arial" w:eastAsia="Arial" w:hAnsi="Arial"/>
                <w:sz w:val="16"/>
                <w:szCs w:val="16"/>
                <w:color w:val="auto"/>
              </w:rPr>
              <w:t>(1,354)</w:t>
            </w: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00" w:type="dxa"/>
            <w:vAlign w:val="bottom"/>
          </w:tcPr>
          <w:p>
            <w:pPr>
              <w:jc w:val="right"/>
              <w:spacing w:after="0"/>
              <w:rPr>
                <w:sz w:val="20"/>
                <w:szCs w:val="20"/>
                <w:color w:val="auto"/>
              </w:rPr>
            </w:pPr>
            <w:r>
              <w:rPr>
                <w:rFonts w:ascii="Arial" w:cs="Arial" w:eastAsia="Arial" w:hAnsi="Arial"/>
                <w:sz w:val="16"/>
                <w:szCs w:val="16"/>
                <w:color w:val="auto"/>
              </w:rPr>
              <w:t>13,519</w:t>
            </w: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0" w:type="dxa"/>
            <w:vAlign w:val="bottom"/>
            <w:gridSpan w:val="2"/>
          </w:tcPr>
          <w:p>
            <w:pPr>
              <w:jc w:val="right"/>
              <w:ind w:right="40"/>
              <w:spacing w:after="0"/>
              <w:rPr>
                <w:sz w:val="20"/>
                <w:szCs w:val="20"/>
                <w:color w:val="auto"/>
              </w:rPr>
            </w:pPr>
            <w:r>
              <w:rPr>
                <w:rFonts w:ascii="Arial" w:cs="Arial" w:eastAsia="Arial" w:hAnsi="Arial"/>
                <w:sz w:val="16"/>
                <w:szCs w:val="16"/>
                <w:color w:val="auto"/>
              </w:rPr>
              <w:t>(235)</w:t>
            </w:r>
          </w:p>
        </w:tc>
        <w:tc>
          <w:tcPr>
            <w:tcW w:w="0" w:type="dxa"/>
            <w:vAlign w:val="bottom"/>
          </w:tcPr>
          <w:p>
            <w:pPr>
              <w:spacing w:after="0"/>
              <w:rPr>
                <w:sz w:val="1"/>
                <w:szCs w:val="1"/>
                <w:color w:val="auto"/>
              </w:rPr>
            </w:pPr>
          </w:p>
        </w:tc>
      </w:tr>
      <w:tr>
        <w:trPr>
          <w:trHeight w:val="202"/>
        </w:trPr>
        <w:tc>
          <w:tcPr>
            <w:tcW w:w="7780" w:type="dxa"/>
            <w:vAlign w:val="bottom"/>
            <w:shd w:val="clear" w:color="auto" w:fill="CCEEFF"/>
          </w:tcPr>
          <w:p>
            <w:pPr>
              <w:ind w:left="960"/>
              <w:spacing w:after="0"/>
              <w:rPr>
                <w:sz w:val="20"/>
                <w:szCs w:val="20"/>
                <w:color w:val="auto"/>
              </w:rPr>
            </w:pPr>
            <w:r>
              <w:rPr>
                <w:rFonts w:ascii="Arial" w:cs="Arial" w:eastAsia="Arial" w:hAnsi="Arial"/>
                <w:sz w:val="16"/>
                <w:szCs w:val="16"/>
                <w:color w:val="auto"/>
              </w:rPr>
              <w:t>Due to container investors, net</w:t>
            </w:r>
          </w:p>
        </w:tc>
        <w:tc>
          <w:tcPr>
            <w:tcW w:w="8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(3,281)</w:t>
            </w: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(6,407)</w:t>
            </w: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0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611</w:t>
            </w:r>
          </w:p>
        </w:tc>
        <w:tc>
          <w:tcPr>
            <w:tcW w:w="0" w:type="dxa"/>
            <w:vAlign w:val="bottom"/>
          </w:tcPr>
          <w:p>
            <w:pPr>
              <w:spacing w:after="0"/>
              <w:rPr>
                <w:sz w:val="1"/>
                <w:szCs w:val="1"/>
                <w:color w:val="auto"/>
              </w:rPr>
            </w:pPr>
          </w:p>
        </w:tc>
      </w:tr>
      <w:tr>
        <w:trPr>
          <w:trHeight w:val="203"/>
        </w:trPr>
        <w:tc>
          <w:tcPr>
            <w:tcW w:w="7780" w:type="dxa"/>
            <w:vAlign w:val="bottom"/>
          </w:tcPr>
          <w:p>
            <w:pPr>
              <w:ind w:left="960"/>
              <w:spacing w:after="0"/>
              <w:rPr>
                <w:sz w:val="20"/>
                <w:szCs w:val="20"/>
                <w:color w:val="auto"/>
              </w:rPr>
            </w:pPr>
            <w:r>
              <w:rPr>
                <w:rFonts w:ascii="Arial" w:cs="Arial" w:eastAsia="Arial" w:hAnsi="Arial"/>
                <w:sz w:val="16"/>
                <w:szCs w:val="16"/>
                <w:color w:val="auto"/>
              </w:rPr>
              <w:t>Long-term income tax payable</w:t>
            </w:r>
          </w:p>
        </w:tc>
        <w:tc>
          <w:tcPr>
            <w:tcW w:w="80" w:type="dxa"/>
            <w:vAlign w:val="bottom"/>
          </w:tcPr>
          <w:p>
            <w:pPr>
              <w:spacing w:after="0"/>
              <w:rPr>
                <w:sz w:val="17"/>
                <w:szCs w:val="17"/>
                <w:color w:val="auto"/>
              </w:rPr>
            </w:pPr>
          </w:p>
        </w:tc>
        <w:tc>
          <w:tcPr>
            <w:tcW w:w="920" w:type="dxa"/>
            <w:vAlign w:val="bottom"/>
            <w:gridSpan w:val="2"/>
          </w:tcPr>
          <w:p>
            <w:pPr>
              <w:jc w:val="right"/>
              <w:ind w:right="220"/>
              <w:spacing w:after="0"/>
              <w:rPr>
                <w:sz w:val="20"/>
                <w:szCs w:val="20"/>
                <w:color w:val="auto"/>
              </w:rPr>
            </w:pPr>
            <w:r>
              <w:rPr>
                <w:rFonts w:ascii="Arial" w:cs="Arial" w:eastAsia="Arial" w:hAnsi="Arial"/>
                <w:sz w:val="16"/>
                <w:szCs w:val="16"/>
                <w:color w:val="auto"/>
              </w:rPr>
              <w:t>138</w:t>
            </w: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00" w:type="dxa"/>
            <w:vAlign w:val="bottom"/>
          </w:tcPr>
          <w:p>
            <w:pPr>
              <w:jc w:val="right"/>
              <w:spacing w:after="0"/>
              <w:rPr>
                <w:sz w:val="20"/>
                <w:szCs w:val="20"/>
                <w:color w:val="auto"/>
              </w:rPr>
            </w:pPr>
            <w:r>
              <w:rPr>
                <w:rFonts w:ascii="Arial" w:cs="Arial" w:eastAsia="Arial" w:hAnsi="Arial"/>
                <w:sz w:val="16"/>
                <w:szCs w:val="16"/>
                <w:color w:val="auto"/>
              </w:rPr>
              <w:t>339</w:t>
            </w: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00" w:type="dxa"/>
            <w:vAlign w:val="bottom"/>
          </w:tcPr>
          <w:p>
            <w:pPr>
              <w:jc w:val="right"/>
              <w:spacing w:after="0"/>
              <w:rPr>
                <w:sz w:val="20"/>
                <w:szCs w:val="20"/>
                <w:color w:val="auto"/>
              </w:rPr>
            </w:pPr>
            <w:r>
              <w:rPr>
                <w:rFonts w:ascii="Arial" w:cs="Arial" w:eastAsia="Arial" w:hAnsi="Arial"/>
                <w:sz w:val="16"/>
                <w:szCs w:val="16"/>
                <w:color w:val="auto"/>
              </w:rPr>
              <w:t>489</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780" w:type="dxa"/>
            <w:vAlign w:val="bottom"/>
            <w:shd w:val="clear" w:color="auto" w:fill="CCEEFF"/>
          </w:tcPr>
          <w:p>
            <w:pPr>
              <w:ind w:left="960"/>
              <w:spacing w:after="0"/>
              <w:rPr>
                <w:sz w:val="20"/>
                <w:szCs w:val="20"/>
                <w:color w:val="auto"/>
              </w:rPr>
            </w:pPr>
            <w:r>
              <w:rPr>
                <w:rFonts w:ascii="Arial" w:cs="Arial" w:eastAsia="Arial" w:hAnsi="Arial"/>
                <w:sz w:val="16"/>
                <w:szCs w:val="16"/>
                <w:color w:val="auto"/>
              </w:rPr>
              <w:t>Deferred taxes, net</w:t>
            </w:r>
          </w:p>
        </w:tc>
        <w:tc>
          <w:tcPr>
            <w:tcW w:w="8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(972)</w:t>
            </w: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1,449</w:t>
            </w:r>
          </w:p>
        </w:tc>
        <w:tc>
          <w:tcPr>
            <w:tcW w:w="2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634</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7"/>
        </w:trPr>
        <w:tc>
          <w:tcPr>
            <w:tcW w:w="7780" w:type="dxa"/>
            <w:vAlign w:val="bottom"/>
          </w:tcPr>
          <w:p>
            <w:pPr>
              <w:ind w:left="1300"/>
              <w:spacing w:after="0"/>
              <w:rPr>
                <w:sz w:val="20"/>
                <w:szCs w:val="20"/>
                <w:color w:val="auto"/>
              </w:rPr>
            </w:pPr>
            <w:r>
              <w:rPr>
                <w:rFonts w:ascii="Arial" w:cs="Arial" w:eastAsia="Arial" w:hAnsi="Arial"/>
                <w:sz w:val="16"/>
                <w:szCs w:val="16"/>
                <w:color w:val="auto"/>
              </w:rPr>
              <w:t>Total adjustments</w:t>
            </w:r>
          </w:p>
        </w:tc>
        <w:tc>
          <w:tcPr>
            <w:tcW w:w="80" w:type="dxa"/>
            <w:vAlign w:val="bottom"/>
            <w:tcBorders>
              <w:top w:val="single" w:sz="8" w:color="auto"/>
              <w:bottom w:val="single" w:sz="8" w:color="auto"/>
            </w:tcBorders>
          </w:tcPr>
          <w:p>
            <w:pPr>
              <w:spacing w:after="0"/>
              <w:rPr>
                <w:sz w:val="18"/>
                <w:szCs w:val="18"/>
                <w:color w:val="auto"/>
              </w:rPr>
            </w:pPr>
          </w:p>
        </w:tc>
        <w:tc>
          <w:tcPr>
            <w:tcW w:w="7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322,582</w:t>
            </w:r>
          </w:p>
        </w:tc>
        <w:tc>
          <w:tcPr>
            <w:tcW w:w="2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Borders>
              <w:top w:val="single" w:sz="8" w:color="auto"/>
              <w:bottom w:val="single" w:sz="8" w:color="auto"/>
            </w:tcBorders>
          </w:tcPr>
          <w:p>
            <w:pPr>
              <w:spacing w:after="0"/>
              <w:rPr>
                <w:sz w:val="18"/>
                <w:szCs w:val="18"/>
                <w:color w:val="auto"/>
              </w:rPr>
            </w:pPr>
          </w:p>
        </w:tc>
        <w:tc>
          <w:tcPr>
            <w:tcW w:w="7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371,989</w:t>
            </w:r>
          </w:p>
        </w:tc>
        <w:tc>
          <w:tcPr>
            <w:tcW w:w="2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0" w:type="dxa"/>
            <w:vAlign w:val="bottom"/>
            <w:tcBorders>
              <w:top w:val="single" w:sz="8" w:color="auto"/>
              <w:bottom w:val="single" w:sz="8" w:color="auto"/>
            </w:tcBorders>
          </w:tcPr>
          <w:p>
            <w:pPr>
              <w:spacing w:after="0"/>
              <w:rPr>
                <w:sz w:val="18"/>
                <w:szCs w:val="18"/>
                <w:color w:val="auto"/>
              </w:rPr>
            </w:pPr>
          </w:p>
        </w:tc>
        <w:tc>
          <w:tcPr>
            <w:tcW w:w="7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261,869</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7780" w:type="dxa"/>
            <w:vAlign w:val="bottom"/>
            <w:shd w:val="clear" w:color="auto" w:fill="CCEEFF"/>
          </w:tcPr>
          <w:p>
            <w:pPr>
              <w:ind w:left="1300"/>
              <w:spacing w:after="0"/>
              <w:rPr>
                <w:sz w:val="20"/>
                <w:szCs w:val="20"/>
                <w:color w:val="auto"/>
              </w:rPr>
            </w:pPr>
            <w:r>
              <w:rPr>
                <w:rFonts w:ascii="Arial" w:cs="Arial" w:eastAsia="Arial" w:hAnsi="Arial"/>
                <w:sz w:val="16"/>
                <w:szCs w:val="16"/>
                <w:color w:val="auto"/>
              </w:rPr>
              <w:t>Net cash provided by operating activities</w:t>
            </w:r>
          </w:p>
        </w:tc>
        <w:tc>
          <w:tcPr>
            <w:tcW w:w="8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396,255</w:t>
            </w: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428,545</w:t>
            </w:r>
          </w:p>
        </w:tc>
        <w:tc>
          <w:tcPr>
            <w:tcW w:w="2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0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316,119</w:t>
            </w:r>
          </w:p>
        </w:tc>
        <w:tc>
          <w:tcPr>
            <w:tcW w:w="0" w:type="dxa"/>
            <w:vAlign w:val="bottom"/>
          </w:tcPr>
          <w:p>
            <w:pPr>
              <w:spacing w:after="0"/>
              <w:rPr>
                <w:sz w:val="1"/>
                <w:szCs w:val="1"/>
                <w:color w:val="auto"/>
              </w:rPr>
            </w:pPr>
          </w:p>
        </w:tc>
      </w:tr>
      <w:tr>
        <w:trPr>
          <w:trHeight w:val="206"/>
        </w:trPr>
        <w:tc>
          <w:tcPr>
            <w:tcW w:w="7780" w:type="dxa"/>
            <w:vAlign w:val="bottom"/>
          </w:tcPr>
          <w:p>
            <w:pPr>
              <w:spacing w:after="0"/>
              <w:rPr>
                <w:sz w:val="20"/>
                <w:szCs w:val="20"/>
                <w:color w:val="auto"/>
              </w:rPr>
            </w:pPr>
            <w:r>
              <w:rPr>
                <w:rFonts w:ascii="Arial" w:cs="Arial" w:eastAsia="Arial" w:hAnsi="Arial"/>
                <w:sz w:val="16"/>
                <w:szCs w:val="16"/>
                <w:color w:val="auto"/>
              </w:rPr>
              <w:t>Cash flows from investing activities:</w:t>
            </w:r>
          </w:p>
        </w:tc>
        <w:tc>
          <w:tcPr>
            <w:tcW w:w="80" w:type="dxa"/>
            <w:vAlign w:val="bottom"/>
            <w:tcBorders>
              <w:top w:val="single" w:sz="8" w:color="auto"/>
            </w:tcBorders>
          </w:tcPr>
          <w:p>
            <w:pPr>
              <w:spacing w:after="0"/>
              <w:rPr>
                <w:sz w:val="17"/>
                <w:szCs w:val="17"/>
                <w:color w:val="auto"/>
              </w:rPr>
            </w:pPr>
          </w:p>
        </w:tc>
        <w:tc>
          <w:tcPr>
            <w:tcW w:w="700" w:type="dxa"/>
            <w:vAlign w:val="bottom"/>
            <w:tcBorders>
              <w:top w:val="single" w:sz="8" w:color="auto"/>
            </w:tcBorders>
          </w:tcPr>
          <w:p>
            <w:pPr>
              <w:spacing w:after="0"/>
              <w:rPr>
                <w:sz w:val="17"/>
                <w:szCs w:val="17"/>
                <w:color w:val="auto"/>
              </w:rPr>
            </w:pPr>
          </w:p>
        </w:tc>
        <w:tc>
          <w:tcPr>
            <w:tcW w:w="2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700" w:type="dxa"/>
            <w:vAlign w:val="bottom"/>
            <w:tcBorders>
              <w:top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70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5"/>
        </w:trPr>
        <w:tc>
          <w:tcPr>
            <w:tcW w:w="7780" w:type="dxa"/>
            <w:vAlign w:val="bottom"/>
            <w:shd w:val="clear" w:color="auto" w:fill="CCEEFF"/>
          </w:tcPr>
          <w:p>
            <w:pPr>
              <w:ind w:left="320"/>
              <w:spacing w:after="0"/>
              <w:rPr>
                <w:sz w:val="20"/>
                <w:szCs w:val="20"/>
                <w:color w:val="auto"/>
              </w:rPr>
            </w:pPr>
            <w:r>
              <w:rPr>
                <w:rFonts w:ascii="Arial" w:cs="Arial" w:eastAsia="Arial" w:hAnsi="Arial"/>
                <w:sz w:val="16"/>
                <w:szCs w:val="16"/>
                <w:color w:val="auto"/>
              </w:rPr>
              <w:t>Purchase of containers and fixed assets</w:t>
            </w:r>
          </w:p>
        </w:tc>
        <w:tc>
          <w:tcPr>
            <w:tcW w:w="8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(746,145)</w:t>
            </w: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(466,993)</w:t>
            </w: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0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(854,383)</w:t>
            </w:r>
          </w:p>
        </w:tc>
        <w:tc>
          <w:tcPr>
            <w:tcW w:w="0" w:type="dxa"/>
            <w:vAlign w:val="bottom"/>
          </w:tcPr>
          <w:p>
            <w:pPr>
              <w:spacing w:after="0"/>
              <w:rPr>
                <w:sz w:val="1"/>
                <w:szCs w:val="1"/>
                <w:color w:val="auto"/>
              </w:rPr>
            </w:pPr>
          </w:p>
        </w:tc>
      </w:tr>
      <w:tr>
        <w:trPr>
          <w:trHeight w:val="203"/>
        </w:trPr>
        <w:tc>
          <w:tcPr>
            <w:tcW w:w="7780" w:type="dxa"/>
            <w:vAlign w:val="bottom"/>
          </w:tcPr>
          <w:p>
            <w:pPr>
              <w:ind w:left="320"/>
              <w:spacing w:after="0"/>
              <w:rPr>
                <w:sz w:val="20"/>
                <w:szCs w:val="20"/>
                <w:color w:val="auto"/>
              </w:rPr>
            </w:pPr>
            <w:r>
              <w:rPr>
                <w:rFonts w:ascii="Arial" w:cs="Arial" w:eastAsia="Arial" w:hAnsi="Arial"/>
                <w:sz w:val="16"/>
                <w:szCs w:val="16"/>
                <w:color w:val="auto"/>
              </w:rPr>
              <w:t>Payments on container leaseback financing receivable</w:t>
            </w:r>
          </w:p>
        </w:tc>
        <w:tc>
          <w:tcPr>
            <w:tcW w:w="80" w:type="dxa"/>
            <w:vAlign w:val="bottom"/>
          </w:tcPr>
          <w:p>
            <w:pPr>
              <w:spacing w:after="0"/>
              <w:rPr>
                <w:sz w:val="17"/>
                <w:szCs w:val="17"/>
                <w:color w:val="auto"/>
              </w:rPr>
            </w:pPr>
          </w:p>
        </w:tc>
        <w:tc>
          <w:tcPr>
            <w:tcW w:w="920" w:type="dxa"/>
            <w:vAlign w:val="bottom"/>
            <w:gridSpan w:val="2"/>
          </w:tcPr>
          <w:p>
            <w:pPr>
              <w:jc w:val="right"/>
              <w:ind w:right="180"/>
              <w:spacing w:after="0"/>
              <w:rPr>
                <w:sz w:val="20"/>
                <w:szCs w:val="20"/>
                <w:color w:val="auto"/>
              </w:rPr>
            </w:pPr>
            <w:r>
              <w:rPr>
                <w:rFonts w:ascii="Arial" w:cs="Arial" w:eastAsia="Arial" w:hAnsi="Arial"/>
                <w:sz w:val="16"/>
                <w:szCs w:val="16"/>
                <w:color w:val="auto"/>
              </w:rPr>
              <w:t>(116,263)</w:t>
            </w: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940" w:type="dxa"/>
            <w:vAlign w:val="bottom"/>
            <w:gridSpan w:val="2"/>
          </w:tcPr>
          <w:p>
            <w:pPr>
              <w:jc w:val="right"/>
              <w:ind w:right="180"/>
              <w:spacing w:after="0"/>
              <w:rPr>
                <w:sz w:val="20"/>
                <w:szCs w:val="20"/>
                <w:color w:val="auto"/>
              </w:rPr>
            </w:pPr>
            <w:r>
              <w:rPr>
                <w:rFonts w:ascii="Arial" w:cs="Arial" w:eastAsia="Arial" w:hAnsi="Arial"/>
                <w:sz w:val="16"/>
                <w:szCs w:val="16"/>
                <w:color w:val="auto"/>
              </w:rPr>
              <w:t>(281,445)</w:t>
            </w:r>
          </w:p>
        </w:tc>
        <w:tc>
          <w:tcPr>
            <w:tcW w:w="1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3"/>
        </w:trPr>
        <w:tc>
          <w:tcPr>
            <w:tcW w:w="7780" w:type="dxa"/>
            <w:vAlign w:val="bottom"/>
            <w:shd w:val="clear" w:color="auto" w:fill="CCEEFF"/>
          </w:tcPr>
          <w:p>
            <w:pPr>
              <w:ind w:left="320"/>
              <w:spacing w:after="0"/>
              <w:rPr>
                <w:sz w:val="20"/>
                <w:szCs w:val="20"/>
                <w:color w:val="auto"/>
              </w:rPr>
            </w:pPr>
            <w:r>
              <w:rPr>
                <w:rFonts w:ascii="Arial" w:cs="Arial" w:eastAsia="Arial" w:hAnsi="Arial"/>
                <w:sz w:val="16"/>
                <w:szCs w:val="16"/>
                <w:color w:val="auto"/>
              </w:rPr>
              <w:t>Payment for Leased Assets Pool Company Limited, net of cash acquired</w:t>
            </w:r>
          </w:p>
        </w:tc>
        <w:tc>
          <w:tcPr>
            <w:tcW w:w="8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300"/>
              <w:spacing w:after="0"/>
              <w:rPr>
                <w:sz w:val="20"/>
                <w:szCs w:val="20"/>
                <w:color w:val="auto"/>
              </w:rPr>
            </w:pPr>
            <w:r>
              <w:rPr>
                <w:rFonts w:ascii="Arial" w:cs="Arial" w:eastAsia="Arial" w:hAnsi="Arial"/>
                <w:sz w:val="16"/>
                <w:szCs w:val="16"/>
                <w:color w:val="auto"/>
              </w:rPr>
              <w:t>—</w:t>
            </w: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(171,841)</w:t>
            </w: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0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3"/>
        </w:trPr>
        <w:tc>
          <w:tcPr>
            <w:tcW w:w="7780" w:type="dxa"/>
            <w:vAlign w:val="bottom"/>
          </w:tcPr>
          <w:p>
            <w:pPr>
              <w:ind w:left="320"/>
              <w:spacing w:after="0"/>
              <w:rPr>
                <w:sz w:val="20"/>
                <w:szCs w:val="20"/>
                <w:color w:val="auto"/>
              </w:rPr>
            </w:pPr>
            <w:r>
              <w:rPr>
                <w:rFonts w:ascii="Arial" w:cs="Arial" w:eastAsia="Arial" w:hAnsi="Arial"/>
                <w:sz w:val="16"/>
                <w:szCs w:val="16"/>
                <w:color w:val="auto"/>
              </w:rPr>
              <w:t>Payment for TW Container Leasing, Ltd. capital restructuring</w:t>
            </w:r>
          </w:p>
        </w:tc>
        <w:tc>
          <w:tcPr>
            <w:tcW w:w="80" w:type="dxa"/>
            <w:vAlign w:val="bottom"/>
          </w:tcPr>
          <w:p>
            <w:pPr>
              <w:spacing w:after="0"/>
              <w:rPr>
                <w:sz w:val="17"/>
                <w:szCs w:val="17"/>
                <w:color w:val="auto"/>
              </w:rPr>
            </w:pPr>
          </w:p>
        </w:tc>
        <w:tc>
          <w:tcPr>
            <w:tcW w:w="920" w:type="dxa"/>
            <w:vAlign w:val="bottom"/>
            <w:gridSpan w:val="2"/>
          </w:tcPr>
          <w:p>
            <w:pPr>
              <w:jc w:val="right"/>
              <w:ind w:right="300"/>
              <w:spacing w:after="0"/>
              <w:rPr>
                <w:sz w:val="20"/>
                <w:szCs w:val="20"/>
                <w:color w:val="auto"/>
              </w:rPr>
            </w:pPr>
            <w:r>
              <w:rPr>
                <w:rFonts w:ascii="Arial" w:cs="Arial" w:eastAsia="Arial" w:hAnsi="Arial"/>
                <w:sz w:val="16"/>
                <w:szCs w:val="16"/>
                <w:color w:val="auto"/>
              </w:rPr>
              <w:t>—</w:t>
            </w: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940" w:type="dxa"/>
            <w:vAlign w:val="bottom"/>
            <w:gridSpan w:val="2"/>
          </w:tcPr>
          <w:p>
            <w:pPr>
              <w:jc w:val="right"/>
              <w:ind w:right="320"/>
              <w:spacing w:after="0"/>
              <w:rPr>
                <w:sz w:val="20"/>
                <w:szCs w:val="20"/>
                <w:color w:val="auto"/>
              </w:rPr>
            </w:pPr>
            <w:r>
              <w:rPr>
                <w:rFonts w:ascii="Arial" w:cs="Arial" w:eastAsia="Arial" w:hAnsi="Arial"/>
                <w:sz w:val="16"/>
                <w:szCs w:val="16"/>
                <w:color w:val="auto"/>
              </w:rPr>
              <w:t>—</w:t>
            </w:r>
          </w:p>
        </w:tc>
        <w:tc>
          <w:tcPr>
            <w:tcW w:w="1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0" w:type="dxa"/>
            <w:vAlign w:val="bottom"/>
            <w:gridSpan w:val="2"/>
          </w:tcPr>
          <w:p>
            <w:pPr>
              <w:jc w:val="right"/>
              <w:ind w:right="40"/>
              <w:spacing w:after="0"/>
              <w:rPr>
                <w:sz w:val="20"/>
                <w:szCs w:val="20"/>
                <w:color w:val="auto"/>
              </w:rPr>
            </w:pPr>
            <w:r>
              <w:rPr>
                <w:rFonts w:ascii="Arial" w:cs="Arial" w:eastAsia="Arial" w:hAnsi="Arial"/>
                <w:sz w:val="16"/>
                <w:szCs w:val="16"/>
                <w:color w:val="auto"/>
              </w:rPr>
              <w:t>(29,658)</w:t>
            </w:r>
          </w:p>
        </w:tc>
        <w:tc>
          <w:tcPr>
            <w:tcW w:w="0" w:type="dxa"/>
            <w:vAlign w:val="bottom"/>
          </w:tcPr>
          <w:p>
            <w:pPr>
              <w:spacing w:after="0"/>
              <w:rPr>
                <w:sz w:val="1"/>
                <w:szCs w:val="1"/>
                <w:color w:val="auto"/>
              </w:rPr>
            </w:pPr>
          </w:p>
        </w:tc>
      </w:tr>
      <w:tr>
        <w:trPr>
          <w:trHeight w:val="203"/>
        </w:trPr>
        <w:tc>
          <w:tcPr>
            <w:tcW w:w="7780" w:type="dxa"/>
            <w:vAlign w:val="bottom"/>
            <w:shd w:val="clear" w:color="auto" w:fill="CCEEFF"/>
          </w:tcPr>
          <w:p>
            <w:pPr>
              <w:ind w:left="320"/>
              <w:spacing w:after="0"/>
              <w:rPr>
                <w:sz w:val="20"/>
                <w:szCs w:val="20"/>
                <w:color w:val="auto"/>
              </w:rPr>
            </w:pPr>
            <w:r>
              <w:rPr>
                <w:rFonts w:ascii="Arial" w:cs="Arial" w:eastAsia="Arial" w:hAnsi="Arial"/>
                <w:sz w:val="16"/>
                <w:szCs w:val="16"/>
                <w:color w:val="auto"/>
              </w:rPr>
              <w:t>Proceeds from sale of containers and fixed assets</w:t>
            </w:r>
          </w:p>
        </w:tc>
        <w:tc>
          <w:tcPr>
            <w:tcW w:w="8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151,021</w:t>
            </w: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150,742</w:t>
            </w:r>
          </w:p>
        </w:tc>
        <w:tc>
          <w:tcPr>
            <w:tcW w:w="2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147,254</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7780" w:type="dxa"/>
            <w:vAlign w:val="bottom"/>
          </w:tcPr>
          <w:p>
            <w:pPr>
              <w:ind w:left="320"/>
              <w:spacing w:after="0"/>
              <w:rPr>
                <w:sz w:val="20"/>
                <w:szCs w:val="20"/>
                <w:color w:val="auto"/>
              </w:rPr>
            </w:pPr>
            <w:r>
              <w:rPr>
                <w:rFonts w:ascii="Arial" w:cs="Arial" w:eastAsia="Arial" w:hAnsi="Arial"/>
                <w:sz w:val="16"/>
                <w:szCs w:val="16"/>
                <w:color w:val="auto"/>
              </w:rPr>
              <w:t>Receipt of principal payments on container leaseback financing receivable</w:t>
            </w:r>
          </w:p>
        </w:tc>
        <w:tc>
          <w:tcPr>
            <w:tcW w:w="80" w:type="dxa"/>
            <w:vAlign w:val="bottom"/>
            <w:tcBorders>
              <w:bottom w:val="single" w:sz="8" w:color="auto"/>
            </w:tcBorders>
          </w:tcPr>
          <w:p>
            <w:pPr>
              <w:spacing w:after="0"/>
              <w:rPr>
                <w:sz w:val="18"/>
                <w:szCs w:val="18"/>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21,485</w:t>
            </w:r>
          </w:p>
        </w:tc>
        <w:tc>
          <w:tcPr>
            <w:tcW w:w="2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7,745</w:t>
            </w:r>
          </w:p>
        </w:tc>
        <w:tc>
          <w:tcPr>
            <w:tcW w:w="2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7780" w:type="dxa"/>
            <w:vAlign w:val="bottom"/>
            <w:shd w:val="clear" w:color="auto" w:fill="CCEEFF"/>
          </w:tcPr>
          <w:p>
            <w:pPr>
              <w:ind w:left="1300"/>
              <w:spacing w:after="0"/>
              <w:rPr>
                <w:sz w:val="20"/>
                <w:szCs w:val="20"/>
                <w:color w:val="auto"/>
              </w:rPr>
            </w:pPr>
            <w:r>
              <w:rPr>
                <w:rFonts w:ascii="Arial" w:cs="Arial" w:eastAsia="Arial" w:hAnsi="Arial"/>
                <w:sz w:val="16"/>
                <w:szCs w:val="16"/>
                <w:color w:val="auto"/>
              </w:rPr>
              <w:t>Net cash used in investing activities</w:t>
            </w:r>
          </w:p>
        </w:tc>
        <w:tc>
          <w:tcPr>
            <w:tcW w:w="8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(689,902)</w:t>
            </w: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(761,792)</w:t>
            </w: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0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(736,787)</w:t>
            </w:r>
          </w:p>
        </w:tc>
        <w:tc>
          <w:tcPr>
            <w:tcW w:w="0" w:type="dxa"/>
            <w:vAlign w:val="bottom"/>
          </w:tcPr>
          <w:p>
            <w:pPr>
              <w:spacing w:after="0"/>
              <w:rPr>
                <w:sz w:val="1"/>
                <w:szCs w:val="1"/>
                <w:color w:val="auto"/>
              </w:rPr>
            </w:pPr>
          </w:p>
        </w:tc>
      </w:tr>
      <w:tr>
        <w:trPr>
          <w:trHeight w:val="207"/>
        </w:trPr>
        <w:tc>
          <w:tcPr>
            <w:tcW w:w="7780" w:type="dxa"/>
            <w:vAlign w:val="bottom"/>
          </w:tcPr>
          <w:p>
            <w:pPr>
              <w:spacing w:after="0"/>
              <w:rPr>
                <w:sz w:val="20"/>
                <w:szCs w:val="20"/>
                <w:color w:val="auto"/>
              </w:rPr>
            </w:pPr>
            <w:r>
              <w:rPr>
                <w:rFonts w:ascii="Arial" w:cs="Arial" w:eastAsia="Arial" w:hAnsi="Arial"/>
                <w:sz w:val="16"/>
                <w:szCs w:val="16"/>
                <w:color w:val="auto"/>
              </w:rPr>
              <w:t>Cash flows from financing activities:</w:t>
            </w:r>
          </w:p>
        </w:tc>
        <w:tc>
          <w:tcPr>
            <w:tcW w:w="80" w:type="dxa"/>
            <w:vAlign w:val="bottom"/>
            <w:tcBorders>
              <w:top w:val="single" w:sz="8" w:color="auto"/>
            </w:tcBorders>
          </w:tcPr>
          <w:p>
            <w:pPr>
              <w:spacing w:after="0"/>
              <w:rPr>
                <w:sz w:val="17"/>
                <w:szCs w:val="17"/>
                <w:color w:val="auto"/>
              </w:rPr>
            </w:pPr>
          </w:p>
        </w:tc>
        <w:tc>
          <w:tcPr>
            <w:tcW w:w="700" w:type="dxa"/>
            <w:vAlign w:val="bottom"/>
            <w:tcBorders>
              <w:top w:val="single" w:sz="8" w:color="auto"/>
            </w:tcBorders>
          </w:tcPr>
          <w:p>
            <w:pPr>
              <w:spacing w:after="0"/>
              <w:rPr>
                <w:sz w:val="17"/>
                <w:szCs w:val="17"/>
                <w:color w:val="auto"/>
              </w:rPr>
            </w:pPr>
          </w:p>
        </w:tc>
        <w:tc>
          <w:tcPr>
            <w:tcW w:w="2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700" w:type="dxa"/>
            <w:vAlign w:val="bottom"/>
            <w:tcBorders>
              <w:top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70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5"/>
        </w:trPr>
        <w:tc>
          <w:tcPr>
            <w:tcW w:w="7780" w:type="dxa"/>
            <w:vAlign w:val="bottom"/>
            <w:shd w:val="clear" w:color="auto" w:fill="CCEEFF"/>
          </w:tcPr>
          <w:p>
            <w:pPr>
              <w:ind w:left="320"/>
              <w:spacing w:after="0"/>
              <w:rPr>
                <w:sz w:val="20"/>
                <w:szCs w:val="20"/>
                <w:color w:val="auto"/>
              </w:rPr>
            </w:pPr>
            <w:r>
              <w:rPr>
                <w:rFonts w:ascii="Arial" w:cs="Arial" w:eastAsia="Arial" w:hAnsi="Arial"/>
                <w:sz w:val="16"/>
                <w:szCs w:val="16"/>
                <w:color w:val="auto"/>
              </w:rPr>
              <w:t>Proceeds from debt</w:t>
            </w:r>
          </w:p>
        </w:tc>
        <w:tc>
          <w:tcPr>
            <w:tcW w:w="8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w w:val="95"/>
              </w:rPr>
              <w:t>2,114,260</w:t>
            </w: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6"/>
                <w:szCs w:val="16"/>
                <w:color w:val="auto"/>
                <w:w w:val="95"/>
              </w:rPr>
              <w:t>1,439,223</w:t>
            </w:r>
          </w:p>
        </w:tc>
        <w:tc>
          <w:tcPr>
            <w:tcW w:w="2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6"/>
                <w:szCs w:val="16"/>
                <w:color w:val="auto"/>
                <w:w w:val="95"/>
              </w:rPr>
              <w:t>2,029,025</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780" w:type="dxa"/>
            <w:vAlign w:val="bottom"/>
          </w:tcPr>
          <w:p>
            <w:pPr>
              <w:ind w:left="320"/>
              <w:spacing w:after="0"/>
              <w:rPr>
                <w:sz w:val="20"/>
                <w:szCs w:val="20"/>
                <w:color w:val="auto"/>
              </w:rPr>
            </w:pPr>
            <w:r>
              <w:rPr>
                <w:rFonts w:ascii="Arial" w:cs="Arial" w:eastAsia="Arial" w:hAnsi="Arial"/>
                <w:sz w:val="16"/>
                <w:szCs w:val="16"/>
                <w:color w:val="auto"/>
              </w:rPr>
              <w:t>Principal payments on debt</w:t>
            </w:r>
          </w:p>
        </w:tc>
        <w:tc>
          <w:tcPr>
            <w:tcW w:w="80" w:type="dxa"/>
            <w:vAlign w:val="bottom"/>
          </w:tcPr>
          <w:p>
            <w:pPr>
              <w:spacing w:after="0"/>
              <w:rPr>
                <w:sz w:val="17"/>
                <w:szCs w:val="17"/>
                <w:color w:val="auto"/>
              </w:rPr>
            </w:pPr>
          </w:p>
        </w:tc>
        <w:tc>
          <w:tcPr>
            <w:tcW w:w="920" w:type="dxa"/>
            <w:vAlign w:val="bottom"/>
            <w:gridSpan w:val="2"/>
          </w:tcPr>
          <w:p>
            <w:pPr>
              <w:jc w:val="right"/>
              <w:ind w:right="180"/>
              <w:spacing w:after="0"/>
              <w:rPr>
                <w:sz w:val="20"/>
                <w:szCs w:val="20"/>
                <w:color w:val="auto"/>
              </w:rPr>
            </w:pPr>
            <w:r>
              <w:rPr>
                <w:rFonts w:ascii="Arial" w:cs="Arial" w:eastAsia="Arial" w:hAnsi="Arial"/>
                <w:sz w:val="16"/>
                <w:szCs w:val="16"/>
                <w:color w:val="auto"/>
                <w:w w:val="87"/>
              </w:rPr>
              <w:t>(1,799,870)</w:t>
            </w: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940" w:type="dxa"/>
            <w:vAlign w:val="bottom"/>
            <w:gridSpan w:val="2"/>
          </w:tcPr>
          <w:p>
            <w:pPr>
              <w:jc w:val="right"/>
              <w:ind w:right="180"/>
              <w:spacing w:after="0"/>
              <w:rPr>
                <w:sz w:val="20"/>
                <w:szCs w:val="20"/>
                <w:color w:val="auto"/>
              </w:rPr>
            </w:pPr>
            <w:r>
              <w:rPr>
                <w:rFonts w:ascii="Arial" w:cs="Arial" w:eastAsia="Arial" w:hAnsi="Arial"/>
                <w:sz w:val="16"/>
                <w:szCs w:val="16"/>
                <w:color w:val="auto"/>
                <w:w w:val="90"/>
              </w:rPr>
              <w:t>(1,049,857)</w:t>
            </w:r>
          </w:p>
        </w:tc>
        <w:tc>
          <w:tcPr>
            <w:tcW w:w="1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0" w:type="dxa"/>
            <w:vAlign w:val="bottom"/>
            <w:gridSpan w:val="2"/>
          </w:tcPr>
          <w:p>
            <w:pPr>
              <w:jc w:val="right"/>
              <w:ind w:right="40"/>
              <w:spacing w:after="0"/>
              <w:rPr>
                <w:sz w:val="20"/>
                <w:szCs w:val="20"/>
                <w:color w:val="auto"/>
              </w:rPr>
            </w:pPr>
            <w:r>
              <w:rPr>
                <w:rFonts w:ascii="Arial" w:cs="Arial" w:eastAsia="Arial" w:hAnsi="Arial"/>
                <w:sz w:val="16"/>
                <w:szCs w:val="16"/>
                <w:color w:val="auto"/>
                <w:w w:val="90"/>
              </w:rPr>
              <w:t>(1,608,753)</w:t>
            </w:r>
          </w:p>
        </w:tc>
        <w:tc>
          <w:tcPr>
            <w:tcW w:w="0" w:type="dxa"/>
            <w:vAlign w:val="bottom"/>
          </w:tcPr>
          <w:p>
            <w:pPr>
              <w:spacing w:after="0"/>
              <w:rPr>
                <w:sz w:val="1"/>
                <w:szCs w:val="1"/>
                <w:color w:val="auto"/>
              </w:rPr>
            </w:pPr>
          </w:p>
        </w:tc>
      </w:tr>
      <w:tr>
        <w:trPr>
          <w:trHeight w:val="203"/>
        </w:trPr>
        <w:tc>
          <w:tcPr>
            <w:tcW w:w="7780" w:type="dxa"/>
            <w:vAlign w:val="bottom"/>
            <w:shd w:val="clear" w:color="auto" w:fill="CCEEFF"/>
          </w:tcPr>
          <w:p>
            <w:pPr>
              <w:ind w:left="320"/>
              <w:spacing w:after="0"/>
              <w:rPr>
                <w:sz w:val="20"/>
                <w:szCs w:val="20"/>
                <w:color w:val="auto"/>
              </w:rPr>
            </w:pPr>
            <w:r>
              <w:rPr>
                <w:rFonts w:ascii="Arial" w:cs="Arial" w:eastAsia="Arial" w:hAnsi="Arial"/>
                <w:sz w:val="16"/>
                <w:szCs w:val="16"/>
                <w:color w:val="auto"/>
              </w:rPr>
              <w:t>Purchase of treasury shares</w:t>
            </w:r>
          </w:p>
        </w:tc>
        <w:tc>
          <w:tcPr>
            <w:tcW w:w="8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(68,493)</w:t>
            </w: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(8,597)</w:t>
            </w: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0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2"/>
        </w:trPr>
        <w:tc>
          <w:tcPr>
            <w:tcW w:w="7780" w:type="dxa"/>
            <w:vAlign w:val="bottom"/>
          </w:tcPr>
          <w:p>
            <w:pPr>
              <w:ind w:left="320"/>
              <w:spacing w:after="0"/>
              <w:rPr>
                <w:sz w:val="20"/>
                <w:szCs w:val="20"/>
                <w:color w:val="auto"/>
              </w:rPr>
            </w:pPr>
            <w:r>
              <w:rPr>
                <w:rFonts w:ascii="Arial" w:cs="Arial" w:eastAsia="Arial" w:hAnsi="Arial"/>
                <w:sz w:val="16"/>
                <w:szCs w:val="16"/>
                <w:color w:val="auto"/>
              </w:rPr>
              <w:t>Proceeds from container leaseback financing liability, net</w:t>
            </w:r>
          </w:p>
        </w:tc>
        <w:tc>
          <w:tcPr>
            <w:tcW w:w="80" w:type="dxa"/>
            <w:vAlign w:val="bottom"/>
          </w:tcPr>
          <w:p>
            <w:pPr>
              <w:spacing w:after="0"/>
              <w:rPr>
                <w:sz w:val="17"/>
                <w:szCs w:val="17"/>
                <w:color w:val="auto"/>
              </w:rPr>
            </w:pPr>
          </w:p>
        </w:tc>
        <w:tc>
          <w:tcPr>
            <w:tcW w:w="920" w:type="dxa"/>
            <w:vAlign w:val="bottom"/>
            <w:gridSpan w:val="2"/>
          </w:tcPr>
          <w:p>
            <w:pPr>
              <w:jc w:val="right"/>
              <w:ind w:right="300"/>
              <w:spacing w:after="0"/>
              <w:rPr>
                <w:sz w:val="20"/>
                <w:szCs w:val="20"/>
                <w:color w:val="auto"/>
              </w:rPr>
            </w:pPr>
            <w:r>
              <w:rPr>
                <w:rFonts w:ascii="Arial" w:cs="Arial" w:eastAsia="Arial" w:hAnsi="Arial"/>
                <w:sz w:val="16"/>
                <w:szCs w:val="16"/>
                <w:color w:val="auto"/>
              </w:rPr>
              <w:t>—</w:t>
            </w: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00" w:type="dxa"/>
            <w:vAlign w:val="bottom"/>
          </w:tcPr>
          <w:p>
            <w:pPr>
              <w:jc w:val="right"/>
              <w:spacing w:after="0"/>
              <w:rPr>
                <w:sz w:val="20"/>
                <w:szCs w:val="20"/>
                <w:color w:val="auto"/>
              </w:rPr>
            </w:pPr>
            <w:r>
              <w:rPr>
                <w:rFonts w:ascii="Arial" w:cs="Arial" w:eastAsia="Arial" w:hAnsi="Arial"/>
                <w:sz w:val="16"/>
                <w:szCs w:val="16"/>
                <w:color w:val="auto"/>
              </w:rPr>
              <w:t>17,448</w:t>
            </w: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3"/>
        </w:trPr>
        <w:tc>
          <w:tcPr>
            <w:tcW w:w="7780" w:type="dxa"/>
            <w:vAlign w:val="bottom"/>
            <w:shd w:val="clear" w:color="auto" w:fill="CCEEFF"/>
          </w:tcPr>
          <w:p>
            <w:pPr>
              <w:ind w:left="320"/>
              <w:spacing w:after="0"/>
              <w:rPr>
                <w:sz w:val="20"/>
                <w:szCs w:val="20"/>
                <w:color w:val="auto"/>
              </w:rPr>
            </w:pPr>
            <w:r>
              <w:rPr>
                <w:rFonts w:ascii="Arial" w:cs="Arial" w:eastAsia="Arial" w:hAnsi="Arial"/>
                <w:sz w:val="16"/>
                <w:szCs w:val="16"/>
                <w:color w:val="auto"/>
              </w:rPr>
              <w:t>Principal repayments on container leaseback financing liability, net</w:t>
            </w:r>
          </w:p>
        </w:tc>
        <w:tc>
          <w:tcPr>
            <w:tcW w:w="8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(12,825)</w:t>
            </w: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320"/>
              <w:spacing w:after="0"/>
              <w:rPr>
                <w:sz w:val="20"/>
                <w:szCs w:val="20"/>
                <w:color w:val="auto"/>
              </w:rPr>
            </w:pPr>
            <w:r>
              <w:rPr>
                <w:rFonts w:ascii="Arial" w:cs="Arial" w:eastAsia="Arial" w:hAnsi="Arial"/>
                <w:sz w:val="16"/>
                <w:szCs w:val="16"/>
                <w:color w:val="auto"/>
              </w:rPr>
              <w:t>—</w:t>
            </w: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0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3"/>
        </w:trPr>
        <w:tc>
          <w:tcPr>
            <w:tcW w:w="7780" w:type="dxa"/>
            <w:vAlign w:val="bottom"/>
          </w:tcPr>
          <w:p>
            <w:pPr>
              <w:ind w:left="320"/>
              <w:spacing w:after="0"/>
              <w:rPr>
                <w:sz w:val="20"/>
                <w:szCs w:val="20"/>
                <w:color w:val="auto"/>
              </w:rPr>
            </w:pPr>
            <w:r>
              <w:rPr>
                <w:rFonts w:ascii="Arial" w:cs="Arial" w:eastAsia="Arial" w:hAnsi="Arial"/>
                <w:sz w:val="16"/>
                <w:szCs w:val="16"/>
                <w:color w:val="auto"/>
              </w:rPr>
              <w:t>Debt issuance costs</w:t>
            </w:r>
          </w:p>
        </w:tc>
        <w:tc>
          <w:tcPr>
            <w:tcW w:w="80" w:type="dxa"/>
            <w:vAlign w:val="bottom"/>
          </w:tcPr>
          <w:p>
            <w:pPr>
              <w:spacing w:after="0"/>
              <w:rPr>
                <w:sz w:val="17"/>
                <w:szCs w:val="17"/>
                <w:color w:val="auto"/>
              </w:rPr>
            </w:pPr>
          </w:p>
        </w:tc>
        <w:tc>
          <w:tcPr>
            <w:tcW w:w="920" w:type="dxa"/>
            <w:vAlign w:val="bottom"/>
            <w:gridSpan w:val="2"/>
          </w:tcPr>
          <w:p>
            <w:pPr>
              <w:jc w:val="right"/>
              <w:ind w:right="180"/>
              <w:spacing w:after="0"/>
              <w:rPr>
                <w:sz w:val="20"/>
                <w:szCs w:val="20"/>
                <w:color w:val="auto"/>
              </w:rPr>
            </w:pPr>
            <w:r>
              <w:rPr>
                <w:rFonts w:ascii="Arial" w:cs="Arial" w:eastAsia="Arial" w:hAnsi="Arial"/>
                <w:sz w:val="16"/>
                <w:szCs w:val="16"/>
                <w:color w:val="auto"/>
              </w:rPr>
              <w:t>(13,637)</w:t>
            </w: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940" w:type="dxa"/>
            <w:vAlign w:val="bottom"/>
            <w:gridSpan w:val="2"/>
          </w:tcPr>
          <w:p>
            <w:pPr>
              <w:jc w:val="right"/>
              <w:ind w:right="180"/>
              <w:spacing w:after="0"/>
              <w:rPr>
                <w:sz w:val="20"/>
                <w:szCs w:val="20"/>
                <w:color w:val="auto"/>
              </w:rPr>
            </w:pPr>
            <w:r>
              <w:rPr>
                <w:rFonts w:ascii="Arial" w:cs="Arial" w:eastAsia="Arial" w:hAnsi="Arial"/>
                <w:sz w:val="16"/>
                <w:szCs w:val="16"/>
                <w:color w:val="auto"/>
              </w:rPr>
              <w:t>(9,417)</w:t>
            </w:r>
          </w:p>
        </w:tc>
        <w:tc>
          <w:tcPr>
            <w:tcW w:w="1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0" w:type="dxa"/>
            <w:vAlign w:val="bottom"/>
            <w:gridSpan w:val="2"/>
          </w:tcPr>
          <w:p>
            <w:pPr>
              <w:jc w:val="right"/>
              <w:ind w:right="40"/>
              <w:spacing w:after="0"/>
              <w:rPr>
                <w:sz w:val="20"/>
                <w:szCs w:val="20"/>
                <w:color w:val="auto"/>
              </w:rPr>
            </w:pPr>
            <w:r>
              <w:rPr>
                <w:rFonts w:ascii="Arial" w:cs="Arial" w:eastAsia="Arial" w:hAnsi="Arial"/>
                <w:sz w:val="16"/>
                <w:szCs w:val="16"/>
                <w:color w:val="auto"/>
              </w:rPr>
              <w:t>(10,252)</w:t>
            </w:r>
          </w:p>
        </w:tc>
        <w:tc>
          <w:tcPr>
            <w:tcW w:w="0" w:type="dxa"/>
            <w:vAlign w:val="bottom"/>
          </w:tcPr>
          <w:p>
            <w:pPr>
              <w:spacing w:after="0"/>
              <w:rPr>
                <w:sz w:val="1"/>
                <w:szCs w:val="1"/>
                <w:color w:val="auto"/>
              </w:rPr>
            </w:pPr>
          </w:p>
        </w:tc>
      </w:tr>
      <w:tr>
        <w:trPr>
          <w:trHeight w:val="203"/>
        </w:trPr>
        <w:tc>
          <w:tcPr>
            <w:tcW w:w="7780" w:type="dxa"/>
            <w:vAlign w:val="bottom"/>
            <w:shd w:val="clear" w:color="auto" w:fill="CCEEFF"/>
          </w:tcPr>
          <w:p>
            <w:pPr>
              <w:ind w:left="320"/>
              <w:spacing w:after="0"/>
              <w:rPr>
                <w:sz w:val="20"/>
                <w:szCs w:val="20"/>
                <w:color w:val="auto"/>
              </w:rPr>
            </w:pPr>
            <w:r>
              <w:rPr>
                <w:rFonts w:ascii="Arial" w:cs="Arial" w:eastAsia="Arial" w:hAnsi="Arial"/>
                <w:sz w:val="16"/>
                <w:szCs w:val="16"/>
                <w:color w:val="auto"/>
              </w:rPr>
              <w:t>Issuance of common shares upon exercise of share options</w:t>
            </w:r>
          </w:p>
        </w:tc>
        <w:tc>
          <w:tcPr>
            <w:tcW w:w="8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1,295</w:t>
            </w: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126</w:t>
            </w:r>
          </w:p>
        </w:tc>
        <w:tc>
          <w:tcPr>
            <w:tcW w:w="2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130</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7780" w:type="dxa"/>
            <w:vAlign w:val="bottom"/>
          </w:tcPr>
          <w:p>
            <w:pPr>
              <w:ind w:left="320"/>
              <w:spacing w:after="0"/>
              <w:rPr>
                <w:sz w:val="20"/>
                <w:szCs w:val="20"/>
                <w:color w:val="auto"/>
              </w:rPr>
            </w:pPr>
            <w:r>
              <w:rPr>
                <w:rFonts w:ascii="Arial" w:cs="Arial" w:eastAsia="Arial" w:hAnsi="Arial"/>
                <w:sz w:val="16"/>
                <w:szCs w:val="16"/>
                <w:color w:val="auto"/>
              </w:rPr>
              <w:t>Dividends paid to noncontrolling interest</w:t>
            </w:r>
          </w:p>
        </w:tc>
        <w:tc>
          <w:tcPr>
            <w:tcW w:w="8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6"/>
                <w:szCs w:val="16"/>
                <w:color w:val="auto"/>
              </w:rPr>
              <w:t>—</w:t>
            </w:r>
          </w:p>
        </w:tc>
        <w:tc>
          <w:tcPr>
            <w:tcW w:w="2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40" w:type="dxa"/>
            <w:vAlign w:val="bottom"/>
            <w:gridSpan w:val="2"/>
          </w:tcPr>
          <w:p>
            <w:pPr>
              <w:jc w:val="right"/>
              <w:ind w:right="180"/>
              <w:spacing w:after="0"/>
              <w:rPr>
                <w:sz w:val="20"/>
                <w:szCs w:val="20"/>
                <w:color w:val="auto"/>
              </w:rPr>
            </w:pPr>
            <w:r>
              <w:rPr>
                <w:rFonts w:ascii="Arial" w:cs="Arial" w:eastAsia="Arial" w:hAnsi="Arial"/>
                <w:sz w:val="16"/>
                <w:szCs w:val="16"/>
                <w:color w:val="auto"/>
              </w:rPr>
              <w:t>(2,744)</w:t>
            </w: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0" w:type="dxa"/>
            <w:vAlign w:val="bottom"/>
            <w:gridSpan w:val="2"/>
          </w:tcPr>
          <w:p>
            <w:pPr>
              <w:jc w:val="right"/>
              <w:ind w:right="40"/>
              <w:spacing w:after="0"/>
              <w:rPr>
                <w:sz w:val="20"/>
                <w:szCs w:val="20"/>
                <w:color w:val="auto"/>
              </w:rPr>
            </w:pPr>
            <w:r>
              <w:rPr>
                <w:rFonts w:ascii="Arial" w:cs="Arial" w:eastAsia="Arial" w:hAnsi="Arial"/>
                <w:sz w:val="16"/>
                <w:szCs w:val="16"/>
                <w:color w:val="auto"/>
              </w:rPr>
              <w:t>(1,996)</w:t>
            </w:r>
          </w:p>
        </w:tc>
        <w:tc>
          <w:tcPr>
            <w:tcW w:w="0" w:type="dxa"/>
            <w:vAlign w:val="bottom"/>
          </w:tcPr>
          <w:p>
            <w:pPr>
              <w:spacing w:after="0"/>
              <w:rPr>
                <w:sz w:val="1"/>
                <w:szCs w:val="1"/>
                <w:color w:val="auto"/>
              </w:rPr>
            </w:pPr>
          </w:p>
        </w:tc>
      </w:tr>
      <w:tr>
        <w:trPr>
          <w:trHeight w:val="203"/>
        </w:trPr>
        <w:tc>
          <w:tcPr>
            <w:tcW w:w="7780" w:type="dxa"/>
            <w:vAlign w:val="bottom"/>
            <w:shd w:val="clear" w:color="auto" w:fill="CCEEFF"/>
          </w:tcPr>
          <w:p>
            <w:pPr>
              <w:ind w:left="1300"/>
              <w:spacing w:after="0"/>
              <w:rPr>
                <w:sz w:val="20"/>
                <w:szCs w:val="20"/>
                <w:color w:val="auto"/>
              </w:rPr>
            </w:pPr>
            <w:r>
              <w:rPr>
                <w:rFonts w:ascii="Arial" w:cs="Arial" w:eastAsia="Arial" w:hAnsi="Arial"/>
                <w:sz w:val="16"/>
                <w:szCs w:val="16"/>
                <w:color w:val="auto"/>
              </w:rPr>
              <w:t>Net cash provided by financing activities</w:t>
            </w:r>
          </w:p>
        </w:tc>
        <w:tc>
          <w:tcPr>
            <w:tcW w:w="80" w:type="dxa"/>
            <w:vAlign w:val="bottom"/>
            <w:tcBorders>
              <w:top w:val="single" w:sz="8" w:color="auto"/>
              <w:bottom w:val="single" w:sz="8" w:color="auto"/>
            </w:tcBorders>
            <w:shd w:val="clear" w:color="auto" w:fill="CCEEFF"/>
          </w:tcPr>
          <w:p>
            <w:pPr>
              <w:spacing w:after="0"/>
              <w:rPr>
                <w:sz w:val="17"/>
                <w:szCs w:val="17"/>
                <w:color w:val="auto"/>
              </w:rPr>
            </w:pPr>
          </w:p>
        </w:tc>
        <w:tc>
          <w:tcPr>
            <w:tcW w:w="7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220,730</w:t>
            </w:r>
          </w:p>
        </w:tc>
        <w:tc>
          <w:tcPr>
            <w:tcW w:w="2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80" w:type="dxa"/>
            <w:vAlign w:val="bottom"/>
            <w:tcBorders>
              <w:top w:val="single" w:sz="8" w:color="auto"/>
              <w:bottom w:val="single" w:sz="8" w:color="auto"/>
            </w:tcBorders>
            <w:shd w:val="clear" w:color="auto" w:fill="CCEEFF"/>
          </w:tcPr>
          <w:p>
            <w:pPr>
              <w:spacing w:after="0"/>
              <w:rPr>
                <w:sz w:val="17"/>
                <w:szCs w:val="17"/>
                <w:color w:val="auto"/>
              </w:rPr>
            </w:pPr>
          </w:p>
        </w:tc>
        <w:tc>
          <w:tcPr>
            <w:tcW w:w="7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386,182</w:t>
            </w:r>
          </w:p>
        </w:tc>
        <w:tc>
          <w:tcPr>
            <w:tcW w:w="2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80" w:type="dxa"/>
            <w:vAlign w:val="bottom"/>
            <w:tcBorders>
              <w:top w:val="single" w:sz="8" w:color="auto"/>
              <w:bottom w:val="single" w:sz="8" w:color="auto"/>
            </w:tcBorders>
            <w:shd w:val="clear" w:color="auto" w:fill="CCEEFF"/>
          </w:tcPr>
          <w:p>
            <w:pPr>
              <w:spacing w:after="0"/>
              <w:rPr>
                <w:sz w:val="17"/>
                <w:szCs w:val="17"/>
                <w:color w:val="auto"/>
              </w:rPr>
            </w:pPr>
          </w:p>
        </w:tc>
        <w:tc>
          <w:tcPr>
            <w:tcW w:w="7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408,154</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7780" w:type="dxa"/>
            <w:vAlign w:val="bottom"/>
          </w:tcPr>
          <w:p>
            <w:pPr>
              <w:spacing w:after="0"/>
              <w:rPr>
                <w:sz w:val="20"/>
                <w:szCs w:val="20"/>
                <w:color w:val="auto"/>
              </w:rPr>
            </w:pPr>
            <w:r>
              <w:rPr>
                <w:rFonts w:ascii="Arial" w:cs="Arial" w:eastAsia="Arial" w:hAnsi="Arial"/>
                <w:sz w:val="16"/>
                <w:szCs w:val="16"/>
                <w:color w:val="auto"/>
              </w:rPr>
              <w:t>Effect of exchange rate changes</w:t>
            </w:r>
          </w:p>
        </w:tc>
        <w:tc>
          <w:tcPr>
            <w:tcW w:w="80" w:type="dxa"/>
            <w:vAlign w:val="bottom"/>
          </w:tcPr>
          <w:p>
            <w:pPr>
              <w:spacing w:after="0"/>
              <w:rPr>
                <w:sz w:val="17"/>
                <w:szCs w:val="17"/>
                <w:color w:val="auto"/>
              </w:rPr>
            </w:pPr>
          </w:p>
        </w:tc>
        <w:tc>
          <w:tcPr>
            <w:tcW w:w="700" w:type="dxa"/>
            <w:vAlign w:val="bottom"/>
          </w:tcPr>
          <w:p>
            <w:pPr>
              <w:jc w:val="right"/>
              <w:spacing w:after="0"/>
              <w:rPr>
                <w:sz w:val="20"/>
                <w:szCs w:val="20"/>
                <w:color w:val="auto"/>
              </w:rPr>
            </w:pPr>
            <w:r>
              <w:rPr>
                <w:rFonts w:ascii="Arial" w:cs="Arial" w:eastAsia="Arial" w:hAnsi="Arial"/>
                <w:sz w:val="16"/>
                <w:szCs w:val="16"/>
                <w:color w:val="auto"/>
              </w:rPr>
              <w:t>177</w:t>
            </w:r>
          </w:p>
        </w:tc>
        <w:tc>
          <w:tcPr>
            <w:tcW w:w="2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00" w:type="dxa"/>
            <w:vAlign w:val="bottom"/>
          </w:tcPr>
          <w:p>
            <w:pPr>
              <w:jc w:val="right"/>
              <w:spacing w:after="0"/>
              <w:rPr>
                <w:sz w:val="20"/>
                <w:szCs w:val="20"/>
                <w:color w:val="auto"/>
              </w:rPr>
            </w:pPr>
            <w:r>
              <w:rPr>
                <w:rFonts w:ascii="Arial" w:cs="Arial" w:eastAsia="Arial" w:hAnsi="Arial"/>
                <w:sz w:val="16"/>
                <w:szCs w:val="16"/>
                <w:color w:val="auto"/>
              </w:rPr>
              <w:t>42</w:t>
            </w: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0" w:type="dxa"/>
            <w:vAlign w:val="bottom"/>
            <w:gridSpan w:val="2"/>
          </w:tcPr>
          <w:p>
            <w:pPr>
              <w:jc w:val="right"/>
              <w:ind w:right="40"/>
              <w:spacing w:after="0"/>
              <w:rPr>
                <w:sz w:val="20"/>
                <w:szCs w:val="20"/>
                <w:color w:val="auto"/>
              </w:rPr>
            </w:pPr>
            <w:r>
              <w:rPr>
                <w:rFonts w:ascii="Arial" w:cs="Arial" w:eastAsia="Arial" w:hAnsi="Arial"/>
                <w:sz w:val="16"/>
                <w:szCs w:val="16"/>
                <w:color w:val="auto"/>
              </w:rPr>
              <w:t>(127)</w:t>
            </w:r>
          </w:p>
        </w:tc>
        <w:tc>
          <w:tcPr>
            <w:tcW w:w="0" w:type="dxa"/>
            <w:vAlign w:val="bottom"/>
          </w:tcPr>
          <w:p>
            <w:pPr>
              <w:spacing w:after="0"/>
              <w:rPr>
                <w:sz w:val="1"/>
                <w:szCs w:val="1"/>
                <w:color w:val="auto"/>
              </w:rPr>
            </w:pPr>
          </w:p>
        </w:tc>
      </w:tr>
      <w:tr>
        <w:trPr>
          <w:trHeight w:val="30"/>
        </w:trPr>
        <w:tc>
          <w:tcPr>
            <w:tcW w:w="77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7780" w:type="dxa"/>
            <w:vAlign w:val="bottom"/>
            <w:shd w:val="clear" w:color="auto" w:fill="CCEEFF"/>
          </w:tcPr>
          <w:p>
            <w:pPr>
              <w:ind w:left="1300"/>
              <w:spacing w:after="0"/>
              <w:rPr>
                <w:sz w:val="20"/>
                <w:szCs w:val="20"/>
                <w:color w:val="auto"/>
              </w:rPr>
            </w:pPr>
            <w:r>
              <w:rPr>
                <w:rFonts w:ascii="Arial" w:cs="Arial" w:eastAsia="Arial" w:hAnsi="Arial"/>
                <w:sz w:val="16"/>
                <w:szCs w:val="16"/>
                <w:color w:val="auto"/>
              </w:rPr>
              <w:t>Net (decrease) increase in cash, cash equivalents and restricted cash</w:t>
            </w:r>
          </w:p>
        </w:tc>
        <w:tc>
          <w:tcPr>
            <w:tcW w:w="8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(72,740)</w:t>
            </w: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52,977</w:t>
            </w:r>
          </w:p>
        </w:tc>
        <w:tc>
          <w:tcPr>
            <w:tcW w:w="2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0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(12,641)</w:t>
            </w:r>
          </w:p>
        </w:tc>
        <w:tc>
          <w:tcPr>
            <w:tcW w:w="0" w:type="dxa"/>
            <w:vAlign w:val="bottom"/>
          </w:tcPr>
          <w:p>
            <w:pPr>
              <w:spacing w:after="0"/>
              <w:rPr>
                <w:sz w:val="1"/>
                <w:szCs w:val="1"/>
                <w:color w:val="auto"/>
              </w:rPr>
            </w:pPr>
          </w:p>
        </w:tc>
      </w:tr>
      <w:tr>
        <w:trPr>
          <w:trHeight w:val="209"/>
        </w:trPr>
        <w:tc>
          <w:tcPr>
            <w:tcW w:w="7780" w:type="dxa"/>
            <w:vAlign w:val="bottom"/>
          </w:tcPr>
          <w:p>
            <w:pPr>
              <w:spacing w:after="0"/>
              <w:rPr>
                <w:sz w:val="20"/>
                <w:szCs w:val="20"/>
                <w:color w:val="auto"/>
              </w:rPr>
            </w:pPr>
            <w:r>
              <w:rPr>
                <w:rFonts w:ascii="Arial" w:cs="Arial" w:eastAsia="Arial" w:hAnsi="Arial"/>
                <w:sz w:val="16"/>
                <w:szCs w:val="16"/>
                <w:color w:val="auto"/>
              </w:rPr>
              <w:t>Cash, cash equivalents and restricted cash, beginning of the year</w:t>
            </w:r>
          </w:p>
        </w:tc>
        <w:tc>
          <w:tcPr>
            <w:tcW w:w="80" w:type="dxa"/>
            <w:vAlign w:val="bottom"/>
            <w:tcBorders>
              <w:bottom w:val="single" w:sz="8" w:color="auto"/>
            </w:tcBorders>
          </w:tcPr>
          <w:p>
            <w:pPr>
              <w:spacing w:after="0"/>
              <w:rPr>
                <w:sz w:val="18"/>
                <w:szCs w:val="18"/>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277,905</w:t>
            </w:r>
          </w:p>
        </w:tc>
        <w:tc>
          <w:tcPr>
            <w:tcW w:w="2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224,928</w:t>
            </w:r>
          </w:p>
        </w:tc>
        <w:tc>
          <w:tcPr>
            <w:tcW w:w="2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237,569</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7780" w:type="dxa"/>
            <w:vAlign w:val="bottom"/>
            <w:shd w:val="clear" w:color="auto" w:fill="CCEEFF"/>
          </w:tcPr>
          <w:p>
            <w:pPr>
              <w:spacing w:after="0"/>
              <w:rPr>
                <w:sz w:val="20"/>
                <w:szCs w:val="20"/>
                <w:color w:val="auto"/>
              </w:rPr>
            </w:pPr>
            <w:r>
              <w:rPr>
                <w:rFonts w:ascii="Arial" w:cs="Arial" w:eastAsia="Arial" w:hAnsi="Arial"/>
                <w:sz w:val="16"/>
                <w:szCs w:val="16"/>
                <w:color w:val="auto"/>
              </w:rPr>
              <w:t>Cash, cash equivalents and restricted cash, end of the year</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92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205,165</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277,905</w:t>
            </w:r>
          </w:p>
        </w:tc>
        <w:tc>
          <w:tcPr>
            <w:tcW w:w="240" w:type="dxa"/>
            <w:vAlign w:val="bottom"/>
            <w:shd w:val="clear" w:color="auto" w:fill="CCEEFF"/>
          </w:tcPr>
          <w:p>
            <w:pPr>
              <w:spacing w:after="0"/>
              <w:rPr>
                <w:sz w:val="17"/>
                <w:szCs w:val="17"/>
                <w:color w:val="auto"/>
              </w:rPr>
            </w:pP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224,928</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7780" w:type="dxa"/>
            <w:vAlign w:val="bottom"/>
            <w:vMerge w:val="restart"/>
          </w:tcPr>
          <w:p>
            <w:pPr>
              <w:spacing w:after="0"/>
              <w:rPr>
                <w:sz w:val="20"/>
                <w:szCs w:val="20"/>
                <w:color w:val="auto"/>
              </w:rPr>
            </w:pPr>
            <w:r>
              <w:rPr>
                <w:rFonts w:ascii="Arial" w:cs="Arial" w:eastAsia="Arial" w:hAnsi="Arial"/>
                <w:sz w:val="16"/>
                <w:szCs w:val="16"/>
                <w:color w:val="auto"/>
              </w:rPr>
              <w:t>Supplemental disclosures of cash flow information:</w:t>
            </w:r>
          </w:p>
        </w:tc>
        <w:tc>
          <w:tcPr>
            <w:tcW w:w="8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4"/>
        </w:trPr>
        <w:tc>
          <w:tcPr>
            <w:tcW w:w="7780" w:type="dxa"/>
            <w:vAlign w:val="bottom"/>
            <w:vMerge w:val="continue"/>
          </w:tcPr>
          <w:p>
            <w:pPr>
              <w:spacing w:after="0"/>
              <w:rPr>
                <w:sz w:val="16"/>
                <w:szCs w:val="16"/>
                <w:color w:val="auto"/>
              </w:rPr>
            </w:pPr>
          </w:p>
        </w:tc>
        <w:tc>
          <w:tcPr>
            <w:tcW w:w="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5"/>
        </w:trPr>
        <w:tc>
          <w:tcPr>
            <w:tcW w:w="7780" w:type="dxa"/>
            <w:vAlign w:val="bottom"/>
            <w:shd w:val="clear" w:color="auto" w:fill="CCEEFF"/>
          </w:tcPr>
          <w:p>
            <w:pPr>
              <w:ind w:left="320"/>
              <w:spacing w:after="0"/>
              <w:rPr>
                <w:sz w:val="20"/>
                <w:szCs w:val="20"/>
                <w:color w:val="auto"/>
              </w:rPr>
            </w:pPr>
            <w:r>
              <w:rPr>
                <w:rFonts w:ascii="Arial" w:cs="Arial" w:eastAsia="Arial" w:hAnsi="Arial"/>
                <w:sz w:val="16"/>
                <w:szCs w:val="16"/>
                <w:color w:val="auto"/>
              </w:rPr>
              <w:t>Cash paid for interest expense and realized (loss) gain on derivative instruments, net</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92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126,958</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142,248</w:t>
            </w:r>
          </w:p>
        </w:tc>
        <w:tc>
          <w:tcPr>
            <w:tcW w:w="240" w:type="dxa"/>
            <w:vAlign w:val="bottom"/>
            <w:shd w:val="clear" w:color="auto" w:fill="CCEEFF"/>
          </w:tcPr>
          <w:p>
            <w:pPr>
              <w:spacing w:after="0"/>
              <w:rPr>
                <w:sz w:val="17"/>
                <w:szCs w:val="17"/>
                <w:color w:val="auto"/>
              </w:rPr>
            </w:pP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123,581</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780" w:type="dxa"/>
            <w:vAlign w:val="bottom"/>
          </w:tcPr>
          <w:p>
            <w:pPr>
              <w:ind w:left="320"/>
              <w:spacing w:after="0"/>
              <w:rPr>
                <w:sz w:val="20"/>
                <w:szCs w:val="20"/>
                <w:color w:val="auto"/>
              </w:rPr>
            </w:pPr>
            <w:r>
              <w:rPr>
                <w:rFonts w:ascii="Arial" w:cs="Arial" w:eastAsia="Arial" w:hAnsi="Arial"/>
                <w:sz w:val="16"/>
                <w:szCs w:val="16"/>
                <w:color w:val="auto"/>
              </w:rPr>
              <w:t>Net income taxes paid</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920" w:type="dxa"/>
            <w:vAlign w:val="bottom"/>
            <w:gridSpan w:val="2"/>
          </w:tcPr>
          <w:p>
            <w:pPr>
              <w:jc w:val="right"/>
              <w:ind w:right="220"/>
              <w:spacing w:after="0"/>
              <w:rPr>
                <w:sz w:val="20"/>
                <w:szCs w:val="20"/>
                <w:color w:val="auto"/>
              </w:rPr>
            </w:pPr>
            <w:r>
              <w:rPr>
                <w:rFonts w:ascii="Arial" w:cs="Arial" w:eastAsia="Arial" w:hAnsi="Arial"/>
                <w:sz w:val="16"/>
                <w:szCs w:val="16"/>
                <w:color w:val="auto"/>
              </w:rPr>
              <w:t>34</w:t>
            </w:r>
          </w:p>
        </w:tc>
        <w:tc>
          <w:tcPr>
            <w:tcW w:w="24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700" w:type="dxa"/>
            <w:vAlign w:val="bottom"/>
          </w:tcPr>
          <w:p>
            <w:pPr>
              <w:jc w:val="right"/>
              <w:spacing w:after="0"/>
              <w:rPr>
                <w:sz w:val="20"/>
                <w:szCs w:val="20"/>
                <w:color w:val="auto"/>
              </w:rPr>
            </w:pPr>
            <w:r>
              <w:rPr>
                <w:rFonts w:ascii="Arial" w:cs="Arial" w:eastAsia="Arial" w:hAnsi="Arial"/>
                <w:sz w:val="16"/>
                <w:szCs w:val="16"/>
                <w:color w:val="auto"/>
              </w:rPr>
              <w:t>42</w:t>
            </w:r>
          </w:p>
        </w:tc>
        <w:tc>
          <w:tcPr>
            <w:tcW w:w="240" w:type="dxa"/>
            <w:vAlign w:val="bottom"/>
          </w:tcPr>
          <w:p>
            <w:pPr>
              <w:spacing w:after="0"/>
              <w:rPr>
                <w:sz w:val="17"/>
                <w:szCs w:val="17"/>
                <w:color w:val="auto"/>
              </w:rPr>
            </w:pPr>
          </w:p>
        </w:tc>
        <w:tc>
          <w:tcPr>
            <w:tcW w:w="26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700" w:type="dxa"/>
            <w:vAlign w:val="bottom"/>
          </w:tcPr>
          <w:p>
            <w:pPr>
              <w:jc w:val="right"/>
              <w:spacing w:after="0"/>
              <w:rPr>
                <w:sz w:val="20"/>
                <w:szCs w:val="20"/>
                <w:color w:val="auto"/>
              </w:rPr>
            </w:pPr>
            <w:r>
              <w:rPr>
                <w:rFonts w:ascii="Arial" w:cs="Arial" w:eastAsia="Arial" w:hAnsi="Arial"/>
                <w:sz w:val="16"/>
                <w:szCs w:val="16"/>
                <w:color w:val="auto"/>
              </w:rPr>
              <w:t>1,138</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780" w:type="dxa"/>
            <w:vAlign w:val="bottom"/>
            <w:shd w:val="clear" w:color="auto" w:fill="CCEEFF"/>
          </w:tcPr>
          <w:p>
            <w:pPr>
              <w:spacing w:after="0"/>
              <w:rPr>
                <w:sz w:val="20"/>
                <w:szCs w:val="20"/>
                <w:color w:val="auto"/>
              </w:rPr>
            </w:pPr>
            <w:r>
              <w:rPr>
                <w:rFonts w:ascii="Arial" w:cs="Arial" w:eastAsia="Arial" w:hAnsi="Arial"/>
                <w:sz w:val="16"/>
                <w:szCs w:val="16"/>
                <w:color w:val="auto"/>
              </w:rPr>
              <w:t>Supplemental disclosures of noncash operating activities:</w:t>
            </w: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2"/>
        </w:trPr>
        <w:tc>
          <w:tcPr>
            <w:tcW w:w="7780" w:type="dxa"/>
            <w:vAlign w:val="bottom"/>
          </w:tcPr>
          <w:p>
            <w:pPr>
              <w:ind w:left="320"/>
              <w:spacing w:after="0"/>
              <w:rPr>
                <w:sz w:val="20"/>
                <w:szCs w:val="20"/>
                <w:color w:val="auto"/>
              </w:rPr>
            </w:pPr>
            <w:r>
              <w:rPr>
                <w:rFonts w:ascii="Arial" w:cs="Arial" w:eastAsia="Arial" w:hAnsi="Arial"/>
                <w:sz w:val="16"/>
                <w:szCs w:val="16"/>
                <w:color w:val="auto"/>
              </w:rPr>
              <w:t>Right-of-use asset for leased properties</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920" w:type="dxa"/>
            <w:vAlign w:val="bottom"/>
            <w:gridSpan w:val="2"/>
          </w:tcPr>
          <w:p>
            <w:pPr>
              <w:jc w:val="right"/>
              <w:ind w:right="220"/>
              <w:spacing w:after="0"/>
              <w:rPr>
                <w:sz w:val="20"/>
                <w:szCs w:val="20"/>
                <w:color w:val="auto"/>
              </w:rPr>
            </w:pPr>
            <w:r>
              <w:rPr>
                <w:rFonts w:ascii="Arial" w:cs="Arial" w:eastAsia="Arial" w:hAnsi="Arial"/>
                <w:sz w:val="16"/>
                <w:szCs w:val="16"/>
                <w:color w:val="auto"/>
              </w:rPr>
              <w:t>574</w:t>
            </w:r>
          </w:p>
        </w:tc>
        <w:tc>
          <w:tcPr>
            <w:tcW w:w="24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940" w:type="dxa"/>
            <w:vAlign w:val="bottom"/>
            <w:gridSpan w:val="2"/>
          </w:tcPr>
          <w:p>
            <w:pPr>
              <w:jc w:val="right"/>
              <w:ind w:right="240"/>
              <w:spacing w:after="0"/>
              <w:rPr>
                <w:sz w:val="20"/>
                <w:szCs w:val="20"/>
                <w:color w:val="auto"/>
              </w:rPr>
            </w:pPr>
            <w:r>
              <w:rPr>
                <w:rFonts w:ascii="Arial" w:cs="Arial" w:eastAsia="Arial" w:hAnsi="Arial"/>
                <w:sz w:val="16"/>
                <w:szCs w:val="16"/>
                <w:color w:val="auto"/>
              </w:rPr>
              <w:t>11,276</w:t>
            </w:r>
          </w:p>
        </w:tc>
        <w:tc>
          <w:tcPr>
            <w:tcW w:w="26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80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3"/>
        </w:trPr>
        <w:tc>
          <w:tcPr>
            <w:tcW w:w="7780" w:type="dxa"/>
            <w:vAlign w:val="bottom"/>
            <w:shd w:val="clear" w:color="auto" w:fill="CCEEFF"/>
          </w:tcPr>
          <w:p>
            <w:pPr>
              <w:spacing w:after="0"/>
              <w:rPr>
                <w:sz w:val="20"/>
                <w:szCs w:val="20"/>
                <w:color w:val="auto"/>
              </w:rPr>
            </w:pPr>
            <w:r>
              <w:rPr>
                <w:rFonts w:ascii="Arial" w:cs="Arial" w:eastAsia="Arial" w:hAnsi="Arial"/>
                <w:sz w:val="16"/>
                <w:szCs w:val="16"/>
                <w:color w:val="auto"/>
              </w:rPr>
              <w:t>Supplemental disclosures of noncash investing activities:</w:t>
            </w: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780" w:type="dxa"/>
            <w:vAlign w:val="bottom"/>
          </w:tcPr>
          <w:p>
            <w:pPr>
              <w:ind w:left="320"/>
              <w:spacing w:after="0"/>
              <w:rPr>
                <w:sz w:val="20"/>
                <w:szCs w:val="20"/>
                <w:color w:val="auto"/>
              </w:rPr>
            </w:pPr>
            <w:r>
              <w:rPr>
                <w:rFonts w:ascii="Arial" w:cs="Arial" w:eastAsia="Arial" w:hAnsi="Arial"/>
                <w:sz w:val="16"/>
                <w:szCs w:val="16"/>
                <w:color w:val="auto"/>
              </w:rPr>
              <w:t>Increase (decrease) in accrued container purchases</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920" w:type="dxa"/>
            <w:vAlign w:val="bottom"/>
            <w:gridSpan w:val="2"/>
          </w:tcPr>
          <w:p>
            <w:pPr>
              <w:jc w:val="right"/>
              <w:ind w:right="220"/>
              <w:spacing w:after="0"/>
              <w:rPr>
                <w:sz w:val="20"/>
                <w:szCs w:val="20"/>
                <w:color w:val="auto"/>
              </w:rPr>
            </w:pPr>
            <w:r>
              <w:rPr>
                <w:rFonts w:ascii="Arial" w:cs="Arial" w:eastAsia="Arial" w:hAnsi="Arial"/>
                <w:sz w:val="16"/>
                <w:szCs w:val="16"/>
                <w:color w:val="auto"/>
              </w:rPr>
              <w:t>222,253</w:t>
            </w:r>
          </w:p>
        </w:tc>
        <w:tc>
          <w:tcPr>
            <w:tcW w:w="24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940" w:type="dxa"/>
            <w:vAlign w:val="bottom"/>
            <w:gridSpan w:val="2"/>
          </w:tcPr>
          <w:p>
            <w:pPr>
              <w:jc w:val="right"/>
              <w:ind w:right="180"/>
              <w:spacing w:after="0"/>
              <w:rPr>
                <w:sz w:val="20"/>
                <w:szCs w:val="20"/>
                <w:color w:val="auto"/>
              </w:rPr>
            </w:pPr>
            <w:r>
              <w:rPr>
                <w:rFonts w:ascii="Arial" w:cs="Arial" w:eastAsia="Arial" w:hAnsi="Arial"/>
                <w:sz w:val="16"/>
                <w:szCs w:val="16"/>
                <w:color w:val="auto"/>
              </w:rPr>
              <w:t>(33,316)</w:t>
            </w:r>
          </w:p>
        </w:tc>
        <w:tc>
          <w:tcPr>
            <w:tcW w:w="26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800" w:type="dxa"/>
            <w:vAlign w:val="bottom"/>
            <w:gridSpan w:val="2"/>
          </w:tcPr>
          <w:p>
            <w:pPr>
              <w:jc w:val="right"/>
              <w:ind w:right="40"/>
              <w:spacing w:after="0"/>
              <w:rPr>
                <w:sz w:val="20"/>
                <w:szCs w:val="20"/>
                <w:color w:val="auto"/>
              </w:rPr>
            </w:pPr>
            <w:r>
              <w:rPr>
                <w:rFonts w:ascii="Arial" w:cs="Arial" w:eastAsia="Arial" w:hAnsi="Arial"/>
                <w:sz w:val="16"/>
                <w:szCs w:val="16"/>
                <w:color w:val="auto"/>
              </w:rPr>
              <w:t>(88,377)</w:t>
            </w:r>
          </w:p>
        </w:tc>
        <w:tc>
          <w:tcPr>
            <w:tcW w:w="0" w:type="dxa"/>
            <w:vAlign w:val="bottom"/>
          </w:tcPr>
          <w:p>
            <w:pPr>
              <w:spacing w:after="0"/>
              <w:rPr>
                <w:sz w:val="1"/>
                <w:szCs w:val="1"/>
                <w:color w:val="auto"/>
              </w:rPr>
            </w:pPr>
          </w:p>
        </w:tc>
      </w:tr>
      <w:tr>
        <w:trPr>
          <w:trHeight w:val="203"/>
        </w:trPr>
        <w:tc>
          <w:tcPr>
            <w:tcW w:w="7780" w:type="dxa"/>
            <w:vAlign w:val="bottom"/>
            <w:shd w:val="clear" w:color="auto" w:fill="CCEEFF"/>
          </w:tcPr>
          <w:p>
            <w:pPr>
              <w:ind w:left="320"/>
              <w:spacing w:after="0"/>
              <w:rPr>
                <w:sz w:val="20"/>
                <w:szCs w:val="20"/>
                <w:color w:val="auto"/>
              </w:rPr>
            </w:pPr>
            <w:r>
              <w:rPr>
                <w:rFonts w:ascii="Arial" w:cs="Arial" w:eastAsia="Arial" w:hAnsi="Arial"/>
                <w:sz w:val="16"/>
                <w:szCs w:val="16"/>
                <w:color w:val="auto"/>
              </w:rPr>
              <w:t>Containers placed in finance leases</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92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635,004</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173,856</w:t>
            </w:r>
          </w:p>
        </w:tc>
        <w:tc>
          <w:tcPr>
            <w:tcW w:w="240" w:type="dxa"/>
            <w:vAlign w:val="bottom"/>
            <w:shd w:val="clear" w:color="auto" w:fill="CCEEFF"/>
          </w:tcPr>
          <w:p>
            <w:pPr>
              <w:spacing w:after="0"/>
              <w:rPr>
                <w:sz w:val="17"/>
                <w:szCs w:val="17"/>
                <w:color w:val="auto"/>
              </w:rPr>
            </w:pP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53,859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7780" w:type="dxa"/>
            <w:vAlign w:val="bottom"/>
          </w:tcPr>
          <w:p>
            <w:pPr>
              <w:ind w:left="320"/>
              <w:spacing w:after="0"/>
              <w:rPr>
                <w:sz w:val="20"/>
                <w:szCs w:val="20"/>
                <w:color w:val="auto"/>
              </w:rPr>
            </w:pPr>
            <w:r>
              <w:rPr>
                <w:rFonts w:ascii="Arial" w:cs="Arial" w:eastAsia="Arial" w:hAnsi="Arial"/>
                <w:sz w:val="16"/>
                <w:szCs w:val="16"/>
                <w:color w:val="auto"/>
              </w:rPr>
              <w:t>Decrease in insurance receivable due to a decrease in estimated unrecoverable containers</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920" w:type="dxa"/>
            <w:vAlign w:val="bottom"/>
            <w:gridSpan w:val="2"/>
          </w:tcPr>
          <w:p>
            <w:pPr>
              <w:jc w:val="right"/>
              <w:ind w:right="300"/>
              <w:spacing w:after="0"/>
              <w:rPr>
                <w:sz w:val="20"/>
                <w:szCs w:val="20"/>
                <w:color w:val="auto"/>
              </w:rPr>
            </w:pPr>
            <w:r>
              <w:rPr>
                <w:rFonts w:ascii="Arial" w:cs="Arial" w:eastAsia="Arial" w:hAnsi="Arial"/>
                <w:sz w:val="16"/>
                <w:szCs w:val="16"/>
                <w:color w:val="auto"/>
              </w:rPr>
              <w:t>—</w:t>
            </w:r>
          </w:p>
        </w:tc>
        <w:tc>
          <w:tcPr>
            <w:tcW w:w="24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940" w:type="dxa"/>
            <w:vAlign w:val="bottom"/>
            <w:gridSpan w:val="2"/>
          </w:tcPr>
          <w:p>
            <w:pPr>
              <w:jc w:val="right"/>
              <w:ind w:right="320"/>
              <w:spacing w:after="0"/>
              <w:rPr>
                <w:sz w:val="20"/>
                <w:szCs w:val="20"/>
                <w:color w:val="auto"/>
              </w:rPr>
            </w:pPr>
            <w:r>
              <w:rPr>
                <w:rFonts w:ascii="Arial" w:cs="Arial" w:eastAsia="Arial" w:hAnsi="Arial"/>
                <w:sz w:val="16"/>
                <w:szCs w:val="16"/>
                <w:color w:val="auto"/>
              </w:rPr>
              <w:t>—</w:t>
            </w:r>
          </w:p>
        </w:tc>
        <w:tc>
          <w:tcPr>
            <w:tcW w:w="26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700" w:type="dxa"/>
            <w:vAlign w:val="bottom"/>
          </w:tcPr>
          <w:p>
            <w:pPr>
              <w:jc w:val="right"/>
              <w:spacing w:after="0"/>
              <w:rPr>
                <w:sz w:val="20"/>
                <w:szCs w:val="20"/>
                <w:color w:val="auto"/>
              </w:rPr>
            </w:pPr>
            <w:r>
              <w:rPr>
                <w:rFonts w:ascii="Arial" w:cs="Arial" w:eastAsia="Arial" w:hAnsi="Arial"/>
                <w:sz w:val="16"/>
                <w:szCs w:val="16"/>
                <w:color w:val="auto"/>
              </w:rPr>
              <w:t>2,049</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bl>
    <w:p>
      <w:pPr>
        <w:spacing w:after="0" w:line="198"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See accompanying notes to consolidated financial statements.</w:t>
      </w:r>
    </w:p>
    <w:p>
      <w:pPr>
        <w:spacing w:after="0" w:line="158"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F-9</w:t>
      </w:r>
    </w:p>
    <w:p>
      <w:pPr>
        <w:sectPr>
          <w:pgSz w:w="11900" w:h="16838" w:orient="portrait"/>
          <w:cols w:equalWidth="0" w:num="1">
            <w:col w:w="11020"/>
          </w:cols>
          <w:pgMar w:left="440" w:top="270" w:right="439" w:bottom="1440" w:gutter="0" w:footer="0" w:header="0"/>
        </w:sectPr>
      </w:pPr>
    </w:p>
    <w:bookmarkStart w:id="123" w:name="page124"/>
    <w:bookmarkEnd w:id="123"/>
    <w:p>
      <w:pPr>
        <w:jc w:val="center"/>
        <w:ind w:right="-43"/>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TEXTAINER GROUP HOLDINGS LIMITED AND SUBSIDIARIES</w:t>
      </w:r>
    </w:p>
    <w:p>
      <w:pPr>
        <w:spacing w:after="0" w:line="121"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Notes to Consolidated Financial Statements</w:t>
      </w:r>
    </w:p>
    <w:p>
      <w:pPr>
        <w:spacing w:after="0" w:line="117"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December 31, 2020, 2019, and 2018</w:t>
      </w:r>
    </w:p>
    <w:p>
      <w:pPr>
        <w:spacing w:after="0" w:line="117"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(All currency expressed in U.S. dollars in thousands, except per share amounts)</w:t>
      </w:r>
    </w:p>
    <w:p>
      <w:pPr>
        <w:spacing w:after="0" w:line="221"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(1) Nature of Business and Summary of Significant Accounting Policies</w:t>
      </w:r>
    </w:p>
    <w:p>
      <w:pPr>
        <w:spacing w:after="0" w:line="121" w:lineRule="exact"/>
        <w:rPr>
          <w:sz w:val="20"/>
          <w:szCs w:val="20"/>
          <w:color w:val="auto"/>
        </w:rPr>
      </w:pPr>
    </w:p>
    <w:p>
      <w:pPr>
        <w:ind w:left="444" w:hanging="444"/>
        <w:spacing w:after="0"/>
        <w:tabs>
          <w:tab w:leader="none" w:pos="444" w:val="left"/>
        </w:tabs>
        <w:numPr>
          <w:ilvl w:val="0"/>
          <w:numId w:val="94"/>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Nature of Operations</w:t>
      </w:r>
    </w:p>
    <w:p>
      <w:pPr>
        <w:spacing w:after="0" w:line="117" w:lineRule="exact"/>
        <w:rPr>
          <w:sz w:val="20"/>
          <w:szCs w:val="20"/>
          <w:color w:val="auto"/>
        </w:rPr>
      </w:pPr>
    </w:p>
    <w:p>
      <w:pPr>
        <w:ind w:left="4" w:right="40" w:firstLine="440"/>
        <w:spacing w:after="0" w:line="259" w:lineRule="auto"/>
        <w:rPr>
          <w:sz w:val="20"/>
          <w:szCs w:val="20"/>
          <w:color w:val="auto"/>
        </w:rPr>
      </w:pPr>
      <w:r>
        <w:rPr>
          <w:rFonts w:ascii="Arial" w:cs="Arial" w:eastAsia="Arial" w:hAnsi="Arial"/>
          <w:sz w:val="18"/>
          <w:szCs w:val="18"/>
          <w:color w:val="auto"/>
        </w:rPr>
        <w:t>Textainer Group Holdings Limited (“TGH”) is incorporated in Bermuda. TGH is the holding company of a group of companies, consisting of TGH and its subsidiaries (collectively, the “Company”), involved in the purchase, management, leasing and resale of a fleet of marine cargo containers. The Company manages and provides administrative support to the affiliated and unaffiliated third-party owners’ (the “Container Investors”) container fleets.</w:t>
      </w:r>
    </w:p>
    <w:p>
      <w:pPr>
        <w:spacing w:after="0" w:line="187" w:lineRule="exact"/>
        <w:rPr>
          <w:sz w:val="20"/>
          <w:szCs w:val="20"/>
          <w:color w:val="auto"/>
        </w:rPr>
      </w:pPr>
    </w:p>
    <w:p>
      <w:pPr>
        <w:ind w:left="4" w:right="320" w:firstLine="440"/>
        <w:spacing w:after="0" w:line="277" w:lineRule="auto"/>
        <w:rPr>
          <w:sz w:val="20"/>
          <w:szCs w:val="20"/>
          <w:color w:val="auto"/>
        </w:rPr>
      </w:pPr>
      <w:r>
        <w:rPr>
          <w:rFonts w:ascii="Arial" w:cs="Arial" w:eastAsia="Arial" w:hAnsi="Arial"/>
          <w:sz w:val="18"/>
          <w:szCs w:val="18"/>
          <w:color w:val="auto"/>
        </w:rPr>
        <w:t>The Company conducts its business activities in three main areas: Container Ownership, Container Management and Container Resale. These activities are described below (also see Note 10 “Segment Information”).</w:t>
      </w:r>
    </w:p>
    <w:p>
      <w:pPr>
        <w:spacing w:after="0" w:line="278" w:lineRule="exact"/>
        <w:rPr>
          <w:sz w:val="20"/>
          <w:szCs w:val="20"/>
          <w:color w:val="auto"/>
        </w:rPr>
      </w:pPr>
    </w:p>
    <w:p>
      <w:pPr>
        <w:ind w:left="4"/>
        <w:spacing w:after="0"/>
        <w:rPr>
          <w:sz w:val="20"/>
          <w:szCs w:val="20"/>
          <w:color w:val="auto"/>
        </w:rPr>
      </w:pPr>
      <w:r>
        <w:rPr>
          <w:rFonts w:ascii="Arial" w:cs="Arial" w:eastAsia="Arial" w:hAnsi="Arial"/>
          <w:sz w:val="18"/>
          <w:szCs w:val="18"/>
          <w:i w:val="1"/>
          <w:iCs w:val="1"/>
          <w:color w:val="auto"/>
        </w:rPr>
        <w:t>Container Ownership</w:t>
      </w:r>
    </w:p>
    <w:p>
      <w:pPr>
        <w:spacing w:after="0" w:line="117" w:lineRule="exact"/>
        <w:rPr>
          <w:sz w:val="20"/>
          <w:szCs w:val="20"/>
          <w:color w:val="auto"/>
        </w:rPr>
      </w:pPr>
    </w:p>
    <w:p>
      <w:pPr>
        <w:ind w:left="4" w:firstLine="440"/>
        <w:spacing w:after="0" w:line="259" w:lineRule="auto"/>
        <w:rPr>
          <w:sz w:val="20"/>
          <w:szCs w:val="20"/>
          <w:color w:val="auto"/>
        </w:rPr>
      </w:pPr>
      <w:r>
        <w:rPr>
          <w:rFonts w:ascii="Arial" w:cs="Arial" w:eastAsia="Arial" w:hAnsi="Arial"/>
          <w:sz w:val="18"/>
          <w:szCs w:val="18"/>
          <w:color w:val="auto"/>
        </w:rPr>
        <w:t>The Company’s containers consist primarily of standard dry freight containers, but also include refrigerated and other special-purpose containers. These owned containers are financed through retained earnings; revolving credit facilities, secured debt facilities and a term loan provided by banks; bonds payable to investors; and a public offering of TGH’s common shares. Expenses related to lease rental income of the owned fleet primarily include direct container expenses, depreciation expense and interest expense.</w:t>
      </w:r>
    </w:p>
    <w:p>
      <w:pPr>
        <w:spacing w:after="0" w:line="295" w:lineRule="exact"/>
        <w:rPr>
          <w:sz w:val="20"/>
          <w:szCs w:val="20"/>
          <w:color w:val="auto"/>
        </w:rPr>
      </w:pPr>
    </w:p>
    <w:p>
      <w:pPr>
        <w:ind w:left="4"/>
        <w:spacing w:after="0"/>
        <w:rPr>
          <w:sz w:val="20"/>
          <w:szCs w:val="20"/>
          <w:color w:val="auto"/>
        </w:rPr>
      </w:pPr>
      <w:r>
        <w:rPr>
          <w:rFonts w:ascii="Arial" w:cs="Arial" w:eastAsia="Arial" w:hAnsi="Arial"/>
          <w:sz w:val="18"/>
          <w:szCs w:val="18"/>
          <w:i w:val="1"/>
          <w:iCs w:val="1"/>
          <w:color w:val="auto"/>
        </w:rPr>
        <w:t>Container Management</w:t>
      </w:r>
    </w:p>
    <w:p>
      <w:pPr>
        <w:spacing w:after="0" w:line="117" w:lineRule="exact"/>
        <w:rPr>
          <w:sz w:val="20"/>
          <w:szCs w:val="20"/>
          <w:color w:val="auto"/>
        </w:rPr>
      </w:pPr>
    </w:p>
    <w:p>
      <w:pPr>
        <w:ind w:left="4" w:right="160" w:firstLine="440"/>
        <w:spacing w:after="0" w:line="259" w:lineRule="auto"/>
        <w:rPr>
          <w:sz w:val="20"/>
          <w:szCs w:val="20"/>
          <w:color w:val="auto"/>
        </w:rPr>
      </w:pPr>
      <w:r>
        <w:rPr>
          <w:rFonts w:ascii="Arial" w:cs="Arial" w:eastAsia="Arial" w:hAnsi="Arial"/>
          <w:sz w:val="18"/>
          <w:szCs w:val="18"/>
          <w:color w:val="auto"/>
        </w:rPr>
        <w:t>The Company manages, on a worldwide basis, a fleet of containers for and on behalf of the Container Investors. All rental operations are conducted worldwide in the name of the Company who, as agent for the Container Investors, acquires and sells containers, enters into leasing agreements and depot service agreements, bills and collects lease rentals from the lessees, disburses funds to depots for container handling, and remits net amounts, less management fees and commissions, to the Container Investors.</w:t>
      </w:r>
    </w:p>
    <w:p>
      <w:pPr>
        <w:spacing w:after="0" w:line="187" w:lineRule="exact"/>
        <w:rPr>
          <w:sz w:val="20"/>
          <w:szCs w:val="20"/>
          <w:color w:val="auto"/>
        </w:rPr>
      </w:pPr>
    </w:p>
    <w:p>
      <w:pPr>
        <w:ind w:left="4" w:right="80" w:firstLine="440"/>
        <w:spacing w:after="0" w:line="254" w:lineRule="auto"/>
        <w:rPr>
          <w:sz w:val="20"/>
          <w:szCs w:val="20"/>
          <w:color w:val="auto"/>
        </w:rPr>
      </w:pPr>
      <w:r>
        <w:rPr>
          <w:rFonts w:ascii="Arial" w:cs="Arial" w:eastAsia="Arial" w:hAnsi="Arial"/>
          <w:sz w:val="18"/>
          <w:szCs w:val="18"/>
          <w:color w:val="auto"/>
        </w:rPr>
        <w:t>Fees earned by the Company under the management agreements are typically a percentage of net operating income of each Container Investor’s fleet and consist of fees for leasing services related to the management of the containers, sales commissions and net acquisition fees earned on the acquisition of containers. Lease rental income and expenses arising from the operation of the managed fleet are presented on a gross basis, whereby revenue billed to shipping lines and expenses incurred and distributions to the container investors of the managed fleet are presented in the Company’s consolidated statements of operations. Accounts receivable and vendor payables arising from direct container operations of the managed containers are presented on a gross basis in the Company’s consolidated balance sheets. See Note 3 “Managed Container Fleet” for information on the managed fleet containers.</w:t>
      </w:r>
    </w:p>
    <w:p>
      <w:pPr>
        <w:spacing w:after="0" w:line="303" w:lineRule="exact"/>
        <w:rPr>
          <w:sz w:val="20"/>
          <w:szCs w:val="20"/>
          <w:color w:val="auto"/>
        </w:rPr>
      </w:pPr>
    </w:p>
    <w:p>
      <w:pPr>
        <w:ind w:left="4"/>
        <w:spacing w:after="0"/>
        <w:rPr>
          <w:sz w:val="20"/>
          <w:szCs w:val="20"/>
          <w:color w:val="auto"/>
        </w:rPr>
      </w:pPr>
      <w:r>
        <w:rPr>
          <w:rFonts w:ascii="Arial" w:cs="Arial" w:eastAsia="Arial" w:hAnsi="Arial"/>
          <w:sz w:val="18"/>
          <w:szCs w:val="18"/>
          <w:i w:val="1"/>
          <w:iCs w:val="1"/>
          <w:color w:val="auto"/>
        </w:rPr>
        <w:t>Container Resale</w:t>
      </w:r>
    </w:p>
    <w:p>
      <w:pPr>
        <w:spacing w:after="0" w:line="117" w:lineRule="exact"/>
        <w:rPr>
          <w:sz w:val="20"/>
          <w:szCs w:val="20"/>
          <w:color w:val="auto"/>
        </w:rPr>
      </w:pPr>
    </w:p>
    <w:p>
      <w:pPr>
        <w:ind w:left="4" w:right="20" w:firstLine="440"/>
        <w:spacing w:after="0" w:line="286" w:lineRule="auto"/>
        <w:rPr>
          <w:sz w:val="20"/>
          <w:szCs w:val="20"/>
          <w:color w:val="auto"/>
        </w:rPr>
      </w:pPr>
      <w:r>
        <w:rPr>
          <w:rFonts w:ascii="Arial" w:cs="Arial" w:eastAsia="Arial" w:hAnsi="Arial"/>
          <w:sz w:val="17"/>
          <w:szCs w:val="17"/>
          <w:color w:val="auto"/>
        </w:rPr>
        <w:t>The Company buys and subsequently resells containers (trading containers) from third parties. Container sales revenue represents the proceeds on the sale of containers purchased for resale. Cost of containers sold represents the cost of equipment purchased for resale that were sold as well as the related selling costs. The Company earns sales commissions related to the sale of the containers that it manages.</w:t>
      </w:r>
    </w:p>
    <w:p>
      <w:pPr>
        <w:spacing w:after="0" w:line="98"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F-10</w:t>
      </w:r>
    </w:p>
    <w:p>
      <w:pPr>
        <w:sectPr>
          <w:pgSz w:w="11900" w:h="16838" w:orient="portrait"/>
          <w:cols w:equalWidth="0" w:num="1">
            <w:col w:w="10964"/>
          </w:cols>
          <w:pgMar w:left="436" w:top="270" w:right="499" w:bottom="1440" w:gutter="0" w:footer="0" w:header="0"/>
        </w:sectPr>
      </w:pPr>
    </w:p>
    <w:bookmarkStart w:id="124" w:name="page125"/>
    <w:bookmarkEnd w:id="124"/>
    <w:p>
      <w:pPr>
        <w:ind w:left="424" w:hanging="424"/>
        <w:spacing w:after="0"/>
        <w:tabs>
          <w:tab w:leader="none" w:pos="424" w:val="left"/>
        </w:tabs>
        <w:numPr>
          <w:ilvl w:val="0"/>
          <w:numId w:val="95"/>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Principles of Consolidation and Variable Interest Entity</w:t>
      </w:r>
    </w:p>
    <w:p>
      <w:pPr>
        <w:spacing w:after="0" w:line="117" w:lineRule="exact"/>
        <w:rPr>
          <w:sz w:val="20"/>
          <w:szCs w:val="20"/>
          <w:color w:val="auto"/>
        </w:rPr>
      </w:pPr>
    </w:p>
    <w:p>
      <w:pPr>
        <w:ind w:left="4" w:right="200" w:firstLine="440"/>
        <w:spacing w:after="0" w:line="277" w:lineRule="auto"/>
        <w:rPr>
          <w:sz w:val="20"/>
          <w:szCs w:val="20"/>
          <w:color w:val="auto"/>
        </w:rPr>
      </w:pPr>
      <w:r>
        <w:rPr>
          <w:rFonts w:ascii="Arial" w:cs="Arial" w:eastAsia="Arial" w:hAnsi="Arial"/>
          <w:sz w:val="18"/>
          <w:szCs w:val="18"/>
          <w:color w:val="auto"/>
        </w:rPr>
        <w:t>The consolidated financial statements of the Company include TGH and all of its subsidiaries in which the Company has a controlling financial interest. All significant intercompany accounts and balances have been eliminated in consolidation.</w:t>
      </w:r>
    </w:p>
    <w:p>
      <w:pPr>
        <w:spacing w:after="0" w:line="170" w:lineRule="exact"/>
        <w:rPr>
          <w:sz w:val="20"/>
          <w:szCs w:val="20"/>
          <w:color w:val="auto"/>
        </w:rPr>
      </w:pPr>
    </w:p>
    <w:p>
      <w:pPr>
        <w:jc w:val="both"/>
        <w:ind w:left="4" w:right="260" w:firstLine="440"/>
        <w:spacing w:after="0" w:line="263" w:lineRule="auto"/>
        <w:rPr>
          <w:sz w:val="20"/>
          <w:szCs w:val="20"/>
          <w:color w:val="auto"/>
        </w:rPr>
      </w:pPr>
      <w:r>
        <w:rPr>
          <w:rFonts w:ascii="Arial" w:cs="Arial" w:eastAsia="Arial" w:hAnsi="Arial"/>
          <w:sz w:val="18"/>
          <w:szCs w:val="18"/>
          <w:color w:val="auto"/>
        </w:rPr>
        <w:t>The Company determines whether it has a controlling financial interest in an entity by evaluating whether the entity is a variable interest entity (“VIE”) or a voting interest entity (“VME”). If it is determined that the Company does not have a variable interest in the entity, no further analysis is required, and the Company does not consolidate the entity.</w:t>
      </w:r>
    </w:p>
    <w:p>
      <w:pPr>
        <w:spacing w:after="0" w:line="292" w:lineRule="exact"/>
        <w:rPr>
          <w:sz w:val="20"/>
          <w:szCs w:val="20"/>
          <w:color w:val="auto"/>
        </w:rPr>
      </w:pPr>
    </w:p>
    <w:p>
      <w:pPr>
        <w:ind w:left="4"/>
        <w:spacing w:after="0"/>
        <w:rPr>
          <w:sz w:val="20"/>
          <w:szCs w:val="20"/>
          <w:color w:val="auto"/>
        </w:rPr>
      </w:pPr>
      <w:r>
        <w:rPr>
          <w:rFonts w:ascii="Arial" w:cs="Arial" w:eastAsia="Arial" w:hAnsi="Arial"/>
          <w:sz w:val="18"/>
          <w:szCs w:val="18"/>
          <w:i w:val="1"/>
          <w:iCs w:val="1"/>
          <w:color w:val="auto"/>
        </w:rPr>
        <w:t>TAP Funding</w:t>
      </w:r>
    </w:p>
    <w:p>
      <w:pPr>
        <w:spacing w:after="0" w:line="117" w:lineRule="exact"/>
        <w:rPr>
          <w:sz w:val="20"/>
          <w:szCs w:val="20"/>
          <w:color w:val="auto"/>
        </w:rPr>
      </w:pPr>
    </w:p>
    <w:p>
      <w:pPr>
        <w:ind w:left="4" w:firstLine="440"/>
        <w:spacing w:after="0" w:line="287" w:lineRule="auto"/>
        <w:rPr>
          <w:sz w:val="20"/>
          <w:szCs w:val="20"/>
          <w:color w:val="auto"/>
        </w:rPr>
      </w:pPr>
      <w:r>
        <w:rPr>
          <w:rFonts w:ascii="Arial" w:cs="Arial" w:eastAsia="Arial" w:hAnsi="Arial"/>
          <w:sz w:val="16"/>
          <w:szCs w:val="16"/>
          <w:color w:val="auto"/>
        </w:rPr>
        <w:t>On December 20, 2012, the Company’s wholly-owned subsidiary, Textainer Limited (“TL”), purchased 50.1% of the outstanding common shares of TAP Funding Ltd. (“TAP Funding”) (a Bermuda company) from TAP Ltd. (“TAP”). Both before and after this purchase, TAP Funding leases containers to lessees under operating and finance leases. TAP is governed by members and management agreements and the Company’s wholly-owned subsidiary, Textainer Equipment Management Limited (“TEML”), manages all of TAP Funding’s containers, making day-to-day decisions regarding the marketing, servicing and design of TAP Funding’s leases. TL’s purchase of a majority ownership of TAP Funding’s common shares allowed the Company to increase the size of its owned fleet at an attractive price. Under TAP Funding’s members agreement, TL owns 50.1% and TAP owns 49.9% of the common shares of TAP Funding. As common shareholders, TL has two voting rights and TAP has one voting right of TAP Funding, with the exception of certain matters such as bankruptcy proceedings and the incurrence of debt and mergers and consolidations, which require unanimity. TL also has two seats and TAP has one seat on TAP Funding’s board of directors. In addition, TL has an option to purchase the remaining outstanding common shares of TAP Funding held by TAP during the period beginning January 1, 2023 and through December 31, 2024 for a purchase price equal to the equity carrying value of TAP Funding plus 6% of TAP’s percentage ownership interest in TAP Funding minus the sum of any and all U.S. federal, state and local taxes of any nature that would be recognized by TL if TAP Funding was liquidated by TL immediately after TL purchased its shares.</w:t>
      </w:r>
    </w:p>
    <w:p>
      <w:pPr>
        <w:spacing w:after="0" w:line="168" w:lineRule="exact"/>
        <w:rPr>
          <w:sz w:val="20"/>
          <w:szCs w:val="20"/>
          <w:color w:val="auto"/>
        </w:rPr>
      </w:pPr>
    </w:p>
    <w:p>
      <w:pPr>
        <w:ind w:left="4" w:right="80" w:firstLine="440"/>
        <w:spacing w:after="0" w:line="255" w:lineRule="auto"/>
        <w:rPr>
          <w:sz w:val="20"/>
          <w:szCs w:val="20"/>
          <w:color w:val="auto"/>
        </w:rPr>
      </w:pPr>
      <w:r>
        <w:rPr>
          <w:rFonts w:ascii="Arial" w:cs="Arial" w:eastAsia="Arial" w:hAnsi="Arial"/>
          <w:sz w:val="18"/>
          <w:szCs w:val="18"/>
          <w:color w:val="auto"/>
        </w:rPr>
        <w:t>TAP Funding is a VME and the Company consolidates TAP Funding as the Company has a controlling financial interest in TAP Funding, in which TL owns 50% or more voting interest. TAP Funding’s profits and losses are allocated to TL and TAP on the same basis as their ownership percentages. The equity owned by TAP in TAP Funding is shown as a “noncontrolling interest” on the Company’s consolidated balance sheets and the net income (loss) attributable to the noncontrolling interest’s operations is shown as “net (income) loss attributable to the noncontrolling interests” on the Company’s consolidated statements of operations. On January 19, 2021, the Company completed the acquisition of 49.9% of the common shares of TAP Funding (see Note 14 “Subsequent Events”).</w:t>
      </w:r>
    </w:p>
    <w:p>
      <w:pPr>
        <w:spacing w:after="0" w:line="300" w:lineRule="exact"/>
        <w:rPr>
          <w:sz w:val="20"/>
          <w:szCs w:val="20"/>
          <w:color w:val="auto"/>
        </w:rPr>
      </w:pPr>
    </w:p>
    <w:p>
      <w:pPr>
        <w:ind w:left="4"/>
        <w:spacing w:after="0"/>
        <w:rPr>
          <w:sz w:val="20"/>
          <w:szCs w:val="20"/>
          <w:color w:val="auto"/>
        </w:rPr>
      </w:pPr>
      <w:r>
        <w:rPr>
          <w:rFonts w:ascii="Arial" w:cs="Arial" w:eastAsia="Arial" w:hAnsi="Arial"/>
          <w:sz w:val="18"/>
          <w:szCs w:val="18"/>
          <w:i w:val="1"/>
          <w:iCs w:val="1"/>
          <w:color w:val="auto"/>
        </w:rPr>
        <w:t>Leased Assets Pool Company Limited</w:t>
      </w:r>
    </w:p>
    <w:p>
      <w:pPr>
        <w:spacing w:after="0" w:line="117" w:lineRule="exact"/>
        <w:rPr>
          <w:sz w:val="20"/>
          <w:szCs w:val="20"/>
          <w:color w:val="auto"/>
        </w:rPr>
      </w:pPr>
    </w:p>
    <w:p>
      <w:pPr>
        <w:ind w:left="4" w:right="60" w:firstLine="440"/>
        <w:spacing w:after="0" w:line="270" w:lineRule="auto"/>
        <w:rPr>
          <w:sz w:val="20"/>
          <w:szCs w:val="20"/>
          <w:color w:val="auto"/>
        </w:rPr>
      </w:pPr>
      <w:r>
        <w:rPr>
          <w:rFonts w:ascii="Arial" w:cs="Arial" w:eastAsia="Arial" w:hAnsi="Arial"/>
          <w:sz w:val="17"/>
          <w:szCs w:val="17"/>
          <w:color w:val="auto"/>
        </w:rPr>
        <w:t>On December 31, 2019, the Company completed the acquisition of Leased Assets Pool Company Limited (“LAPCO”) (a Bermuda company) from Trencor Limited. After the acquisition, LAPCO became a wholly-owned subsidiary of TL. As a result of the LAPCO acquisition which was accounted for as an asset acquisition of LAPCO’s container fleet, the management agreement between the Company and LAPCO was terminated and effectively settled the pre-existing contractual relationship at acquisition date. Under the terms of the management agreement, the Company previously managed a substantial portion of LAPCO’s container fleet. Because the terms of the pre-existing management agreement were determined to be favorable to the Company compared to current market terms for similar arrangements, a portion of the excess of the fair value of the net assets acquired over the purchase consideration was deemed to be applicable to the effective settlement of the management agreement. Therefore, a gain of $1,823 was recorded on the acquisition date in the consolidated statements of operations as “gain on settlement of pre-existing management agreement” during the year ended December 31, 2019.</w:t>
      </w:r>
    </w:p>
    <w:p>
      <w:pPr>
        <w:spacing w:after="0" w:line="289" w:lineRule="exact"/>
        <w:rPr>
          <w:sz w:val="20"/>
          <w:szCs w:val="20"/>
          <w:color w:val="auto"/>
        </w:rPr>
      </w:pPr>
    </w:p>
    <w:p>
      <w:pPr>
        <w:ind w:left="4"/>
        <w:spacing w:after="0"/>
        <w:rPr>
          <w:sz w:val="20"/>
          <w:szCs w:val="20"/>
          <w:color w:val="auto"/>
        </w:rPr>
      </w:pPr>
      <w:r>
        <w:rPr>
          <w:rFonts w:ascii="Arial" w:cs="Arial" w:eastAsia="Arial" w:hAnsi="Arial"/>
          <w:sz w:val="18"/>
          <w:szCs w:val="18"/>
          <w:i w:val="1"/>
          <w:iCs w:val="1"/>
          <w:color w:val="auto"/>
        </w:rPr>
        <w:t>Managed Containers</w:t>
      </w:r>
    </w:p>
    <w:p>
      <w:pPr>
        <w:spacing w:after="0" w:line="117" w:lineRule="exact"/>
        <w:rPr>
          <w:sz w:val="20"/>
          <w:szCs w:val="20"/>
          <w:color w:val="auto"/>
        </w:rPr>
      </w:pPr>
    </w:p>
    <w:p>
      <w:pPr>
        <w:jc w:val="both"/>
        <w:ind w:left="4" w:right="80" w:firstLine="440"/>
        <w:spacing w:after="0" w:line="311" w:lineRule="auto"/>
        <w:rPr>
          <w:sz w:val="20"/>
          <w:szCs w:val="20"/>
          <w:color w:val="auto"/>
        </w:rPr>
      </w:pPr>
      <w:r>
        <w:rPr>
          <w:rFonts w:ascii="Arial" w:cs="Arial" w:eastAsia="Arial" w:hAnsi="Arial"/>
          <w:sz w:val="16"/>
          <w:szCs w:val="16"/>
          <w:color w:val="auto"/>
        </w:rPr>
        <w:t>The Company enters into container management agreements with Container Investors. The fees earned by the Company for managing container portfolios on behalf of Container Investors are commensurate with the level of effort required to provide those management services and the Company does not have the obligation to absorb losses or the right to receive benefits that may be significant to the Container Investors. As such, the Company is</w:t>
      </w:r>
    </w:p>
    <w:p>
      <w:pPr>
        <w:spacing w:after="0" w:line="81"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F-11</w:t>
      </w:r>
    </w:p>
    <w:p>
      <w:pPr>
        <w:sectPr>
          <w:pgSz w:w="11900" w:h="16838" w:orient="portrait"/>
          <w:cols w:equalWidth="0" w:num="1">
            <w:col w:w="10984"/>
          </w:cols>
          <w:pgMar w:left="436" w:top="274" w:right="479" w:bottom="1440" w:gutter="0" w:footer="0" w:header="0"/>
        </w:sectPr>
      </w:pPr>
    </w:p>
    <w:bookmarkStart w:id="125" w:name="page126"/>
    <w:bookmarkEnd w:id="125"/>
    <w:p>
      <w:pPr>
        <w:ind w:left="4"/>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not the primary beneficiary and does not consolidate the Container Investors. Managed containers which are owned by Container Investors are not assets of the Company and are not included in the consolidated financial statements, except for certain managed containers that the Company is deemed to own with associated container leaseback financial liability of the Company in accordance with Topic 842, </w:t>
      </w:r>
      <w:r>
        <w:rPr>
          <w:rFonts w:ascii="Arial" w:cs="Arial" w:eastAsia="Arial" w:hAnsi="Arial"/>
          <w:sz w:val="18"/>
          <w:szCs w:val="18"/>
          <w:i w:val="1"/>
          <w:iCs w:val="1"/>
          <w:color w:val="auto"/>
        </w:rPr>
        <w:t>Leases</w:t>
      </w:r>
      <w:r>
        <w:rPr>
          <w:rFonts w:ascii="Arial" w:cs="Arial" w:eastAsia="Arial" w:hAnsi="Arial"/>
          <w:sz w:val="18"/>
          <w:szCs w:val="18"/>
          <w:color w:val="auto"/>
        </w:rPr>
        <w:t xml:space="preserve"> (see Note 1(a) “Nature of Operations” and Note 3 “Managed Container Fleet”).</w:t>
      </w:r>
    </w:p>
    <w:p>
      <w:pPr>
        <w:spacing w:after="0" w:line="295" w:lineRule="exact"/>
        <w:rPr>
          <w:sz w:val="20"/>
          <w:szCs w:val="20"/>
          <w:color w:val="auto"/>
        </w:rPr>
      </w:pPr>
    </w:p>
    <w:p>
      <w:pPr>
        <w:ind w:left="4"/>
        <w:spacing w:after="0"/>
        <w:rPr>
          <w:sz w:val="20"/>
          <w:szCs w:val="20"/>
          <w:color w:val="auto"/>
        </w:rPr>
      </w:pPr>
      <w:r>
        <w:rPr>
          <w:rFonts w:ascii="Arial" w:cs="Arial" w:eastAsia="Arial" w:hAnsi="Arial"/>
          <w:sz w:val="18"/>
          <w:szCs w:val="18"/>
          <w:i w:val="1"/>
          <w:iCs w:val="1"/>
          <w:color w:val="auto"/>
        </w:rPr>
        <w:t>Owned Containers</w:t>
      </w:r>
    </w:p>
    <w:p>
      <w:pPr>
        <w:spacing w:after="0" w:line="117" w:lineRule="exact"/>
        <w:rPr>
          <w:sz w:val="20"/>
          <w:szCs w:val="20"/>
          <w:color w:val="auto"/>
        </w:rPr>
      </w:pPr>
    </w:p>
    <w:p>
      <w:pPr>
        <w:ind w:left="4" w:right="140" w:firstLine="440"/>
        <w:spacing w:after="0" w:line="279" w:lineRule="auto"/>
        <w:rPr>
          <w:sz w:val="20"/>
          <w:szCs w:val="20"/>
          <w:color w:val="auto"/>
        </w:rPr>
      </w:pPr>
      <w:r>
        <w:rPr>
          <w:rFonts w:ascii="Arial" w:cs="Arial" w:eastAsia="Arial" w:hAnsi="Arial"/>
          <w:sz w:val="17"/>
          <w:szCs w:val="17"/>
          <w:color w:val="auto"/>
        </w:rPr>
        <w:t>The majority of the container equipment included in the accompanying consolidated financial statements is owned by TL, Textainer Marine Containers II Limited (“TMCL II”), Textainer Marine Containers V Limited (“TMCL V”), Textainer Marine Containers VI Limited (“TMCL VI”) and Textainer Marine Containers VII Limited (“TMCL VII”), all Bermuda companies and all of which were wholly-owned subsidiaries of the Company as of December 31, 2020 and 2019. All owned containers are pledged as collateral for debt as of December 31, 2020 and 2019.</w:t>
      </w:r>
    </w:p>
    <w:p>
      <w:pPr>
        <w:spacing w:after="0" w:line="320" w:lineRule="exact"/>
        <w:rPr>
          <w:sz w:val="20"/>
          <w:szCs w:val="20"/>
          <w:color w:val="auto"/>
        </w:rPr>
      </w:pPr>
    </w:p>
    <w:p>
      <w:pPr>
        <w:ind w:left="424" w:hanging="424"/>
        <w:spacing w:after="0"/>
        <w:tabs>
          <w:tab w:leader="none" w:pos="424" w:val="left"/>
        </w:tabs>
        <w:numPr>
          <w:ilvl w:val="0"/>
          <w:numId w:val="96"/>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Cash and Cash Equivalents and Restricted Cash</w:t>
      </w:r>
    </w:p>
    <w:p>
      <w:pPr>
        <w:spacing w:after="0" w:line="117" w:lineRule="exact"/>
        <w:rPr>
          <w:sz w:val="20"/>
          <w:szCs w:val="20"/>
          <w:color w:val="auto"/>
        </w:rPr>
      </w:pPr>
    </w:p>
    <w:p>
      <w:pPr>
        <w:ind w:left="4" w:right="60" w:firstLine="440"/>
        <w:spacing w:after="0" w:line="291" w:lineRule="auto"/>
        <w:rPr>
          <w:sz w:val="20"/>
          <w:szCs w:val="20"/>
          <w:color w:val="auto"/>
        </w:rPr>
      </w:pPr>
      <w:r>
        <w:rPr>
          <w:rFonts w:ascii="Arial" w:cs="Arial" w:eastAsia="Arial" w:hAnsi="Arial"/>
          <w:sz w:val="16"/>
          <w:szCs w:val="16"/>
          <w:color w:val="auto"/>
        </w:rPr>
        <w:t>Cash and cash equivalents are comprised of interest-bearing deposits or money market securities with original maturities of three months or less. The Company maintains cash and cash equivalents and restricted cash (see Note 11 “Commitments and Contingencies—Restricted Cash”) with various financial institutions. These financial institutions are located in Bermuda, Canada, Hong Kong, Malaysia, Singapore, South Africa, the United Kingdom and the United States. A significant portion of the Company’s cash and cash equivalents and restricted cash is maintained with a small number of banks and, accordingly, the Company is exposed to the credit risk of these counterparties in respect of the Company’s cash and cash equivalents and restricted cash. Furthermore, the deposits maintained at some of these financial institutions exceed the amount of insurance provided on the deposits. Restricted cash is excluded from cash and cash equivalents and is included in long-term assets reported within the consolidated balance sheets.</w:t>
      </w:r>
    </w:p>
    <w:p>
      <w:pPr>
        <w:spacing w:after="0" w:line="166" w:lineRule="exact"/>
        <w:rPr>
          <w:sz w:val="20"/>
          <w:szCs w:val="20"/>
          <w:color w:val="auto"/>
        </w:rPr>
      </w:pPr>
    </w:p>
    <w:p>
      <w:pPr>
        <w:ind w:left="4" w:right="80" w:firstLine="440"/>
        <w:spacing w:after="0" w:line="277" w:lineRule="auto"/>
        <w:rPr>
          <w:sz w:val="20"/>
          <w:szCs w:val="20"/>
          <w:color w:val="auto"/>
        </w:rPr>
      </w:pPr>
      <w:r>
        <w:rPr>
          <w:rFonts w:ascii="Arial" w:cs="Arial" w:eastAsia="Arial" w:hAnsi="Arial"/>
          <w:sz w:val="18"/>
          <w:szCs w:val="18"/>
          <w:color w:val="auto"/>
        </w:rPr>
        <w:t>The following table provides a reconciliation of cash and cash equivalents and restricted cash reported within the consolidated balance sheets that sum to the amounts shown in the consolidated statements of cash flows:</w:t>
      </w:r>
    </w:p>
    <w:p>
      <w:pPr>
        <w:spacing w:after="0" w:line="189" w:lineRule="exact"/>
        <w:rPr>
          <w:sz w:val="20"/>
          <w:szCs w:val="20"/>
          <w:color w:val="auto"/>
        </w:rPr>
      </w:pPr>
    </w:p>
    <w:tbl>
      <w:tblPr>
        <w:tblLayout w:type="fixed"/>
        <w:tblInd w:w="884" w:type="dxa"/>
        <w:tblCellMar>
          <w:top w:w="0" w:type="dxa"/>
          <w:left w:w="0" w:type="dxa"/>
          <w:bottom w:w="0" w:type="dxa"/>
          <w:right w:w="0" w:type="dxa"/>
        </w:tblCellMar>
      </w:tblPr>
      <w:tr>
        <w:trPr>
          <w:trHeight w:val="171"/>
        </w:trPr>
        <w:tc>
          <w:tcPr>
            <w:tcW w:w="5460" w:type="dxa"/>
            <w:vAlign w:val="bottom"/>
          </w:tcPr>
          <w:p>
            <w:pPr>
              <w:spacing w:after="0"/>
              <w:rPr>
                <w:sz w:val="14"/>
                <w:szCs w:val="14"/>
                <w:color w:val="auto"/>
              </w:rPr>
            </w:pPr>
          </w:p>
        </w:tc>
        <w:tc>
          <w:tcPr>
            <w:tcW w:w="1720" w:type="dxa"/>
            <w:vAlign w:val="bottom"/>
            <w:gridSpan w:val="2"/>
          </w:tcPr>
          <w:p>
            <w:pPr>
              <w:jc w:val="right"/>
              <w:ind w:right="130"/>
              <w:spacing w:after="0"/>
              <w:rPr>
                <w:sz w:val="20"/>
                <w:szCs w:val="20"/>
                <w:color w:val="auto"/>
              </w:rPr>
            </w:pPr>
            <w:r>
              <w:rPr>
                <w:rFonts w:ascii="Arial" w:cs="Arial" w:eastAsia="Arial" w:hAnsi="Arial"/>
                <w:sz w:val="14"/>
                <w:szCs w:val="14"/>
                <w:b w:val="1"/>
                <w:bCs w:val="1"/>
                <w:color w:val="auto"/>
              </w:rPr>
              <w:t>2020</w:t>
            </w:r>
          </w:p>
        </w:tc>
        <w:tc>
          <w:tcPr>
            <w:tcW w:w="1000" w:type="dxa"/>
            <w:vAlign w:val="bottom"/>
            <w:gridSpan w:val="2"/>
          </w:tcPr>
          <w:p>
            <w:pPr>
              <w:jc w:val="right"/>
              <w:ind w:right="110"/>
              <w:spacing w:after="0"/>
              <w:rPr>
                <w:sz w:val="20"/>
                <w:szCs w:val="20"/>
                <w:color w:val="auto"/>
              </w:rPr>
            </w:pPr>
            <w:r>
              <w:rPr>
                <w:rFonts w:ascii="Arial" w:cs="Arial" w:eastAsia="Arial" w:hAnsi="Arial"/>
                <w:sz w:val="14"/>
                <w:szCs w:val="14"/>
                <w:b w:val="1"/>
                <w:bCs w:val="1"/>
                <w:color w:val="auto"/>
              </w:rPr>
              <w:t>2019</w:t>
            </w:r>
          </w:p>
        </w:tc>
        <w:tc>
          <w:tcPr>
            <w:tcW w:w="1020" w:type="dxa"/>
            <w:vAlign w:val="bottom"/>
            <w:gridSpan w:val="2"/>
          </w:tcPr>
          <w:p>
            <w:pPr>
              <w:jc w:val="right"/>
              <w:ind w:right="110"/>
              <w:spacing w:after="0"/>
              <w:rPr>
                <w:sz w:val="20"/>
                <w:szCs w:val="20"/>
                <w:color w:val="auto"/>
              </w:rPr>
            </w:pPr>
            <w:r>
              <w:rPr>
                <w:rFonts w:ascii="Arial" w:cs="Arial" w:eastAsia="Arial" w:hAnsi="Arial"/>
                <w:sz w:val="14"/>
                <w:szCs w:val="14"/>
                <w:b w:val="1"/>
                <w:bCs w:val="1"/>
                <w:color w:val="auto"/>
              </w:rPr>
              <w:t>2018</w:t>
            </w:r>
          </w:p>
        </w:tc>
        <w:tc>
          <w:tcPr>
            <w:tcW w:w="60" w:type="dxa"/>
            <w:vAlign w:val="bottom"/>
          </w:tcPr>
          <w:p>
            <w:pPr>
              <w:spacing w:after="0"/>
              <w:rPr>
                <w:sz w:val="14"/>
                <w:szCs w:val="14"/>
                <w:color w:val="auto"/>
              </w:rPr>
            </w:pPr>
          </w:p>
        </w:tc>
      </w:tr>
      <w:tr>
        <w:trPr>
          <w:trHeight w:val="209"/>
        </w:trPr>
        <w:tc>
          <w:tcPr>
            <w:tcW w:w="54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Cash and cash equivalents</w:t>
            </w:r>
          </w:p>
        </w:tc>
        <w:tc>
          <w:tcPr>
            <w:tcW w:w="1020" w:type="dxa"/>
            <w:vAlign w:val="bottom"/>
            <w:tcBorders>
              <w:top w:val="single" w:sz="8" w:color="CCEEFF"/>
            </w:tcBorders>
            <w:shd w:val="clear" w:color="auto" w:fill="CCEEFF"/>
          </w:tcPr>
          <w:p>
            <w:pPr>
              <w:spacing w:after="0"/>
              <w:rPr>
                <w:sz w:val="18"/>
                <w:szCs w:val="18"/>
                <w:color w:val="auto"/>
              </w:rPr>
            </w:pPr>
          </w:p>
        </w:tc>
        <w:tc>
          <w:tcPr>
            <w:tcW w:w="7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7"/>
              </w:rPr>
              <w:t>$131,018</w:t>
            </w:r>
          </w:p>
        </w:tc>
        <w:tc>
          <w:tcPr>
            <w:tcW w:w="320" w:type="dxa"/>
            <w:vAlign w:val="bottom"/>
            <w:tcBorders>
              <w:top w:val="single" w:sz="8" w:color="CCEEFF"/>
            </w:tcBorders>
            <w:shd w:val="clear" w:color="auto" w:fill="CCEEFF"/>
          </w:tcPr>
          <w:p>
            <w:pPr>
              <w:spacing w:after="0"/>
              <w:rPr>
                <w:sz w:val="18"/>
                <w:szCs w:val="18"/>
                <w:color w:val="auto"/>
              </w:rPr>
            </w:pPr>
          </w:p>
        </w:tc>
        <w:tc>
          <w:tcPr>
            <w:tcW w:w="6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7"/>
              </w:rPr>
              <w:t>$180,552</w:t>
            </w:r>
          </w:p>
        </w:tc>
        <w:tc>
          <w:tcPr>
            <w:tcW w:w="340" w:type="dxa"/>
            <w:vAlign w:val="bottom"/>
            <w:tcBorders>
              <w:top w:val="single" w:sz="8" w:color="CCEEFF"/>
            </w:tcBorders>
            <w:shd w:val="clear" w:color="auto" w:fill="CCEEFF"/>
          </w:tcPr>
          <w:p>
            <w:pPr>
              <w:spacing w:after="0"/>
              <w:rPr>
                <w:sz w:val="18"/>
                <w:szCs w:val="18"/>
                <w:color w:val="auto"/>
              </w:rPr>
            </w:pPr>
          </w:p>
        </w:tc>
        <w:tc>
          <w:tcPr>
            <w:tcW w:w="6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7"/>
              </w:rPr>
              <w:t>$137,298</w:t>
            </w:r>
          </w:p>
        </w:tc>
        <w:tc>
          <w:tcPr>
            <w:tcW w:w="60" w:type="dxa"/>
            <w:vAlign w:val="bottom"/>
            <w:tcBorders>
              <w:top w:val="single" w:sz="8" w:color="CCEEFF"/>
            </w:tcBorders>
            <w:shd w:val="clear" w:color="auto" w:fill="CCEEFF"/>
          </w:tcPr>
          <w:p>
            <w:pPr>
              <w:spacing w:after="0"/>
              <w:rPr>
                <w:sz w:val="18"/>
                <w:szCs w:val="18"/>
                <w:color w:val="auto"/>
              </w:rPr>
            </w:pPr>
          </w:p>
        </w:tc>
      </w:tr>
      <w:tr>
        <w:trPr>
          <w:trHeight w:val="223"/>
        </w:trPr>
        <w:tc>
          <w:tcPr>
            <w:tcW w:w="5460" w:type="dxa"/>
            <w:vAlign w:val="bottom"/>
          </w:tcPr>
          <w:p>
            <w:pPr>
              <w:spacing w:after="0"/>
              <w:rPr>
                <w:sz w:val="20"/>
                <w:szCs w:val="20"/>
                <w:color w:val="auto"/>
              </w:rPr>
            </w:pPr>
            <w:r>
              <w:rPr>
                <w:rFonts w:ascii="Arial" w:cs="Arial" w:eastAsia="Arial" w:hAnsi="Arial"/>
                <w:sz w:val="18"/>
                <w:szCs w:val="18"/>
                <w:color w:val="auto"/>
              </w:rPr>
              <w:t>Restricted cash included in long-term assets</w:t>
            </w:r>
          </w:p>
        </w:tc>
        <w:tc>
          <w:tcPr>
            <w:tcW w:w="1020" w:type="dxa"/>
            <w:vAlign w:val="bottom"/>
          </w:tcPr>
          <w:p>
            <w:pPr>
              <w:spacing w:after="0"/>
              <w:rPr>
                <w:sz w:val="19"/>
                <w:szCs w:val="19"/>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74,147</w:t>
            </w:r>
          </w:p>
        </w:tc>
        <w:tc>
          <w:tcPr>
            <w:tcW w:w="320" w:type="dxa"/>
            <w:vAlign w:val="bottom"/>
          </w:tcPr>
          <w:p>
            <w:pPr>
              <w:spacing w:after="0"/>
              <w:rPr>
                <w:sz w:val="19"/>
                <w:szCs w:val="19"/>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97,353</w:t>
            </w:r>
          </w:p>
        </w:tc>
        <w:tc>
          <w:tcPr>
            <w:tcW w:w="340" w:type="dxa"/>
            <w:vAlign w:val="bottom"/>
          </w:tcPr>
          <w:p>
            <w:pPr>
              <w:spacing w:after="0"/>
              <w:rPr>
                <w:sz w:val="19"/>
                <w:szCs w:val="19"/>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87,630</w:t>
            </w:r>
          </w:p>
        </w:tc>
        <w:tc>
          <w:tcPr>
            <w:tcW w:w="60" w:type="dxa"/>
            <w:vAlign w:val="bottom"/>
          </w:tcPr>
          <w:p>
            <w:pPr>
              <w:spacing w:after="0"/>
              <w:rPr>
                <w:sz w:val="19"/>
                <w:szCs w:val="19"/>
                <w:color w:val="auto"/>
              </w:rPr>
            </w:pPr>
          </w:p>
        </w:tc>
      </w:tr>
      <w:tr>
        <w:trPr>
          <w:trHeight w:val="216"/>
        </w:trPr>
        <w:tc>
          <w:tcPr>
            <w:tcW w:w="54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Cash, cash equivalents and restricted cash, end of period</w:t>
            </w:r>
          </w:p>
        </w:tc>
        <w:tc>
          <w:tcPr>
            <w:tcW w:w="172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205,165</w:t>
            </w:r>
          </w:p>
        </w:tc>
        <w:tc>
          <w:tcPr>
            <w:tcW w:w="100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277,905</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224,928</w:t>
            </w:r>
          </w:p>
        </w:tc>
        <w:tc>
          <w:tcPr>
            <w:tcW w:w="60" w:type="dxa"/>
            <w:vAlign w:val="bottom"/>
            <w:shd w:val="clear" w:color="auto" w:fill="CCEEFF"/>
          </w:tcPr>
          <w:p>
            <w:pPr>
              <w:spacing w:after="0"/>
              <w:rPr>
                <w:sz w:val="18"/>
                <w:szCs w:val="18"/>
                <w:color w:val="auto"/>
              </w:rPr>
            </w:pPr>
          </w:p>
        </w:tc>
      </w:tr>
      <w:tr>
        <w:trPr>
          <w:trHeight w:val="20"/>
        </w:trPr>
        <w:tc>
          <w:tcPr>
            <w:tcW w:w="5460" w:type="dxa"/>
            <w:vAlign w:val="bottom"/>
          </w:tcPr>
          <w:p>
            <w:pPr>
              <w:spacing w:after="0" w:line="20" w:lineRule="exact"/>
              <w:rPr>
                <w:sz w:val="1"/>
                <w:szCs w:val="1"/>
                <w:color w:val="auto"/>
              </w:rPr>
            </w:pPr>
          </w:p>
        </w:tc>
        <w:tc>
          <w:tcPr>
            <w:tcW w:w="1020" w:type="dxa"/>
            <w:vAlign w:val="bottom"/>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364" w:lineRule="exact"/>
        <w:rPr>
          <w:sz w:val="20"/>
          <w:szCs w:val="20"/>
          <w:color w:val="auto"/>
        </w:rPr>
      </w:pPr>
    </w:p>
    <w:p>
      <w:pPr>
        <w:ind w:left="424" w:hanging="424"/>
        <w:spacing w:after="0"/>
        <w:tabs>
          <w:tab w:leader="none" w:pos="424" w:val="left"/>
        </w:tabs>
        <w:numPr>
          <w:ilvl w:val="0"/>
          <w:numId w:val="97"/>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Intangible Assets</w:t>
      </w:r>
    </w:p>
    <w:p>
      <w:pPr>
        <w:spacing w:after="0" w:line="117" w:lineRule="exact"/>
        <w:rPr>
          <w:sz w:val="20"/>
          <w:szCs w:val="20"/>
          <w:color w:val="auto"/>
        </w:rPr>
      </w:pPr>
    </w:p>
    <w:p>
      <w:pPr>
        <w:ind w:left="4" w:right="20" w:firstLine="440"/>
        <w:spacing w:after="0" w:line="271" w:lineRule="auto"/>
        <w:rPr>
          <w:sz w:val="20"/>
          <w:szCs w:val="20"/>
          <w:color w:val="auto"/>
        </w:rPr>
      </w:pPr>
      <w:r>
        <w:rPr>
          <w:rFonts w:ascii="Arial" w:cs="Arial" w:eastAsia="Arial" w:hAnsi="Arial"/>
          <w:sz w:val="17"/>
          <w:szCs w:val="17"/>
          <w:color w:val="auto"/>
        </w:rPr>
        <w:t>Intangible assets, consisting primarily of exclusive rights to manage container fleets, are amortized over the expected life of the contracts based on forecasted income to the Company. The contract terms range from 11 to 13 years. The Company reviews its intangible assets for impairment if events and circumstances indicate that the carrying amount of the intangible assets may not be recoverable. The Company compares the carrying value of the intangible assets to expected future undiscounted cash flows for the purpose of assessing the recoverability of the recorded amounts. If the carrying amount exceeds expected undiscounted cash flows, the intangible assets shall be reduced to their fair value. The Company recorded a write-off of intangible assets amounting to $0 and $2 during the years ended December 31, 2020 and 2019, respectively, for the management rights relinquished relating to the purchase of containers previously managed for a container investor. As of December 31, 2020, the aggregate future amortization of intangible assets of $2,719 is expected to amortize through year 2022.</w:t>
      </w:r>
    </w:p>
    <w:p>
      <w:pPr>
        <w:spacing w:after="0" w:line="111"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F-12</w:t>
      </w:r>
    </w:p>
    <w:p>
      <w:pPr>
        <w:sectPr>
          <w:pgSz w:w="11900" w:h="16838" w:orient="portrait"/>
          <w:cols w:equalWidth="0" w:num="1">
            <w:col w:w="11004"/>
          </w:cols>
          <w:pgMar w:left="436" w:top="274" w:right="459" w:bottom="1440" w:gutter="0" w:footer="0" w:header="0"/>
        </w:sectPr>
      </w:pPr>
    </w:p>
    <w:bookmarkStart w:id="126" w:name="page127"/>
    <w:bookmarkEnd w:id="126"/>
    <w:p>
      <w:pPr>
        <w:ind w:left="424" w:hanging="424"/>
        <w:spacing w:after="0"/>
        <w:tabs>
          <w:tab w:leader="none" w:pos="424" w:val="left"/>
        </w:tabs>
        <w:numPr>
          <w:ilvl w:val="0"/>
          <w:numId w:val="98"/>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Revenue Recognition</w:t>
      </w:r>
    </w:p>
    <w:p>
      <w:pPr>
        <w:spacing w:after="0" w:line="117" w:lineRule="exact"/>
        <w:rPr>
          <w:sz w:val="20"/>
          <w:szCs w:val="20"/>
          <w:color w:val="auto"/>
        </w:rPr>
      </w:pPr>
    </w:p>
    <w:p>
      <w:pPr>
        <w:ind w:left="4" w:firstLine="440"/>
        <w:spacing w:after="0" w:line="277" w:lineRule="auto"/>
        <w:rPr>
          <w:sz w:val="20"/>
          <w:szCs w:val="20"/>
          <w:color w:val="auto"/>
        </w:rPr>
      </w:pPr>
      <w:r>
        <w:rPr>
          <w:rFonts w:ascii="Arial" w:cs="Arial" w:eastAsia="Arial" w:hAnsi="Arial"/>
          <w:sz w:val="18"/>
          <w:szCs w:val="18"/>
          <w:color w:val="auto"/>
        </w:rPr>
        <w:t>The components of the Company’s revenue as presented in the consolidated statements of operations and in Note 10 “Segment Information” are as follows:</w:t>
      </w:r>
    </w:p>
    <w:p>
      <w:pPr>
        <w:spacing w:after="0" w:line="278" w:lineRule="exact"/>
        <w:rPr>
          <w:sz w:val="20"/>
          <w:szCs w:val="20"/>
          <w:color w:val="auto"/>
        </w:rPr>
      </w:pPr>
    </w:p>
    <w:p>
      <w:pPr>
        <w:ind w:left="4"/>
        <w:spacing w:after="0"/>
        <w:rPr>
          <w:sz w:val="20"/>
          <w:szCs w:val="20"/>
          <w:color w:val="auto"/>
        </w:rPr>
      </w:pPr>
      <w:r>
        <w:rPr>
          <w:rFonts w:ascii="Arial" w:cs="Arial" w:eastAsia="Arial" w:hAnsi="Arial"/>
          <w:sz w:val="18"/>
          <w:szCs w:val="18"/>
          <w:i w:val="1"/>
          <w:iCs w:val="1"/>
          <w:color w:val="auto"/>
        </w:rPr>
        <w:t>Lease Rental Income</w:t>
      </w:r>
    </w:p>
    <w:p>
      <w:pPr>
        <w:spacing w:after="0" w:line="117" w:lineRule="exact"/>
        <w:rPr>
          <w:sz w:val="20"/>
          <w:szCs w:val="20"/>
          <w:color w:val="auto"/>
        </w:rPr>
      </w:pPr>
    </w:p>
    <w:p>
      <w:pPr>
        <w:ind w:left="4" w:firstLine="440"/>
        <w:spacing w:after="0" w:line="255" w:lineRule="auto"/>
        <w:rPr>
          <w:sz w:val="20"/>
          <w:szCs w:val="20"/>
          <w:color w:val="auto"/>
        </w:rPr>
      </w:pPr>
      <w:r>
        <w:rPr>
          <w:rFonts w:ascii="Arial" w:cs="Arial" w:eastAsia="Arial" w:hAnsi="Arial"/>
          <w:sz w:val="18"/>
          <w:szCs w:val="18"/>
          <w:color w:val="auto"/>
        </w:rPr>
        <w:t>Lease rental income arises principally from leasing containers to various international shipping lines and includes all rental charges billed to the lessees. Lease rental income - owned fleet comprises rental income for the container fleet owned by the Company. Lease rental income - managed fleet comprises rental income for the container fleet owned by the Container Investors. For lease accounting purposes, the management agreements with these Container Investors are deemed to convey to the Company the right to control the use of the managed containers and are therefore accounted for as “lease rental income - managed fleet” as reported in the consolidated statements of operations (see Note 3 “Managed Container Fleet” for further information).</w:t>
      </w:r>
    </w:p>
    <w:p>
      <w:pPr>
        <w:spacing w:after="0" w:line="192" w:lineRule="exact"/>
        <w:rPr>
          <w:sz w:val="20"/>
          <w:szCs w:val="20"/>
          <w:color w:val="auto"/>
        </w:rPr>
      </w:pPr>
    </w:p>
    <w:p>
      <w:pPr>
        <w:ind w:left="4" w:right="220" w:firstLine="440"/>
        <w:spacing w:after="0" w:line="296" w:lineRule="auto"/>
        <w:rPr>
          <w:sz w:val="20"/>
          <w:szCs w:val="20"/>
          <w:color w:val="auto"/>
        </w:rPr>
      </w:pPr>
      <w:r>
        <w:rPr>
          <w:rFonts w:ascii="Arial" w:cs="Arial" w:eastAsia="Arial" w:hAnsi="Arial"/>
          <w:sz w:val="16"/>
          <w:szCs w:val="16"/>
          <w:color w:val="auto"/>
        </w:rPr>
        <w:t>Revenue is recorded when earned according to the terms of the container rental contracts with customers. Revenue is earned and recognized evenly over the period that the equipment is on lease. These contracts are typically for terms of five or more years and are generally classified as operating leases. Where minimum lease payments vary over the lease term, revenue is recognized on a straight-line basis over the term of the lease. Lease rental income comprises daily per diem rental charges due under the lease agreements, together with payments for other charges set forth in the leases, such as handling fees, drop-off charges, pick-up charges, and charges for a damage protection plan.</w:t>
      </w:r>
    </w:p>
    <w:p>
      <w:pPr>
        <w:spacing w:after="0" w:line="161" w:lineRule="exact"/>
        <w:rPr>
          <w:sz w:val="20"/>
          <w:szCs w:val="20"/>
          <w:color w:val="auto"/>
        </w:rPr>
      </w:pPr>
    </w:p>
    <w:p>
      <w:pPr>
        <w:ind w:left="4" w:right="160" w:firstLine="440"/>
        <w:spacing w:after="0" w:line="259" w:lineRule="auto"/>
        <w:rPr>
          <w:sz w:val="20"/>
          <w:szCs w:val="20"/>
          <w:color w:val="auto"/>
        </w:rPr>
      </w:pPr>
      <w:r>
        <w:rPr>
          <w:rFonts w:ascii="Arial" w:cs="Arial" w:eastAsia="Arial" w:hAnsi="Arial"/>
          <w:sz w:val="18"/>
          <w:szCs w:val="18"/>
          <w:color w:val="auto"/>
        </w:rPr>
        <w:t>Under long-term lease agreements, containers are usually leased from the Company for periods of five or more years. Under master lease agreements, the lessee is not committed to leasing a minimum number of containers from the Company during the lease term and may generally return the containers to the Company at any time, subject to certain restrictions in the lease agreement. Under long-term lease and master lease agreements, revenue is earned and recognized evenly over the period that the equipment is on lease.</w:t>
      </w:r>
    </w:p>
    <w:p>
      <w:pPr>
        <w:spacing w:after="0" w:line="187" w:lineRule="exact"/>
        <w:rPr>
          <w:sz w:val="20"/>
          <w:szCs w:val="20"/>
          <w:color w:val="auto"/>
        </w:rPr>
      </w:pPr>
    </w:p>
    <w:p>
      <w:pPr>
        <w:jc w:val="both"/>
        <w:ind w:left="4" w:right="220" w:firstLine="440"/>
        <w:spacing w:after="0" w:line="263" w:lineRule="auto"/>
        <w:rPr>
          <w:sz w:val="20"/>
          <w:szCs w:val="20"/>
          <w:color w:val="auto"/>
        </w:rPr>
      </w:pPr>
      <w:r>
        <w:rPr>
          <w:rFonts w:ascii="Arial" w:cs="Arial" w:eastAsia="Arial" w:hAnsi="Arial"/>
          <w:sz w:val="18"/>
          <w:szCs w:val="18"/>
          <w:color w:val="auto"/>
        </w:rPr>
        <w:t>Under finance leases, the containers are usually leased from the Company for the remainder of the container’s useful life and ordinarily provide lessees with a right to purchase the subject containers for a nominal amount at the end of the lease term. Finance lease income is recognized using the effective interest method, which generates a constant rate of interest over the period of the lease.</w:t>
      </w:r>
    </w:p>
    <w:p>
      <w:pPr>
        <w:spacing w:after="0" w:line="184" w:lineRule="exact"/>
        <w:rPr>
          <w:sz w:val="20"/>
          <w:szCs w:val="20"/>
          <w:color w:val="auto"/>
        </w:rPr>
      </w:pPr>
    </w:p>
    <w:p>
      <w:pPr>
        <w:ind w:left="4" w:firstLine="440"/>
        <w:spacing w:after="0" w:line="263" w:lineRule="auto"/>
        <w:rPr>
          <w:sz w:val="20"/>
          <w:szCs w:val="20"/>
          <w:color w:val="auto"/>
        </w:rPr>
      </w:pPr>
      <w:r>
        <w:rPr>
          <w:rFonts w:ascii="Arial" w:cs="Arial" w:eastAsia="Arial" w:hAnsi="Arial"/>
          <w:sz w:val="18"/>
          <w:szCs w:val="18"/>
          <w:color w:val="auto"/>
        </w:rPr>
        <w:t>Under sales-type leaseback arrangements that are accounted for as financing transactions, payments made by the customers are recorded as a reduction to the container leaseback financing receivable and as interest income. Interest income is recognized using the effective interest method, which generates a constant rate of interest over the period of the arrangement.</w:t>
      </w:r>
    </w:p>
    <w:p>
      <w:pPr>
        <w:spacing w:after="0" w:line="184" w:lineRule="exact"/>
        <w:rPr>
          <w:sz w:val="20"/>
          <w:szCs w:val="20"/>
          <w:color w:val="auto"/>
        </w:rPr>
      </w:pPr>
    </w:p>
    <w:p>
      <w:pPr>
        <w:ind w:left="4" w:right="60" w:firstLine="440"/>
        <w:spacing w:after="0" w:line="263" w:lineRule="auto"/>
        <w:rPr>
          <w:sz w:val="20"/>
          <w:szCs w:val="20"/>
          <w:color w:val="auto"/>
        </w:rPr>
      </w:pPr>
      <w:r>
        <w:rPr>
          <w:rFonts w:ascii="Arial" w:cs="Arial" w:eastAsia="Arial" w:hAnsi="Arial"/>
          <w:sz w:val="18"/>
          <w:szCs w:val="18"/>
          <w:color w:val="auto"/>
        </w:rPr>
        <w:t>The Company’s container leases generally do not include step-rent provisions, nor do they depend on indices or rates. The Company recognizes revenue on container leases that include lease concessions in the form of free-rent periods using the straight-line method over the minimum terms of the leases.</w:t>
      </w:r>
    </w:p>
    <w:p>
      <w:pPr>
        <w:spacing w:after="0" w:line="292" w:lineRule="exact"/>
        <w:rPr>
          <w:sz w:val="20"/>
          <w:szCs w:val="20"/>
          <w:color w:val="auto"/>
        </w:rPr>
      </w:pPr>
    </w:p>
    <w:p>
      <w:pPr>
        <w:ind w:left="4"/>
        <w:spacing w:after="0"/>
        <w:rPr>
          <w:sz w:val="20"/>
          <w:szCs w:val="20"/>
          <w:color w:val="auto"/>
        </w:rPr>
      </w:pPr>
      <w:r>
        <w:rPr>
          <w:rFonts w:ascii="Arial" w:cs="Arial" w:eastAsia="Arial" w:hAnsi="Arial"/>
          <w:sz w:val="18"/>
          <w:szCs w:val="18"/>
          <w:i w:val="1"/>
          <w:iCs w:val="1"/>
          <w:color w:val="auto"/>
        </w:rPr>
        <w:t>Management Fees - Non-leasing</w:t>
      </w:r>
    </w:p>
    <w:p>
      <w:pPr>
        <w:spacing w:after="0" w:line="117" w:lineRule="exact"/>
        <w:rPr>
          <w:sz w:val="20"/>
          <w:szCs w:val="20"/>
          <w:color w:val="auto"/>
        </w:rPr>
      </w:pPr>
    </w:p>
    <w:p>
      <w:pPr>
        <w:ind w:left="4" w:right="200" w:firstLine="440"/>
        <w:spacing w:after="0" w:line="263" w:lineRule="auto"/>
        <w:rPr>
          <w:sz w:val="20"/>
          <w:szCs w:val="20"/>
          <w:color w:val="auto"/>
        </w:rPr>
      </w:pPr>
      <w:r>
        <w:rPr>
          <w:rFonts w:ascii="Arial" w:cs="Arial" w:eastAsia="Arial" w:hAnsi="Arial"/>
          <w:sz w:val="18"/>
          <w:szCs w:val="18"/>
          <w:color w:val="auto"/>
        </w:rPr>
        <w:t>Under the Company’s management service agreements with Container Investors, fees are earned for the acquisition and sale of containers under management (see Note 3 “Managed Container Fleet” for further information). Acquisition fees from purchases of containers for managed fleet are deferred and recognized as earned on a straight-line basis over the deemed lease term.</w:t>
      </w:r>
    </w:p>
    <w:p>
      <w:pPr>
        <w:spacing w:after="0" w:line="292" w:lineRule="exact"/>
        <w:rPr>
          <w:sz w:val="20"/>
          <w:szCs w:val="20"/>
          <w:color w:val="auto"/>
        </w:rPr>
      </w:pPr>
    </w:p>
    <w:p>
      <w:pPr>
        <w:ind w:left="4"/>
        <w:spacing w:after="0"/>
        <w:rPr>
          <w:sz w:val="20"/>
          <w:szCs w:val="20"/>
          <w:color w:val="auto"/>
        </w:rPr>
      </w:pPr>
      <w:r>
        <w:rPr>
          <w:rFonts w:ascii="Arial" w:cs="Arial" w:eastAsia="Arial" w:hAnsi="Arial"/>
          <w:sz w:val="18"/>
          <w:szCs w:val="18"/>
          <w:i w:val="1"/>
          <w:iCs w:val="1"/>
          <w:color w:val="auto"/>
        </w:rPr>
        <w:t>Trading Container Margin</w:t>
      </w:r>
    </w:p>
    <w:p>
      <w:pPr>
        <w:spacing w:after="0" w:line="117" w:lineRule="exact"/>
        <w:rPr>
          <w:sz w:val="20"/>
          <w:szCs w:val="20"/>
          <w:color w:val="auto"/>
        </w:rPr>
      </w:pPr>
    </w:p>
    <w:p>
      <w:pPr>
        <w:ind w:left="4" w:firstLine="440"/>
        <w:spacing w:after="0" w:line="259" w:lineRule="auto"/>
        <w:rPr>
          <w:sz w:val="20"/>
          <w:szCs w:val="20"/>
          <w:color w:val="auto"/>
        </w:rPr>
      </w:pPr>
      <w:r>
        <w:rPr>
          <w:rFonts w:ascii="Arial" w:cs="Arial" w:eastAsia="Arial" w:hAnsi="Arial"/>
          <w:sz w:val="18"/>
          <w:szCs w:val="18"/>
          <w:color w:val="auto"/>
        </w:rPr>
        <w:t>The Company’s trading container sales proceeds arise from the resale of new and used containers to a wide variety of buyers. The related expenses represent the cost of trading containers sold as well as other selling costs that are recognized as incurred. Revenue is recorded when control of the containers is transferred to the customer, which typically occurs upon delivery to, or pick-up by, the customer and when collectability is reasonably assured.</w:t>
      </w:r>
    </w:p>
    <w:p>
      <w:pPr>
        <w:spacing w:after="0" w:line="119"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F-13</w:t>
      </w:r>
    </w:p>
    <w:p>
      <w:pPr>
        <w:sectPr>
          <w:pgSz w:w="11900" w:h="16838" w:orient="portrait"/>
          <w:cols w:equalWidth="0" w:num="1">
            <w:col w:w="11004"/>
          </w:cols>
          <w:pgMar w:left="436" w:top="274" w:right="459" w:bottom="1440" w:gutter="0" w:footer="0" w:header="0"/>
        </w:sectPr>
      </w:pPr>
    </w:p>
    <w:bookmarkStart w:id="127" w:name="page128"/>
    <w:bookmarkEnd w:id="127"/>
    <w:p>
      <w:pPr>
        <w:ind w:left="424" w:hanging="424"/>
        <w:spacing w:after="0"/>
        <w:tabs>
          <w:tab w:leader="none" w:pos="424" w:val="left"/>
        </w:tabs>
        <w:numPr>
          <w:ilvl w:val="0"/>
          <w:numId w:val="99"/>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Allowance for Credit Losses</w:t>
      </w:r>
    </w:p>
    <w:p>
      <w:pPr>
        <w:spacing w:after="0" w:line="117" w:lineRule="exact"/>
        <w:rPr>
          <w:sz w:val="20"/>
          <w:szCs w:val="20"/>
          <w:color w:val="auto"/>
        </w:rPr>
      </w:pPr>
    </w:p>
    <w:p>
      <w:pPr>
        <w:ind w:left="4" w:firstLine="440"/>
        <w:spacing w:after="0" w:line="255" w:lineRule="auto"/>
        <w:rPr>
          <w:sz w:val="20"/>
          <w:szCs w:val="20"/>
          <w:color w:val="auto"/>
        </w:rPr>
      </w:pPr>
      <w:r>
        <w:rPr>
          <w:rFonts w:ascii="Arial" w:cs="Arial" w:eastAsia="Arial" w:hAnsi="Arial"/>
          <w:sz w:val="18"/>
          <w:szCs w:val="18"/>
          <w:color w:val="auto"/>
        </w:rPr>
        <w:t xml:space="preserve">In June 2016, the Financial Accounting Standards Board (“FASB”) issued Accounting Standards Update No. 2016-13, </w:t>
      </w:r>
      <w:r>
        <w:rPr>
          <w:rFonts w:ascii="Arial" w:cs="Arial" w:eastAsia="Arial" w:hAnsi="Arial"/>
          <w:sz w:val="18"/>
          <w:szCs w:val="18"/>
          <w:i w:val="1"/>
          <w:iCs w:val="1"/>
          <w:color w:val="auto"/>
        </w:rPr>
        <w:t>Financial Instruments –</w:t>
      </w:r>
      <w:r>
        <w:rPr>
          <w:rFonts w:ascii="Arial" w:cs="Arial" w:eastAsia="Arial" w:hAnsi="Arial"/>
          <w:sz w:val="18"/>
          <w:szCs w:val="18"/>
          <w:color w:val="auto"/>
        </w:rPr>
        <w:t xml:space="preserve"> </w:t>
      </w:r>
      <w:r>
        <w:rPr>
          <w:rFonts w:ascii="Arial" w:cs="Arial" w:eastAsia="Arial" w:hAnsi="Arial"/>
          <w:sz w:val="18"/>
          <w:szCs w:val="18"/>
          <w:i w:val="1"/>
          <w:iCs w:val="1"/>
          <w:color w:val="auto"/>
        </w:rPr>
        <w:t xml:space="preserve">Credit Losses (Topic 326) </w:t>
      </w:r>
      <w:r>
        <w:rPr>
          <w:rFonts w:ascii="Arial" w:cs="Arial" w:eastAsia="Arial" w:hAnsi="Arial"/>
          <w:sz w:val="18"/>
          <w:szCs w:val="18"/>
          <w:color w:val="auto"/>
        </w:rPr>
        <w:t>(“ASU 2016-13”), which replaces the incurred loss impairment methodology with a methodology that reflects expected credit</w:t>
      </w:r>
      <w:r>
        <w:rPr>
          <w:rFonts w:ascii="Arial" w:cs="Arial" w:eastAsia="Arial" w:hAnsi="Arial"/>
          <w:sz w:val="18"/>
          <w:szCs w:val="18"/>
          <w:i w:val="1"/>
          <w:iCs w:val="1"/>
          <w:color w:val="auto"/>
        </w:rPr>
        <w:t xml:space="preserve"> </w:t>
      </w:r>
      <w:r>
        <w:rPr>
          <w:rFonts w:ascii="Arial" w:cs="Arial" w:eastAsia="Arial" w:hAnsi="Arial"/>
          <w:sz w:val="18"/>
          <w:szCs w:val="18"/>
          <w:color w:val="auto"/>
        </w:rPr>
        <w:t xml:space="preserve">losses over the life of the Company’s net investments in finance leases and container leaseback financing receivable. Operating lease receivables are accounted for under </w:t>
      </w:r>
      <w:r>
        <w:rPr>
          <w:rFonts w:ascii="Arial" w:cs="Arial" w:eastAsia="Arial" w:hAnsi="Arial"/>
          <w:sz w:val="18"/>
          <w:szCs w:val="18"/>
          <w:i w:val="1"/>
          <w:iCs w:val="1"/>
          <w:color w:val="auto"/>
        </w:rPr>
        <w:t>Topic 842, Leases</w:t>
      </w:r>
      <w:r>
        <w:rPr>
          <w:rFonts w:ascii="Arial" w:cs="Arial" w:eastAsia="Arial" w:hAnsi="Arial"/>
          <w:sz w:val="18"/>
          <w:szCs w:val="18"/>
          <w:color w:val="auto"/>
        </w:rPr>
        <w:t xml:space="preserve"> and are not within the scope of Topic 326. The guidance requires the measurement of expected credit losses using a forward-looking approach based on relevant information from past events, current conditions, and reasonable and supportable forecasts that affect collectability.</w:t>
      </w:r>
    </w:p>
    <w:p>
      <w:pPr>
        <w:spacing w:after="0" w:line="192" w:lineRule="exact"/>
        <w:rPr>
          <w:sz w:val="20"/>
          <w:szCs w:val="20"/>
          <w:color w:val="auto"/>
        </w:rPr>
      </w:pPr>
    </w:p>
    <w:p>
      <w:pPr>
        <w:ind w:left="4" w:right="20" w:firstLine="440"/>
        <w:spacing w:after="0" w:line="296" w:lineRule="auto"/>
        <w:rPr>
          <w:sz w:val="20"/>
          <w:szCs w:val="20"/>
          <w:color w:val="auto"/>
        </w:rPr>
      </w:pPr>
      <w:r>
        <w:rPr>
          <w:rFonts w:ascii="Arial" w:cs="Arial" w:eastAsia="Arial" w:hAnsi="Arial"/>
          <w:sz w:val="16"/>
          <w:szCs w:val="16"/>
          <w:color w:val="auto"/>
        </w:rPr>
        <w:t>The Company adopted ASU 2016-13 and all related amendments on the effective date of January 1, 2020 using the modified retrospective method by recognizing the cumulative effect adjustment to the opening balance of retained earnings at the adoption date. Periods prior to the adoption date that are presented for comparative purposes are not adjusted. As a result of the adoption of ASU 2016-13, the Company recognized a beginning balance transition adjustment to the allowance for credit losses on January 1, 2020 of $892, with a cumulative effect adjustment to the opening balance of retained earnings in the consolidated balance sheet and consolidated statement of stockholder’s equity as of December 31, 2020.</w:t>
      </w:r>
    </w:p>
    <w:p>
      <w:pPr>
        <w:spacing w:after="0" w:line="161" w:lineRule="exact"/>
        <w:rPr>
          <w:sz w:val="20"/>
          <w:szCs w:val="20"/>
          <w:color w:val="auto"/>
        </w:rPr>
      </w:pPr>
    </w:p>
    <w:p>
      <w:pPr>
        <w:ind w:left="4" w:right="220" w:firstLine="440"/>
        <w:spacing w:after="0" w:line="277" w:lineRule="auto"/>
        <w:rPr>
          <w:sz w:val="20"/>
          <w:szCs w:val="20"/>
          <w:color w:val="auto"/>
        </w:rPr>
      </w:pPr>
      <w:r>
        <w:rPr>
          <w:rFonts w:ascii="Arial" w:cs="Arial" w:eastAsia="Arial" w:hAnsi="Arial"/>
          <w:sz w:val="18"/>
          <w:szCs w:val="18"/>
          <w:color w:val="auto"/>
        </w:rPr>
        <w:t>Accounts receivable, net investment in finance leases and container leaseback financing receivable are stated at amortized cost net of allowance for credit losses (see Note 6 “Allowance for Credit Losses” for further information).</w:t>
      </w:r>
    </w:p>
    <w:p>
      <w:pPr>
        <w:spacing w:after="0" w:line="278" w:lineRule="exact"/>
        <w:rPr>
          <w:sz w:val="20"/>
          <w:szCs w:val="20"/>
          <w:color w:val="auto"/>
        </w:rPr>
      </w:pPr>
    </w:p>
    <w:p>
      <w:pPr>
        <w:ind w:left="4"/>
        <w:spacing w:after="0"/>
        <w:rPr>
          <w:sz w:val="20"/>
          <w:szCs w:val="20"/>
          <w:color w:val="auto"/>
        </w:rPr>
      </w:pPr>
      <w:r>
        <w:rPr>
          <w:rFonts w:ascii="Arial" w:cs="Arial" w:eastAsia="Arial" w:hAnsi="Arial"/>
          <w:sz w:val="18"/>
          <w:szCs w:val="18"/>
          <w:i w:val="1"/>
          <w:iCs w:val="1"/>
          <w:color w:val="auto"/>
        </w:rPr>
        <w:t>Accounts Receivables</w:t>
      </w:r>
    </w:p>
    <w:p>
      <w:pPr>
        <w:spacing w:after="0" w:line="117" w:lineRule="exact"/>
        <w:rPr>
          <w:sz w:val="20"/>
          <w:szCs w:val="20"/>
          <w:color w:val="auto"/>
        </w:rPr>
      </w:pPr>
    </w:p>
    <w:p>
      <w:pPr>
        <w:ind w:left="4" w:firstLine="440"/>
        <w:spacing w:after="0" w:line="290" w:lineRule="auto"/>
        <w:rPr>
          <w:sz w:val="20"/>
          <w:szCs w:val="20"/>
          <w:color w:val="auto"/>
        </w:rPr>
      </w:pPr>
      <w:r>
        <w:rPr>
          <w:rFonts w:ascii="Arial" w:cs="Arial" w:eastAsia="Arial" w:hAnsi="Arial"/>
          <w:sz w:val="16"/>
          <w:szCs w:val="16"/>
          <w:color w:val="auto"/>
        </w:rPr>
        <w:t>The Company maintains allowances, if necessary, for doubtful accounts against accounts receivables resulting from the inability of its lessees to make required payments related to billed amounts under the operating leases, finance leases, container leaseback financing receivable and for sales of owned fleet containers and trading containers. The allowance is developed based on two components: (1) specific reserves for receivables for which management believes full collection is doubtful; and (2) a general reserve for estimated losses inherent in the receivables. These allowances are based on an ongoing review of the credit worthiness, but not limited to, each lessee’s payment history, management’s current assessment of the financial condition of the Company’s lessees, their ability to make their required payments and the recoverability. The Company considers an account past due when a payment has not been received in accordance with the terms of the lease agreement, and if the financial condition of the Company’s lessees deteriorates resulting in an impairment of their ability to make payments, additional allowances may be required.</w:t>
      </w:r>
    </w:p>
    <w:p>
      <w:pPr>
        <w:spacing w:after="0" w:line="165" w:lineRule="exact"/>
        <w:rPr>
          <w:sz w:val="20"/>
          <w:szCs w:val="20"/>
          <w:color w:val="auto"/>
        </w:rPr>
      </w:pPr>
    </w:p>
    <w:p>
      <w:pPr>
        <w:ind w:left="4" w:right="60" w:firstLine="440"/>
        <w:spacing w:after="0" w:line="259" w:lineRule="auto"/>
        <w:rPr>
          <w:sz w:val="20"/>
          <w:szCs w:val="20"/>
          <w:color w:val="auto"/>
        </w:rPr>
      </w:pPr>
      <w:r>
        <w:rPr>
          <w:rFonts w:ascii="Arial" w:cs="Arial" w:eastAsia="Arial" w:hAnsi="Arial"/>
          <w:sz w:val="18"/>
          <w:szCs w:val="18"/>
          <w:color w:val="auto"/>
        </w:rPr>
        <w:t>Accounts receivables are generally written off after an analysis is completed which indicates that collection of the full balance is remote. Changes in economic conditions or other events may necessitate additions or deductions to the allowance for doubtful accounts. The allowance is intended to provide for losses inherent in the owned and managed fleet’s accounts receivable and requires the application of estimates and judgments as to the outcome of collection efforts and the realization of collateral, among other things.</w:t>
      </w:r>
    </w:p>
    <w:p>
      <w:pPr>
        <w:spacing w:after="0" w:line="295" w:lineRule="exact"/>
        <w:rPr>
          <w:sz w:val="20"/>
          <w:szCs w:val="20"/>
          <w:color w:val="auto"/>
        </w:rPr>
      </w:pPr>
    </w:p>
    <w:p>
      <w:pPr>
        <w:ind w:left="4"/>
        <w:spacing w:after="0"/>
        <w:rPr>
          <w:sz w:val="20"/>
          <w:szCs w:val="20"/>
          <w:color w:val="auto"/>
        </w:rPr>
      </w:pPr>
      <w:r>
        <w:rPr>
          <w:rFonts w:ascii="Arial" w:cs="Arial" w:eastAsia="Arial" w:hAnsi="Arial"/>
          <w:sz w:val="18"/>
          <w:szCs w:val="18"/>
          <w:i w:val="1"/>
          <w:iCs w:val="1"/>
          <w:color w:val="auto"/>
        </w:rPr>
        <w:t>Net Investment in Finance Leases and Container Leaseback Financing Receivables</w:t>
      </w:r>
    </w:p>
    <w:p>
      <w:pPr>
        <w:spacing w:after="0" w:line="117" w:lineRule="exact"/>
        <w:rPr>
          <w:sz w:val="20"/>
          <w:szCs w:val="20"/>
          <w:color w:val="auto"/>
        </w:rPr>
      </w:pPr>
    </w:p>
    <w:p>
      <w:pPr>
        <w:ind w:left="4" w:right="80" w:firstLine="440"/>
        <w:spacing w:after="0" w:line="255" w:lineRule="auto"/>
        <w:rPr>
          <w:sz w:val="20"/>
          <w:szCs w:val="20"/>
          <w:color w:val="auto"/>
        </w:rPr>
      </w:pPr>
      <w:r>
        <w:rPr>
          <w:rFonts w:ascii="Arial" w:cs="Arial" w:eastAsia="Arial" w:hAnsi="Arial"/>
          <w:sz w:val="18"/>
          <w:szCs w:val="18"/>
          <w:color w:val="auto"/>
        </w:rPr>
        <w:t>The Company maintains allowances for credit losses against net investment in finance leases and container leaseback financing receivable related to unbilled amounts under the finance leases and the sales-type leaseback arrangements accounted for as financing receivable. The Company estimates its potential future expected credit losses based on historical losses from lessee defaults, current economic conditions and reasonable and supportable forecasts that may affect the collectability of the reported amount. The Company monitors its container lessees’ performance and its lease exposures on an ongoing basis. The Company evaluates its exposure by portfolio with similar risk characteristics based on the credit worthiness, external credit data and overall credit quality of its lessees.</w:t>
      </w:r>
    </w:p>
    <w:p>
      <w:pPr>
        <w:spacing w:after="0" w:line="192" w:lineRule="exact"/>
        <w:rPr>
          <w:sz w:val="20"/>
          <w:szCs w:val="20"/>
          <w:color w:val="auto"/>
        </w:rPr>
      </w:pPr>
    </w:p>
    <w:p>
      <w:pPr>
        <w:ind w:left="4" w:right="20" w:firstLine="440"/>
        <w:spacing w:after="0" w:line="286" w:lineRule="auto"/>
        <w:rPr>
          <w:sz w:val="20"/>
          <w:szCs w:val="20"/>
          <w:color w:val="auto"/>
        </w:rPr>
      </w:pPr>
      <w:r>
        <w:rPr>
          <w:rFonts w:ascii="Arial" w:cs="Arial" w:eastAsia="Arial" w:hAnsi="Arial"/>
          <w:sz w:val="17"/>
          <w:szCs w:val="17"/>
          <w:color w:val="auto"/>
        </w:rPr>
        <w:t>The Company’s internal risk rating categories are “Tier 1” for the lowest level of risk which are typically the large international shipping lines with strong financial and asset base; “Tier 2” for moderate level of risk which includes lessees which are well-established in the market; and “Tier 3” for the highest level of risk which includes smaller shipping lines or lessees that exhibit high volatility in payments on a regular basis.</w:t>
      </w:r>
    </w:p>
    <w:p>
      <w:pPr>
        <w:spacing w:after="0" w:line="98"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F-14</w:t>
      </w:r>
    </w:p>
    <w:p>
      <w:pPr>
        <w:sectPr>
          <w:pgSz w:w="11900" w:h="16838" w:orient="portrait"/>
          <w:cols w:equalWidth="0" w:num="1">
            <w:col w:w="11004"/>
          </w:cols>
          <w:pgMar w:left="436" w:top="274" w:right="459" w:bottom="1440" w:gutter="0" w:footer="0" w:header="0"/>
        </w:sectPr>
      </w:pPr>
    </w:p>
    <w:bookmarkStart w:id="128" w:name="page129"/>
    <w:bookmarkEnd w:id="128"/>
    <w:p>
      <w:pPr>
        <w:ind w:left="424" w:hanging="424"/>
        <w:spacing w:after="0"/>
        <w:tabs>
          <w:tab w:leader="none" w:pos="424" w:val="left"/>
        </w:tabs>
        <w:numPr>
          <w:ilvl w:val="0"/>
          <w:numId w:val="100"/>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Direct Container Expenses – Owned Fleet</w:t>
      </w:r>
    </w:p>
    <w:p>
      <w:pPr>
        <w:spacing w:after="0" w:line="117" w:lineRule="exact"/>
        <w:rPr>
          <w:sz w:val="20"/>
          <w:szCs w:val="20"/>
          <w:color w:val="auto"/>
        </w:rPr>
      </w:pPr>
    </w:p>
    <w:p>
      <w:pPr>
        <w:ind w:left="4" w:right="280" w:firstLine="440"/>
        <w:spacing w:after="0" w:line="308" w:lineRule="auto"/>
        <w:rPr>
          <w:sz w:val="20"/>
          <w:szCs w:val="20"/>
          <w:color w:val="auto"/>
        </w:rPr>
      </w:pPr>
      <w:r>
        <w:rPr>
          <w:rFonts w:ascii="Arial" w:cs="Arial" w:eastAsia="Arial" w:hAnsi="Arial"/>
          <w:sz w:val="17"/>
          <w:szCs w:val="17"/>
          <w:color w:val="auto"/>
        </w:rPr>
        <w:t>Direct container expense – owned fleet represents the operating costs arising from the containers owned by the Company and includes storage, handling, maintenance and repair, repositioning, agent, and insurance expense. These costs are recognized when incurred.</w:t>
      </w:r>
    </w:p>
    <w:p>
      <w:pPr>
        <w:spacing w:after="0" w:line="295" w:lineRule="exact"/>
        <w:rPr>
          <w:sz w:val="20"/>
          <w:szCs w:val="20"/>
          <w:color w:val="auto"/>
        </w:rPr>
      </w:pPr>
    </w:p>
    <w:p>
      <w:pPr>
        <w:ind w:left="424" w:hanging="424"/>
        <w:spacing w:after="0"/>
        <w:tabs>
          <w:tab w:leader="none" w:pos="424" w:val="left"/>
        </w:tabs>
        <w:numPr>
          <w:ilvl w:val="0"/>
          <w:numId w:val="101"/>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Distribution Expense to Managed Fleet Container Investors</w:t>
      </w:r>
    </w:p>
    <w:p>
      <w:pPr>
        <w:spacing w:after="0" w:line="117" w:lineRule="exact"/>
        <w:rPr>
          <w:sz w:val="20"/>
          <w:szCs w:val="20"/>
          <w:color w:val="auto"/>
        </w:rPr>
      </w:pPr>
    </w:p>
    <w:p>
      <w:pPr>
        <w:ind w:left="4" w:right="120" w:firstLine="440"/>
        <w:spacing w:after="0" w:line="257" w:lineRule="auto"/>
        <w:rPr>
          <w:sz w:val="20"/>
          <w:szCs w:val="20"/>
          <w:color w:val="auto"/>
        </w:rPr>
      </w:pPr>
      <w:r>
        <w:rPr>
          <w:rFonts w:ascii="Arial" w:cs="Arial" w:eastAsia="Arial" w:hAnsi="Arial"/>
          <w:sz w:val="18"/>
          <w:szCs w:val="18"/>
          <w:color w:val="auto"/>
        </w:rPr>
        <w:t>Our distribution amounts to Container Investors for the managed fleet includes the net operating income of each Container Investor’s fleet, reduced by associated lease management fees earned and retained by the Company. This amount is also reduced by expenses related to the operation of the managed containers which are presented on a gross basis in the consolidated statements of operations. Expenses related to the operation of the managed containers such as storage, handling, repairs, repositioning, agent, insurance expense and general and administrative expenses are recognized when incurred.</w:t>
      </w:r>
    </w:p>
    <w:p>
      <w:pPr>
        <w:spacing w:after="0" w:line="336" w:lineRule="exact"/>
        <w:rPr>
          <w:sz w:val="20"/>
          <w:szCs w:val="20"/>
          <w:color w:val="auto"/>
        </w:rPr>
      </w:pPr>
    </w:p>
    <w:p>
      <w:pPr>
        <w:ind w:left="424" w:hanging="424"/>
        <w:spacing w:after="0"/>
        <w:tabs>
          <w:tab w:leader="none" w:pos="424" w:val="left"/>
        </w:tabs>
        <w:numPr>
          <w:ilvl w:val="0"/>
          <w:numId w:val="102"/>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Trading Containers and Containers Held for Resale</w:t>
      </w:r>
    </w:p>
    <w:p>
      <w:pPr>
        <w:spacing w:after="0" w:line="117" w:lineRule="exact"/>
        <w:rPr>
          <w:sz w:val="20"/>
          <w:szCs w:val="20"/>
          <w:color w:val="auto"/>
        </w:rPr>
      </w:pPr>
    </w:p>
    <w:p>
      <w:pPr>
        <w:jc w:val="both"/>
        <w:ind w:left="4" w:right="160" w:firstLine="440"/>
        <w:spacing w:after="0" w:line="259" w:lineRule="auto"/>
        <w:rPr>
          <w:sz w:val="20"/>
          <w:szCs w:val="20"/>
          <w:color w:val="auto"/>
        </w:rPr>
      </w:pPr>
      <w:r>
        <w:rPr>
          <w:rFonts w:ascii="Arial" w:cs="Arial" w:eastAsia="Arial" w:hAnsi="Arial"/>
          <w:sz w:val="18"/>
          <w:szCs w:val="18"/>
          <w:color w:val="auto"/>
        </w:rPr>
        <w:t>The Company, through one or more of its subsidiaries, buys trading containers for resale, which are valued at the lower of cost or fair value. The cost of trading containers sold is specifically identified. In addition, containers identified as being available for sale are valued at the lower of carrying value or fair value, less cost to sell. The fair value is estimated based on recent gross sales proceeds for sales of similar containers. Trading containers and containers held for resale are not subject to depreciation.</w:t>
      </w:r>
    </w:p>
    <w:p>
      <w:pPr>
        <w:spacing w:after="0" w:line="335" w:lineRule="exact"/>
        <w:rPr>
          <w:sz w:val="20"/>
          <w:szCs w:val="20"/>
          <w:color w:val="auto"/>
        </w:rPr>
      </w:pPr>
    </w:p>
    <w:p>
      <w:pPr>
        <w:ind w:left="424" w:hanging="424"/>
        <w:spacing w:after="0"/>
        <w:tabs>
          <w:tab w:leader="none" w:pos="424" w:val="left"/>
        </w:tabs>
        <w:numPr>
          <w:ilvl w:val="0"/>
          <w:numId w:val="103"/>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Foreign Currencies</w:t>
      </w:r>
    </w:p>
    <w:p>
      <w:pPr>
        <w:spacing w:after="0" w:line="117" w:lineRule="exact"/>
        <w:rPr>
          <w:sz w:val="20"/>
          <w:szCs w:val="20"/>
          <w:color w:val="auto"/>
        </w:rPr>
      </w:pPr>
    </w:p>
    <w:p>
      <w:pPr>
        <w:ind w:left="4" w:firstLine="440"/>
        <w:spacing w:after="0" w:line="289" w:lineRule="auto"/>
        <w:rPr>
          <w:sz w:val="20"/>
          <w:szCs w:val="20"/>
          <w:color w:val="auto"/>
        </w:rPr>
      </w:pPr>
      <w:r>
        <w:rPr>
          <w:rFonts w:ascii="Arial" w:cs="Arial" w:eastAsia="Arial" w:hAnsi="Arial"/>
          <w:sz w:val="16"/>
          <w:szCs w:val="16"/>
          <w:color w:val="auto"/>
        </w:rPr>
        <w:t>A functional currency is determined for each of the Company’s entities based on the currency of the primary economic environment in which the entity operates. The Company’s functional currency is the U.S. dollar, excluding its foreign subsidiaries Textainer Equipment Management (United Kingdom) Limited and Textainer Equipment Management (Singapore) Pte Ltd. Assets and liabilities denominated in a currency other than the entity’s functional currency are re-measured into its functional currency at the balance sheet date with a gain or loss recognized in current year net income. Foreign currency exchange gains or losses that arise from exchange rate changes on transactions denominated in a foreign currency are recognized in net income as incurred. Foreign currency exchange losses, reported in “direct container expense – owned fleet” in the consolidated statements of operations were $251, $393, and $1,085 for the years ended December 31, 2020, 2019 and 2018, respectively. For consolidation purposes, the financial statements are translated into U.S. dollars using the current exchange rate for the assets and liabilities and a weighted average exchange rate for the revenues and expenses recorded during the year with any translation adjustment shown as an element of accumulated other comprehensive income.</w:t>
      </w:r>
    </w:p>
    <w:p>
      <w:pPr>
        <w:spacing w:after="0" w:line="315" w:lineRule="exact"/>
        <w:rPr>
          <w:sz w:val="20"/>
          <w:szCs w:val="20"/>
          <w:color w:val="auto"/>
        </w:rPr>
      </w:pPr>
    </w:p>
    <w:p>
      <w:pPr>
        <w:ind w:left="424" w:hanging="424"/>
        <w:spacing w:after="0"/>
        <w:tabs>
          <w:tab w:leader="none" w:pos="424" w:val="left"/>
        </w:tabs>
        <w:numPr>
          <w:ilvl w:val="0"/>
          <w:numId w:val="104"/>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Fixed Assets and Capitalized Implementation Costs</w:t>
      </w:r>
    </w:p>
    <w:p>
      <w:pPr>
        <w:spacing w:after="0" w:line="117" w:lineRule="exact"/>
        <w:rPr>
          <w:sz w:val="20"/>
          <w:szCs w:val="20"/>
          <w:color w:val="auto"/>
        </w:rPr>
      </w:pPr>
    </w:p>
    <w:p>
      <w:pPr>
        <w:ind w:left="4" w:right="80" w:firstLine="440"/>
        <w:spacing w:after="0" w:line="277" w:lineRule="auto"/>
        <w:rPr>
          <w:sz w:val="20"/>
          <w:szCs w:val="20"/>
          <w:color w:val="auto"/>
        </w:rPr>
      </w:pPr>
      <w:r>
        <w:rPr>
          <w:rFonts w:ascii="Arial" w:cs="Arial" w:eastAsia="Arial" w:hAnsi="Arial"/>
          <w:sz w:val="18"/>
          <w:szCs w:val="18"/>
          <w:color w:val="auto"/>
        </w:rPr>
        <w:t>Fixed assets are recorded at cost and depreciated on a straight-line basis over the estimated useful lives of such property, furniture and equipment, ranging from three to seven years. Expenditures for maintenance and repairs are expensed as they are incurred.</w:t>
      </w:r>
    </w:p>
    <w:p>
      <w:pPr>
        <w:spacing w:after="0" w:line="170" w:lineRule="exact"/>
        <w:rPr>
          <w:sz w:val="20"/>
          <w:szCs w:val="20"/>
          <w:color w:val="auto"/>
        </w:rPr>
      </w:pPr>
    </w:p>
    <w:p>
      <w:pPr>
        <w:ind w:left="4" w:right="80" w:firstLine="440"/>
        <w:spacing w:after="0" w:line="290" w:lineRule="auto"/>
        <w:rPr>
          <w:sz w:val="20"/>
          <w:szCs w:val="20"/>
          <w:color w:val="auto"/>
        </w:rPr>
      </w:pPr>
      <w:r>
        <w:rPr>
          <w:rFonts w:ascii="Arial" w:cs="Arial" w:eastAsia="Arial" w:hAnsi="Arial"/>
          <w:sz w:val="16"/>
          <w:szCs w:val="16"/>
          <w:color w:val="auto"/>
        </w:rPr>
        <w:t xml:space="preserve">In August 2018, the FASB issued Accounting Standards Update No. 2018-15, </w:t>
      </w:r>
      <w:r>
        <w:rPr>
          <w:rFonts w:ascii="Arial" w:cs="Arial" w:eastAsia="Arial" w:hAnsi="Arial"/>
          <w:sz w:val="16"/>
          <w:szCs w:val="16"/>
          <w:i w:val="1"/>
          <w:iCs w:val="1"/>
          <w:color w:val="auto"/>
        </w:rPr>
        <w:t>Intangibles – Goodwill and Other (Topic 350) -</w:t>
      </w:r>
      <w:r>
        <w:rPr>
          <w:rFonts w:ascii="Arial" w:cs="Arial" w:eastAsia="Arial" w:hAnsi="Arial"/>
          <w:sz w:val="16"/>
          <w:szCs w:val="16"/>
          <w:color w:val="auto"/>
        </w:rPr>
        <w:t xml:space="preserve"> Internal-Use Software: Customer’s Accounting for Implementation Costs Incurred in a Cloud Computing Arrangement That Is a Service Contract (“ASU 2018-15”). The amendments in the update align the requirements for capitalizing implementation costs incurred in a hosting arrangement that is a service contract with the requirements for capitalizing implementation costs incurred to develop or obtain internal-use software (and hosting arrangements that include an internal-use software license). The Company adopted ASU 2018-15 on January 1, 2020 using the prospective transition approach and the implementation costs that were capitalized for the year ended December 31, 2020 amounted to $4,212 were included in “prepaid expenses and other current assets” in the Company’s consolidated balance sheet. Amortization of the capitalized implementation costs will commence when the hosting arrangement is ready for its intended use and will be amortized over the term of the hosting arrangement on a straight-line basis.</w:t>
      </w:r>
    </w:p>
    <w:p>
      <w:pPr>
        <w:spacing w:after="0" w:line="98"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F-15</w:t>
      </w:r>
    </w:p>
    <w:p>
      <w:pPr>
        <w:sectPr>
          <w:pgSz w:w="11900" w:h="16838" w:orient="portrait"/>
          <w:cols w:equalWidth="0" w:num="1">
            <w:col w:w="11004"/>
          </w:cols>
          <w:pgMar w:left="436" w:top="274" w:right="459" w:bottom="1440" w:gutter="0" w:footer="0" w:header="0"/>
        </w:sectPr>
      </w:pPr>
    </w:p>
    <w:bookmarkStart w:id="129" w:name="page130"/>
    <w:bookmarkEnd w:id="129"/>
    <w:p>
      <w:pPr>
        <w:ind w:left="424" w:hanging="424"/>
        <w:spacing w:after="0"/>
        <w:tabs>
          <w:tab w:leader="none" w:pos="424" w:val="left"/>
        </w:tabs>
        <w:numPr>
          <w:ilvl w:val="0"/>
          <w:numId w:val="105"/>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Containers</w:t>
      </w:r>
    </w:p>
    <w:p>
      <w:pPr>
        <w:spacing w:after="0" w:line="117" w:lineRule="exact"/>
        <w:rPr>
          <w:sz w:val="20"/>
          <w:szCs w:val="20"/>
          <w:color w:val="auto"/>
        </w:rPr>
      </w:pPr>
    </w:p>
    <w:p>
      <w:pPr>
        <w:ind w:left="4" w:right="120" w:firstLine="440"/>
        <w:spacing w:after="0" w:line="259" w:lineRule="auto"/>
        <w:rPr>
          <w:sz w:val="20"/>
          <w:szCs w:val="20"/>
          <w:color w:val="auto"/>
        </w:rPr>
      </w:pPr>
      <w:r>
        <w:rPr>
          <w:rFonts w:ascii="Arial" w:cs="Arial" w:eastAsia="Arial" w:hAnsi="Arial"/>
          <w:sz w:val="18"/>
          <w:szCs w:val="18"/>
          <w:color w:val="auto"/>
        </w:rPr>
        <w:t>Capitalized container costs include the container cost payable to the manufacturer and the associated transportation costs incurred in moving the Company’s containers from the manufacturer to the containers’ first destined port. Containers are depreciated using the straight-line method over their estimated useful lives to an estimated dollar residual value. Used containers are depreciated based upon their remaining useful lives at the date of acquisition to an estimated dollar residual value.</w:t>
      </w:r>
    </w:p>
    <w:p>
      <w:pPr>
        <w:spacing w:after="0" w:line="187" w:lineRule="exact"/>
        <w:rPr>
          <w:sz w:val="20"/>
          <w:szCs w:val="20"/>
          <w:color w:val="auto"/>
        </w:rPr>
      </w:pPr>
    </w:p>
    <w:p>
      <w:pPr>
        <w:ind w:left="4" w:firstLine="440"/>
        <w:spacing w:after="0" w:line="290" w:lineRule="auto"/>
        <w:rPr>
          <w:sz w:val="20"/>
          <w:szCs w:val="20"/>
          <w:color w:val="auto"/>
        </w:rPr>
      </w:pPr>
      <w:r>
        <w:rPr>
          <w:rFonts w:ascii="Arial" w:cs="Arial" w:eastAsia="Arial" w:hAnsi="Arial"/>
          <w:sz w:val="16"/>
          <w:szCs w:val="16"/>
          <w:color w:val="auto"/>
        </w:rPr>
        <w:t>The Company evaluates the estimated residual values and remaining estimated useful lives on a regular basis to determine whether a change in its estimates of useful lives and residual values is warranted. To perform this assessment, the Company analyzed sales data over a minimum of a ten-year period which reflected the cyclical nature of the global economic environment and its industry and assessed whether the average selling prices fall within a reasonable range compared to current residual values. The Company determined that a ten-year length of time includes sufficient periods of high and low used container prices to estimate future residual values. If the ten-year period was outside of the range of a container type, the Company evaluated the trend in average selling prices over three, five, and seven-year periods to corroborate the trend in the ten-year period. The Company then performed a comparison of the estimated residual values to publicly available peer data within the industry. The Company completed its annual depreciation policy review and concluded no change was necessary during the year ended December 31, 2020.</w:t>
      </w:r>
    </w:p>
    <w:p>
      <w:pPr>
        <w:spacing w:after="0" w:line="16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The Company estimates the useful lives and residual values of its containers to be as follows:</w:t>
      </w:r>
    </w:p>
    <w:p>
      <w:pPr>
        <w:spacing w:after="0" w:line="244" w:lineRule="exact"/>
        <w:rPr>
          <w:sz w:val="20"/>
          <w:szCs w:val="20"/>
          <w:color w:val="auto"/>
        </w:rPr>
      </w:pPr>
    </w:p>
    <w:tbl>
      <w:tblPr>
        <w:tblLayout w:type="fixed"/>
        <w:tblInd w:w="1324" w:type="dxa"/>
        <w:tblCellMar>
          <w:top w:w="0" w:type="dxa"/>
          <w:left w:w="0" w:type="dxa"/>
          <w:bottom w:w="0" w:type="dxa"/>
          <w:right w:w="0" w:type="dxa"/>
        </w:tblCellMar>
      </w:tblPr>
      <w:tr>
        <w:trPr>
          <w:trHeight w:val="171"/>
        </w:trPr>
        <w:tc>
          <w:tcPr>
            <w:tcW w:w="5460" w:type="dxa"/>
            <w:vAlign w:val="bottom"/>
          </w:tcPr>
          <w:p>
            <w:pPr>
              <w:spacing w:after="0"/>
              <w:rPr>
                <w:sz w:val="14"/>
                <w:szCs w:val="14"/>
                <w:color w:val="auto"/>
              </w:rPr>
            </w:pPr>
          </w:p>
        </w:tc>
        <w:tc>
          <w:tcPr>
            <w:tcW w:w="2900" w:type="dxa"/>
            <w:vAlign w:val="bottom"/>
            <w:gridSpan w:val="5"/>
          </w:tcPr>
          <w:p>
            <w:pPr>
              <w:ind w:left="380"/>
              <w:spacing w:after="0"/>
              <w:rPr>
                <w:sz w:val="20"/>
                <w:szCs w:val="20"/>
                <w:color w:val="auto"/>
              </w:rPr>
            </w:pPr>
            <w:r>
              <w:rPr>
                <w:rFonts w:ascii="Arial" w:cs="Arial" w:eastAsia="Arial" w:hAnsi="Arial"/>
                <w:sz w:val="14"/>
                <w:szCs w:val="14"/>
                <w:b w:val="1"/>
                <w:bCs w:val="1"/>
                <w:color w:val="auto"/>
              </w:rPr>
              <w:t>As of December 31, 2020 and 2019</w:t>
            </w:r>
          </w:p>
        </w:tc>
      </w:tr>
      <w:tr>
        <w:trPr>
          <w:trHeight w:val="119"/>
        </w:trPr>
        <w:tc>
          <w:tcPr>
            <w:tcW w:w="5460" w:type="dxa"/>
            <w:vAlign w:val="bottom"/>
          </w:tcPr>
          <w:p>
            <w:pPr>
              <w:spacing w:after="0"/>
              <w:rPr>
                <w:sz w:val="10"/>
                <w:szCs w:val="10"/>
                <w:color w:val="auto"/>
              </w:rPr>
            </w:pPr>
          </w:p>
        </w:tc>
        <w:tc>
          <w:tcPr>
            <w:tcW w:w="1040" w:type="dxa"/>
            <w:vAlign w:val="bottom"/>
            <w:tcBorders>
              <w:top w:val="single" w:sz="8" w:color="auto"/>
            </w:tcBorders>
          </w:tcPr>
          <w:p>
            <w:pPr>
              <w:jc w:val="right"/>
              <w:spacing w:after="0" w:line="119" w:lineRule="exact"/>
              <w:rPr>
                <w:sz w:val="20"/>
                <w:szCs w:val="20"/>
                <w:color w:val="auto"/>
              </w:rPr>
            </w:pPr>
            <w:r>
              <w:rPr>
                <w:rFonts w:ascii="Arial" w:cs="Arial" w:eastAsia="Arial" w:hAnsi="Arial"/>
                <w:sz w:val="13"/>
                <w:szCs w:val="13"/>
                <w:b w:val="1"/>
                <w:bCs w:val="1"/>
                <w:color w:val="auto"/>
                <w:w w:val="98"/>
              </w:rPr>
              <w:t>Estimated useful</w:t>
            </w:r>
          </w:p>
        </w:tc>
        <w:tc>
          <w:tcPr>
            <w:tcW w:w="860" w:type="dxa"/>
            <w:vAlign w:val="bottom"/>
            <w:tcBorders>
              <w:top w:val="single" w:sz="8" w:color="auto"/>
            </w:tcBorders>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860" w:type="dxa"/>
            <w:vAlign w:val="bottom"/>
            <w:tcBorders>
              <w:top w:val="single" w:sz="8" w:color="auto"/>
            </w:tcBorders>
          </w:tcPr>
          <w:p>
            <w:pPr>
              <w:jc w:val="center"/>
              <w:ind w:right="33"/>
              <w:spacing w:after="0" w:line="119" w:lineRule="exact"/>
              <w:rPr>
                <w:sz w:val="20"/>
                <w:szCs w:val="20"/>
                <w:color w:val="auto"/>
              </w:rPr>
            </w:pPr>
            <w:r>
              <w:rPr>
                <w:rFonts w:ascii="Arial" w:cs="Arial" w:eastAsia="Arial" w:hAnsi="Arial"/>
                <w:sz w:val="13"/>
                <w:szCs w:val="13"/>
                <w:b w:val="1"/>
                <w:bCs w:val="1"/>
                <w:color w:val="auto"/>
                <w:w w:val="99"/>
              </w:rPr>
              <w:t>Residual</w:t>
            </w:r>
          </w:p>
        </w:tc>
        <w:tc>
          <w:tcPr>
            <w:tcW w:w="40" w:type="dxa"/>
            <w:vAlign w:val="bottom"/>
          </w:tcPr>
          <w:p>
            <w:pPr>
              <w:spacing w:after="0"/>
              <w:rPr>
                <w:sz w:val="10"/>
                <w:szCs w:val="10"/>
                <w:color w:val="auto"/>
              </w:rPr>
            </w:pPr>
          </w:p>
        </w:tc>
      </w:tr>
      <w:tr>
        <w:trPr>
          <w:trHeight w:val="171"/>
        </w:trPr>
        <w:tc>
          <w:tcPr>
            <w:tcW w:w="5460" w:type="dxa"/>
            <w:vAlign w:val="bottom"/>
          </w:tcPr>
          <w:p>
            <w:pPr>
              <w:spacing w:after="0"/>
              <w:rPr>
                <w:sz w:val="14"/>
                <w:szCs w:val="14"/>
                <w:color w:val="auto"/>
              </w:rPr>
            </w:pPr>
          </w:p>
        </w:tc>
        <w:tc>
          <w:tcPr>
            <w:tcW w:w="1040" w:type="dxa"/>
            <w:vAlign w:val="bottom"/>
          </w:tcPr>
          <w:p>
            <w:pPr>
              <w:jc w:val="right"/>
              <w:ind w:right="94"/>
              <w:spacing w:after="0"/>
              <w:rPr>
                <w:sz w:val="20"/>
                <w:szCs w:val="20"/>
                <w:color w:val="auto"/>
              </w:rPr>
            </w:pPr>
            <w:r>
              <w:rPr>
                <w:rFonts w:ascii="Arial" w:cs="Arial" w:eastAsia="Arial" w:hAnsi="Arial"/>
                <w:sz w:val="14"/>
                <w:szCs w:val="14"/>
                <w:b w:val="1"/>
                <w:bCs w:val="1"/>
                <w:color w:val="auto"/>
              </w:rPr>
              <w:t>life (years)</w:t>
            </w:r>
          </w:p>
        </w:tc>
        <w:tc>
          <w:tcPr>
            <w:tcW w:w="8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90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90"/>
              </w:rPr>
              <w:t>Value</w:t>
            </w:r>
          </w:p>
        </w:tc>
      </w:tr>
      <w:tr>
        <w:trPr>
          <w:trHeight w:val="196"/>
        </w:trPr>
        <w:tc>
          <w:tcPr>
            <w:tcW w:w="546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color w:val="auto"/>
              </w:rPr>
              <w:t>Dry containers other than open top and flat rack containers:</w:t>
            </w:r>
          </w:p>
        </w:tc>
        <w:tc>
          <w:tcPr>
            <w:tcW w:w="1040" w:type="dxa"/>
            <w:vAlign w:val="bottom"/>
            <w:tcBorders>
              <w:top w:val="single" w:sz="8" w:color="auto"/>
            </w:tcBorders>
            <w:shd w:val="clear" w:color="auto" w:fill="CCEEFF"/>
          </w:tcPr>
          <w:p>
            <w:pPr>
              <w:spacing w:after="0"/>
              <w:rPr>
                <w:sz w:val="17"/>
                <w:szCs w:val="17"/>
                <w:color w:val="auto"/>
              </w:rPr>
            </w:pPr>
          </w:p>
        </w:tc>
        <w:tc>
          <w:tcPr>
            <w:tcW w:w="86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860" w:type="dxa"/>
            <w:vAlign w:val="bottom"/>
            <w:tcBorders>
              <w:top w:val="single" w:sz="8" w:color="auto"/>
            </w:tcBorders>
            <w:shd w:val="clear" w:color="auto" w:fill="CCEEFF"/>
          </w:tcPr>
          <w:p>
            <w:pPr>
              <w:spacing w:after="0"/>
              <w:rPr>
                <w:sz w:val="17"/>
                <w:szCs w:val="17"/>
                <w:color w:val="auto"/>
              </w:rPr>
            </w:pPr>
          </w:p>
        </w:tc>
        <w:tc>
          <w:tcPr>
            <w:tcW w:w="40" w:type="dxa"/>
            <w:vAlign w:val="bottom"/>
            <w:tcBorders>
              <w:top w:val="single" w:sz="8" w:color="CCEEFF"/>
            </w:tcBorders>
            <w:shd w:val="clear" w:color="auto" w:fill="CCEEFF"/>
          </w:tcPr>
          <w:p>
            <w:pPr>
              <w:spacing w:after="0"/>
              <w:rPr>
                <w:sz w:val="17"/>
                <w:szCs w:val="17"/>
                <w:color w:val="auto"/>
              </w:rPr>
            </w:pPr>
          </w:p>
        </w:tc>
      </w:tr>
      <w:tr>
        <w:trPr>
          <w:trHeight w:val="216"/>
        </w:trPr>
        <w:tc>
          <w:tcPr>
            <w:tcW w:w="5460" w:type="dxa"/>
            <w:vAlign w:val="bottom"/>
          </w:tcPr>
          <w:p>
            <w:pPr>
              <w:ind w:left="360"/>
              <w:spacing w:after="0"/>
              <w:rPr>
                <w:sz w:val="20"/>
                <w:szCs w:val="20"/>
                <w:color w:val="auto"/>
              </w:rPr>
            </w:pPr>
            <w:r>
              <w:rPr>
                <w:rFonts w:ascii="Arial" w:cs="Arial" w:eastAsia="Arial" w:hAnsi="Arial"/>
                <w:sz w:val="18"/>
                <w:szCs w:val="18"/>
                <w:color w:val="auto"/>
              </w:rPr>
              <w:t>20’</w:t>
            </w:r>
          </w:p>
        </w:tc>
        <w:tc>
          <w:tcPr>
            <w:tcW w:w="1040" w:type="dxa"/>
            <w:vAlign w:val="bottom"/>
          </w:tcPr>
          <w:p>
            <w:pPr>
              <w:jc w:val="right"/>
              <w:ind w:right="214"/>
              <w:spacing w:after="0"/>
              <w:rPr>
                <w:sz w:val="20"/>
                <w:szCs w:val="20"/>
                <w:color w:val="auto"/>
              </w:rPr>
            </w:pPr>
            <w:r>
              <w:rPr>
                <w:rFonts w:ascii="Arial" w:cs="Arial" w:eastAsia="Arial" w:hAnsi="Arial"/>
                <w:sz w:val="18"/>
                <w:szCs w:val="18"/>
                <w:color w:val="auto"/>
              </w:rPr>
              <w:t>13</w:t>
            </w: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40"/>
              <w:spacing w:after="0"/>
              <w:rPr>
                <w:sz w:val="20"/>
                <w:szCs w:val="20"/>
                <w:color w:val="auto"/>
              </w:rPr>
            </w:pPr>
            <w:r>
              <w:rPr>
                <w:rFonts w:ascii="Arial" w:cs="Arial" w:eastAsia="Arial" w:hAnsi="Arial"/>
                <w:sz w:val="18"/>
                <w:szCs w:val="18"/>
                <w:color w:val="auto"/>
              </w:rPr>
              <w:t>1,000</w:t>
            </w:r>
          </w:p>
        </w:tc>
      </w:tr>
      <w:tr>
        <w:trPr>
          <w:trHeight w:val="216"/>
        </w:trPr>
        <w:tc>
          <w:tcPr>
            <w:tcW w:w="54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40’</w:t>
            </w:r>
          </w:p>
        </w:tc>
        <w:tc>
          <w:tcPr>
            <w:tcW w:w="1040" w:type="dxa"/>
            <w:vAlign w:val="bottom"/>
            <w:shd w:val="clear" w:color="auto" w:fill="CCEEFF"/>
          </w:tcPr>
          <w:p>
            <w:pPr>
              <w:jc w:val="right"/>
              <w:ind w:right="214"/>
              <w:spacing w:after="0"/>
              <w:rPr>
                <w:sz w:val="20"/>
                <w:szCs w:val="20"/>
                <w:color w:val="auto"/>
              </w:rPr>
            </w:pPr>
            <w:r>
              <w:rPr>
                <w:rFonts w:ascii="Arial" w:cs="Arial" w:eastAsia="Arial" w:hAnsi="Arial"/>
                <w:sz w:val="18"/>
                <w:szCs w:val="18"/>
                <w:color w:val="auto"/>
              </w:rPr>
              <w:t>14</w:t>
            </w: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1,200</w:t>
            </w:r>
          </w:p>
        </w:tc>
      </w:tr>
      <w:tr>
        <w:trPr>
          <w:trHeight w:val="216"/>
        </w:trPr>
        <w:tc>
          <w:tcPr>
            <w:tcW w:w="5460" w:type="dxa"/>
            <w:vAlign w:val="bottom"/>
          </w:tcPr>
          <w:p>
            <w:pPr>
              <w:ind w:left="360"/>
              <w:spacing w:after="0"/>
              <w:rPr>
                <w:sz w:val="20"/>
                <w:szCs w:val="20"/>
                <w:color w:val="auto"/>
              </w:rPr>
            </w:pPr>
            <w:r>
              <w:rPr>
                <w:rFonts w:ascii="Arial" w:cs="Arial" w:eastAsia="Arial" w:hAnsi="Arial"/>
                <w:sz w:val="18"/>
                <w:szCs w:val="18"/>
                <w:color w:val="auto"/>
              </w:rPr>
              <w:t>40’ high cube</w:t>
            </w:r>
          </w:p>
        </w:tc>
        <w:tc>
          <w:tcPr>
            <w:tcW w:w="1040" w:type="dxa"/>
            <w:vAlign w:val="bottom"/>
          </w:tcPr>
          <w:p>
            <w:pPr>
              <w:jc w:val="right"/>
              <w:ind w:right="214"/>
              <w:spacing w:after="0"/>
              <w:rPr>
                <w:sz w:val="20"/>
                <w:szCs w:val="20"/>
                <w:color w:val="auto"/>
              </w:rPr>
            </w:pPr>
            <w:r>
              <w:rPr>
                <w:rFonts w:ascii="Arial" w:cs="Arial" w:eastAsia="Arial" w:hAnsi="Arial"/>
                <w:sz w:val="18"/>
                <w:szCs w:val="18"/>
                <w:color w:val="auto"/>
              </w:rPr>
              <w:t>13</w:t>
            </w: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40"/>
              <w:spacing w:after="0"/>
              <w:rPr>
                <w:sz w:val="20"/>
                <w:szCs w:val="20"/>
                <w:color w:val="auto"/>
              </w:rPr>
            </w:pPr>
            <w:r>
              <w:rPr>
                <w:rFonts w:ascii="Arial" w:cs="Arial" w:eastAsia="Arial" w:hAnsi="Arial"/>
                <w:sz w:val="18"/>
                <w:szCs w:val="18"/>
                <w:color w:val="auto"/>
              </w:rPr>
              <w:t>1,400</w:t>
            </w:r>
          </w:p>
        </w:tc>
      </w:tr>
      <w:tr>
        <w:trPr>
          <w:trHeight w:val="216"/>
        </w:trPr>
        <w:tc>
          <w:tcPr>
            <w:tcW w:w="54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45’ high cube</w:t>
            </w:r>
          </w:p>
        </w:tc>
        <w:tc>
          <w:tcPr>
            <w:tcW w:w="1040" w:type="dxa"/>
            <w:vAlign w:val="bottom"/>
            <w:shd w:val="clear" w:color="auto" w:fill="CCEEFF"/>
          </w:tcPr>
          <w:p>
            <w:pPr>
              <w:jc w:val="right"/>
              <w:ind w:right="214"/>
              <w:spacing w:after="0"/>
              <w:rPr>
                <w:sz w:val="20"/>
                <w:szCs w:val="20"/>
                <w:color w:val="auto"/>
              </w:rPr>
            </w:pPr>
            <w:r>
              <w:rPr>
                <w:rFonts w:ascii="Arial" w:cs="Arial" w:eastAsia="Arial" w:hAnsi="Arial"/>
                <w:sz w:val="18"/>
                <w:szCs w:val="18"/>
                <w:color w:val="auto"/>
              </w:rPr>
              <w:t>13</w:t>
            </w: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1,500</w:t>
            </w:r>
          </w:p>
        </w:tc>
      </w:tr>
      <w:tr>
        <w:trPr>
          <w:trHeight w:val="216"/>
        </w:trPr>
        <w:tc>
          <w:tcPr>
            <w:tcW w:w="5460" w:type="dxa"/>
            <w:vAlign w:val="bottom"/>
          </w:tcPr>
          <w:p>
            <w:pPr>
              <w:spacing w:after="0"/>
              <w:rPr>
                <w:sz w:val="20"/>
                <w:szCs w:val="20"/>
                <w:color w:val="auto"/>
              </w:rPr>
            </w:pPr>
            <w:r>
              <w:rPr>
                <w:rFonts w:ascii="Arial" w:cs="Arial" w:eastAsia="Arial" w:hAnsi="Arial"/>
                <w:sz w:val="18"/>
                <w:szCs w:val="18"/>
                <w:color w:val="auto"/>
              </w:rPr>
              <w:t>Refrigerated containers:</w:t>
            </w:r>
          </w:p>
        </w:tc>
        <w:tc>
          <w:tcPr>
            <w:tcW w:w="104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40" w:type="dxa"/>
            <w:vAlign w:val="bottom"/>
          </w:tcPr>
          <w:p>
            <w:pPr>
              <w:spacing w:after="0"/>
              <w:rPr>
                <w:sz w:val="18"/>
                <w:szCs w:val="18"/>
                <w:color w:val="auto"/>
              </w:rPr>
            </w:pPr>
          </w:p>
        </w:tc>
      </w:tr>
      <w:tr>
        <w:trPr>
          <w:trHeight w:val="216"/>
        </w:trPr>
        <w:tc>
          <w:tcPr>
            <w:tcW w:w="54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w:t>
            </w:r>
          </w:p>
        </w:tc>
        <w:tc>
          <w:tcPr>
            <w:tcW w:w="1040" w:type="dxa"/>
            <w:vAlign w:val="bottom"/>
            <w:shd w:val="clear" w:color="auto" w:fill="CCEEFF"/>
          </w:tcPr>
          <w:p>
            <w:pPr>
              <w:jc w:val="right"/>
              <w:ind w:right="214"/>
              <w:spacing w:after="0"/>
              <w:rPr>
                <w:sz w:val="20"/>
                <w:szCs w:val="20"/>
                <w:color w:val="auto"/>
              </w:rPr>
            </w:pPr>
            <w:r>
              <w:rPr>
                <w:rFonts w:ascii="Arial" w:cs="Arial" w:eastAsia="Arial" w:hAnsi="Arial"/>
                <w:sz w:val="18"/>
                <w:szCs w:val="18"/>
                <w:color w:val="auto"/>
              </w:rPr>
              <w:t>12</w:t>
            </w: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2,750</w:t>
            </w:r>
          </w:p>
        </w:tc>
      </w:tr>
      <w:tr>
        <w:trPr>
          <w:trHeight w:val="216"/>
        </w:trPr>
        <w:tc>
          <w:tcPr>
            <w:tcW w:w="5460" w:type="dxa"/>
            <w:vAlign w:val="bottom"/>
          </w:tcPr>
          <w:p>
            <w:pPr>
              <w:ind w:left="360"/>
              <w:spacing w:after="0"/>
              <w:rPr>
                <w:sz w:val="20"/>
                <w:szCs w:val="20"/>
                <w:color w:val="auto"/>
              </w:rPr>
            </w:pPr>
            <w:r>
              <w:rPr>
                <w:rFonts w:ascii="Arial" w:cs="Arial" w:eastAsia="Arial" w:hAnsi="Arial"/>
                <w:sz w:val="18"/>
                <w:szCs w:val="18"/>
                <w:color w:val="auto"/>
              </w:rPr>
              <w:t>20’ high cube</w:t>
            </w:r>
          </w:p>
        </w:tc>
        <w:tc>
          <w:tcPr>
            <w:tcW w:w="1040" w:type="dxa"/>
            <w:vAlign w:val="bottom"/>
          </w:tcPr>
          <w:p>
            <w:pPr>
              <w:jc w:val="right"/>
              <w:ind w:right="214"/>
              <w:spacing w:after="0"/>
              <w:rPr>
                <w:sz w:val="20"/>
                <w:szCs w:val="20"/>
                <w:color w:val="auto"/>
              </w:rPr>
            </w:pPr>
            <w:r>
              <w:rPr>
                <w:rFonts w:ascii="Arial" w:cs="Arial" w:eastAsia="Arial" w:hAnsi="Arial"/>
                <w:sz w:val="18"/>
                <w:szCs w:val="18"/>
                <w:color w:val="auto"/>
              </w:rPr>
              <w:t>12</w:t>
            </w: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40"/>
              <w:spacing w:after="0"/>
              <w:rPr>
                <w:sz w:val="20"/>
                <w:szCs w:val="20"/>
                <w:color w:val="auto"/>
              </w:rPr>
            </w:pPr>
            <w:r>
              <w:rPr>
                <w:rFonts w:ascii="Arial" w:cs="Arial" w:eastAsia="Arial" w:hAnsi="Arial"/>
                <w:sz w:val="18"/>
                <w:szCs w:val="18"/>
                <w:color w:val="auto"/>
              </w:rPr>
              <w:t>2,049</w:t>
            </w:r>
          </w:p>
        </w:tc>
      </w:tr>
      <w:tr>
        <w:trPr>
          <w:trHeight w:val="216"/>
        </w:trPr>
        <w:tc>
          <w:tcPr>
            <w:tcW w:w="54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40’ high cube</w:t>
            </w:r>
          </w:p>
        </w:tc>
        <w:tc>
          <w:tcPr>
            <w:tcW w:w="1040" w:type="dxa"/>
            <w:vAlign w:val="bottom"/>
            <w:shd w:val="clear" w:color="auto" w:fill="CCEEFF"/>
          </w:tcPr>
          <w:p>
            <w:pPr>
              <w:jc w:val="right"/>
              <w:ind w:right="214"/>
              <w:spacing w:after="0"/>
              <w:rPr>
                <w:sz w:val="20"/>
                <w:szCs w:val="20"/>
                <w:color w:val="auto"/>
              </w:rPr>
            </w:pPr>
            <w:r>
              <w:rPr>
                <w:rFonts w:ascii="Arial" w:cs="Arial" w:eastAsia="Arial" w:hAnsi="Arial"/>
                <w:sz w:val="18"/>
                <w:szCs w:val="18"/>
                <w:color w:val="auto"/>
              </w:rPr>
              <w:t>12</w:t>
            </w: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4,000</w:t>
            </w:r>
          </w:p>
        </w:tc>
      </w:tr>
      <w:tr>
        <w:trPr>
          <w:trHeight w:val="216"/>
        </w:trPr>
        <w:tc>
          <w:tcPr>
            <w:tcW w:w="5460" w:type="dxa"/>
            <w:vAlign w:val="bottom"/>
          </w:tcPr>
          <w:p>
            <w:pPr>
              <w:spacing w:after="0"/>
              <w:rPr>
                <w:sz w:val="20"/>
                <w:szCs w:val="20"/>
                <w:color w:val="auto"/>
              </w:rPr>
            </w:pPr>
            <w:r>
              <w:rPr>
                <w:rFonts w:ascii="Arial" w:cs="Arial" w:eastAsia="Arial" w:hAnsi="Arial"/>
                <w:sz w:val="18"/>
                <w:szCs w:val="18"/>
                <w:color w:val="auto"/>
              </w:rPr>
              <w:t>Open top and flat rack containers:</w:t>
            </w:r>
          </w:p>
        </w:tc>
        <w:tc>
          <w:tcPr>
            <w:tcW w:w="104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40" w:type="dxa"/>
            <w:vAlign w:val="bottom"/>
          </w:tcPr>
          <w:p>
            <w:pPr>
              <w:spacing w:after="0"/>
              <w:rPr>
                <w:sz w:val="18"/>
                <w:szCs w:val="18"/>
                <w:color w:val="auto"/>
              </w:rPr>
            </w:pPr>
          </w:p>
        </w:tc>
      </w:tr>
      <w:tr>
        <w:trPr>
          <w:trHeight w:val="216"/>
        </w:trPr>
        <w:tc>
          <w:tcPr>
            <w:tcW w:w="54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 folding flat rack</w:t>
            </w:r>
          </w:p>
        </w:tc>
        <w:tc>
          <w:tcPr>
            <w:tcW w:w="1040" w:type="dxa"/>
            <w:vAlign w:val="bottom"/>
            <w:shd w:val="clear" w:color="auto" w:fill="CCEEFF"/>
          </w:tcPr>
          <w:p>
            <w:pPr>
              <w:jc w:val="right"/>
              <w:ind w:right="214"/>
              <w:spacing w:after="0"/>
              <w:rPr>
                <w:sz w:val="20"/>
                <w:szCs w:val="20"/>
                <w:color w:val="auto"/>
              </w:rPr>
            </w:pPr>
            <w:r>
              <w:rPr>
                <w:rFonts w:ascii="Arial" w:cs="Arial" w:eastAsia="Arial" w:hAnsi="Arial"/>
                <w:sz w:val="18"/>
                <w:szCs w:val="18"/>
                <w:color w:val="auto"/>
              </w:rPr>
              <w:t>15</w:t>
            </w: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1,300</w:t>
            </w:r>
          </w:p>
        </w:tc>
      </w:tr>
      <w:tr>
        <w:trPr>
          <w:trHeight w:val="216"/>
        </w:trPr>
        <w:tc>
          <w:tcPr>
            <w:tcW w:w="5460" w:type="dxa"/>
            <w:vAlign w:val="bottom"/>
          </w:tcPr>
          <w:p>
            <w:pPr>
              <w:ind w:left="360"/>
              <w:spacing w:after="0"/>
              <w:rPr>
                <w:sz w:val="20"/>
                <w:szCs w:val="20"/>
                <w:color w:val="auto"/>
              </w:rPr>
            </w:pPr>
            <w:r>
              <w:rPr>
                <w:rFonts w:ascii="Arial" w:cs="Arial" w:eastAsia="Arial" w:hAnsi="Arial"/>
                <w:sz w:val="18"/>
                <w:szCs w:val="18"/>
                <w:color w:val="auto"/>
              </w:rPr>
              <w:t>40’ folding flat rack</w:t>
            </w:r>
          </w:p>
        </w:tc>
        <w:tc>
          <w:tcPr>
            <w:tcW w:w="1040" w:type="dxa"/>
            <w:vAlign w:val="bottom"/>
          </w:tcPr>
          <w:p>
            <w:pPr>
              <w:jc w:val="right"/>
              <w:ind w:right="214"/>
              <w:spacing w:after="0"/>
              <w:rPr>
                <w:sz w:val="20"/>
                <w:szCs w:val="20"/>
                <w:color w:val="auto"/>
              </w:rPr>
            </w:pPr>
            <w:r>
              <w:rPr>
                <w:rFonts w:ascii="Arial" w:cs="Arial" w:eastAsia="Arial" w:hAnsi="Arial"/>
                <w:sz w:val="18"/>
                <w:szCs w:val="18"/>
                <w:color w:val="auto"/>
              </w:rPr>
              <w:t>16</w:t>
            </w: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40"/>
              <w:spacing w:after="0"/>
              <w:rPr>
                <w:sz w:val="20"/>
                <w:szCs w:val="20"/>
                <w:color w:val="auto"/>
              </w:rPr>
            </w:pPr>
            <w:r>
              <w:rPr>
                <w:rFonts w:ascii="Arial" w:cs="Arial" w:eastAsia="Arial" w:hAnsi="Arial"/>
                <w:sz w:val="18"/>
                <w:szCs w:val="18"/>
                <w:color w:val="auto"/>
              </w:rPr>
              <w:t>1,700</w:t>
            </w:r>
          </w:p>
        </w:tc>
      </w:tr>
      <w:tr>
        <w:trPr>
          <w:trHeight w:val="216"/>
        </w:trPr>
        <w:tc>
          <w:tcPr>
            <w:tcW w:w="54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 open top</w:t>
            </w:r>
          </w:p>
        </w:tc>
        <w:tc>
          <w:tcPr>
            <w:tcW w:w="1040" w:type="dxa"/>
            <w:vAlign w:val="bottom"/>
            <w:shd w:val="clear" w:color="auto" w:fill="CCEEFF"/>
          </w:tcPr>
          <w:p>
            <w:pPr>
              <w:jc w:val="right"/>
              <w:ind w:right="214"/>
              <w:spacing w:after="0"/>
              <w:rPr>
                <w:sz w:val="20"/>
                <w:szCs w:val="20"/>
                <w:color w:val="auto"/>
              </w:rPr>
            </w:pPr>
            <w:r>
              <w:rPr>
                <w:rFonts w:ascii="Arial" w:cs="Arial" w:eastAsia="Arial" w:hAnsi="Arial"/>
                <w:sz w:val="18"/>
                <w:szCs w:val="18"/>
                <w:color w:val="auto"/>
              </w:rPr>
              <w:t>15</w:t>
            </w: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1,500</w:t>
            </w:r>
          </w:p>
        </w:tc>
      </w:tr>
      <w:tr>
        <w:trPr>
          <w:trHeight w:val="216"/>
        </w:trPr>
        <w:tc>
          <w:tcPr>
            <w:tcW w:w="5460" w:type="dxa"/>
            <w:vAlign w:val="bottom"/>
          </w:tcPr>
          <w:p>
            <w:pPr>
              <w:ind w:left="360"/>
              <w:spacing w:after="0"/>
              <w:rPr>
                <w:sz w:val="20"/>
                <w:szCs w:val="20"/>
                <w:color w:val="auto"/>
              </w:rPr>
            </w:pPr>
            <w:r>
              <w:rPr>
                <w:rFonts w:ascii="Arial" w:cs="Arial" w:eastAsia="Arial" w:hAnsi="Arial"/>
                <w:sz w:val="18"/>
                <w:szCs w:val="18"/>
                <w:color w:val="auto"/>
              </w:rPr>
              <w:t>40’ open top</w:t>
            </w:r>
          </w:p>
        </w:tc>
        <w:tc>
          <w:tcPr>
            <w:tcW w:w="1040" w:type="dxa"/>
            <w:vAlign w:val="bottom"/>
          </w:tcPr>
          <w:p>
            <w:pPr>
              <w:jc w:val="right"/>
              <w:ind w:right="214"/>
              <w:spacing w:after="0"/>
              <w:rPr>
                <w:sz w:val="20"/>
                <w:szCs w:val="20"/>
                <w:color w:val="auto"/>
              </w:rPr>
            </w:pPr>
            <w:r>
              <w:rPr>
                <w:rFonts w:ascii="Arial" w:cs="Arial" w:eastAsia="Arial" w:hAnsi="Arial"/>
                <w:sz w:val="18"/>
                <w:szCs w:val="18"/>
                <w:color w:val="auto"/>
              </w:rPr>
              <w:t>14</w:t>
            </w: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40"/>
              <w:spacing w:after="0"/>
              <w:rPr>
                <w:sz w:val="20"/>
                <w:szCs w:val="20"/>
                <w:color w:val="auto"/>
              </w:rPr>
            </w:pPr>
            <w:r>
              <w:rPr>
                <w:rFonts w:ascii="Arial" w:cs="Arial" w:eastAsia="Arial" w:hAnsi="Arial"/>
                <w:sz w:val="18"/>
                <w:szCs w:val="18"/>
                <w:color w:val="auto"/>
              </w:rPr>
              <w:t>2,500</w:t>
            </w:r>
          </w:p>
        </w:tc>
      </w:tr>
      <w:tr>
        <w:trPr>
          <w:trHeight w:val="216"/>
        </w:trPr>
        <w:tc>
          <w:tcPr>
            <w:tcW w:w="5460" w:type="dxa"/>
            <w:vAlign w:val="bottom"/>
            <w:shd w:val="clear" w:color="auto" w:fill="CCEEFF"/>
          </w:tcPr>
          <w:p>
            <w:pPr>
              <w:spacing w:after="0"/>
              <w:rPr>
                <w:sz w:val="20"/>
                <w:szCs w:val="20"/>
                <w:color w:val="auto"/>
              </w:rPr>
            </w:pPr>
            <w:r>
              <w:rPr>
                <w:rFonts w:ascii="Arial" w:cs="Arial" w:eastAsia="Arial" w:hAnsi="Arial"/>
                <w:sz w:val="18"/>
                <w:szCs w:val="18"/>
                <w:color w:val="auto"/>
              </w:rPr>
              <w:t>Tank containers</w:t>
            </w:r>
          </w:p>
        </w:tc>
        <w:tc>
          <w:tcPr>
            <w:tcW w:w="1040" w:type="dxa"/>
            <w:vAlign w:val="bottom"/>
            <w:shd w:val="clear" w:color="auto" w:fill="CCEEFF"/>
          </w:tcPr>
          <w:p>
            <w:pPr>
              <w:jc w:val="right"/>
              <w:ind w:right="214"/>
              <w:spacing w:after="0"/>
              <w:rPr>
                <w:sz w:val="20"/>
                <w:szCs w:val="20"/>
                <w:color w:val="auto"/>
              </w:rPr>
            </w:pPr>
            <w:r>
              <w:rPr>
                <w:rFonts w:ascii="Arial" w:cs="Arial" w:eastAsia="Arial" w:hAnsi="Arial"/>
                <w:sz w:val="18"/>
                <w:szCs w:val="18"/>
                <w:color w:val="auto"/>
              </w:rPr>
              <w:t>20</w:t>
            </w:r>
          </w:p>
        </w:tc>
        <w:tc>
          <w:tcPr>
            <w:tcW w:w="8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89"/>
              </w:rPr>
              <w:t>10% of cost</w:t>
            </w:r>
          </w:p>
        </w:tc>
      </w:tr>
      <w:tr>
        <w:trPr>
          <w:trHeight w:val="365"/>
        </w:trPr>
        <w:tc>
          <w:tcPr>
            <w:tcW w:w="5460" w:type="dxa"/>
            <w:vAlign w:val="bottom"/>
          </w:tcPr>
          <w:p>
            <w:pPr>
              <w:ind w:left="4020"/>
              <w:spacing w:after="0"/>
              <w:rPr>
                <w:sz w:val="20"/>
                <w:szCs w:val="20"/>
                <w:color w:val="auto"/>
              </w:rPr>
            </w:pPr>
            <w:r>
              <w:rPr>
                <w:rFonts w:ascii="Arial" w:cs="Arial" w:eastAsia="Arial" w:hAnsi="Arial"/>
                <w:sz w:val="18"/>
                <w:szCs w:val="18"/>
                <w:color w:val="auto"/>
              </w:rPr>
              <w:t>F-16</w:t>
            </w:r>
          </w:p>
        </w:tc>
        <w:tc>
          <w:tcPr>
            <w:tcW w:w="104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40" w:type="dxa"/>
            <w:vAlign w:val="bottom"/>
          </w:tcPr>
          <w:p>
            <w:pPr>
              <w:spacing w:after="0"/>
              <w:rPr>
                <w:sz w:val="24"/>
                <w:szCs w:val="24"/>
                <w:color w:val="auto"/>
              </w:rPr>
            </w:pPr>
          </w:p>
        </w:tc>
      </w:tr>
    </w:tbl>
    <w:p>
      <w:pPr>
        <w:sectPr>
          <w:pgSz w:w="11900" w:h="16838" w:orient="portrait"/>
          <w:cols w:equalWidth="0" w:num="1">
            <w:col w:w="10944"/>
          </w:cols>
          <w:pgMar w:left="436" w:top="274" w:right="519" w:bottom="1440" w:gutter="0" w:footer="0" w:header="0"/>
        </w:sectPr>
      </w:pPr>
    </w:p>
    <w:bookmarkStart w:id="130" w:name="page131"/>
    <w:bookmarkEnd w:id="130"/>
    <w:p>
      <w:pPr>
        <w:ind w:right="400"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cost, accumulated depreciation and net book value of the Company’s container leasing equipment by equipment type as of December 31, 2020 and 2019 were as follows:</w:t>
      </w:r>
    </w:p>
    <w:p>
      <w:pPr>
        <w:spacing w:after="0" w:line="18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45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0" w:type="dxa"/>
            <w:vAlign w:val="bottom"/>
            <w:tcBorders>
              <w:bottom w:val="single" w:sz="8" w:color="auto"/>
            </w:tcBorders>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80" w:type="dxa"/>
            <w:vAlign w:val="bottom"/>
            <w:tcBorders>
              <w:bottom w:val="single" w:sz="8" w:color="auto"/>
            </w:tcBorders>
          </w:tcPr>
          <w:p>
            <w:pPr>
              <w:jc w:val="right"/>
              <w:ind w:right="191"/>
              <w:spacing w:after="0"/>
              <w:rPr>
                <w:sz w:val="20"/>
                <w:szCs w:val="20"/>
                <w:color w:val="auto"/>
              </w:rPr>
            </w:pPr>
            <w:r>
              <w:rPr>
                <w:rFonts w:ascii="Arial" w:cs="Arial" w:eastAsia="Arial" w:hAnsi="Arial"/>
                <w:sz w:val="14"/>
                <w:szCs w:val="14"/>
                <w:b w:val="1"/>
                <w:bCs w:val="1"/>
                <w:color w:val="auto"/>
              </w:rPr>
              <w:t>2020</w:t>
            </w:r>
          </w:p>
        </w:tc>
        <w:tc>
          <w:tcPr>
            <w:tcW w:w="18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80" w:type="dxa"/>
            <w:vAlign w:val="bottom"/>
            <w:tcBorders>
              <w:bottom w:val="single" w:sz="8" w:color="auto"/>
            </w:tcBorders>
          </w:tcPr>
          <w:p>
            <w:pPr>
              <w:jc w:val="right"/>
              <w:ind w:right="171"/>
              <w:spacing w:after="0"/>
              <w:rPr>
                <w:sz w:val="20"/>
                <w:szCs w:val="20"/>
                <w:color w:val="auto"/>
              </w:rPr>
            </w:pPr>
            <w:r>
              <w:rPr>
                <w:rFonts w:ascii="Arial" w:cs="Arial" w:eastAsia="Arial" w:hAnsi="Arial"/>
                <w:sz w:val="14"/>
                <w:szCs w:val="14"/>
                <w:b w:val="1"/>
                <w:bCs w:val="1"/>
                <w:color w:val="auto"/>
              </w:rPr>
              <w:t>2019</w:t>
            </w:r>
          </w:p>
        </w:tc>
        <w:tc>
          <w:tcPr>
            <w:tcW w:w="18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45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940" w:type="dxa"/>
            <w:vAlign w:val="bottom"/>
            <w:gridSpan w:val="3"/>
            <w:vMerge w:val="restart"/>
          </w:tcPr>
          <w:p>
            <w:pPr>
              <w:ind w:left="260"/>
              <w:spacing w:after="0"/>
              <w:rPr>
                <w:sz w:val="20"/>
                <w:szCs w:val="20"/>
                <w:color w:val="auto"/>
              </w:rPr>
            </w:pPr>
            <w:r>
              <w:rPr>
                <w:rFonts w:ascii="Arial" w:cs="Arial" w:eastAsia="Arial" w:hAnsi="Arial"/>
                <w:sz w:val="14"/>
                <w:szCs w:val="14"/>
                <w:b w:val="1"/>
                <w:bCs w:val="1"/>
                <w:color w:val="auto"/>
              </w:rPr>
              <w:t>Cost</w:t>
            </w:r>
          </w:p>
        </w:tc>
        <w:tc>
          <w:tcPr>
            <w:tcW w:w="120" w:type="dxa"/>
            <w:vAlign w:val="bottom"/>
          </w:tcPr>
          <w:p>
            <w:pPr>
              <w:spacing w:after="0"/>
              <w:rPr>
                <w:sz w:val="10"/>
                <w:szCs w:val="10"/>
                <w:color w:val="auto"/>
              </w:rPr>
            </w:pPr>
          </w:p>
        </w:tc>
        <w:tc>
          <w:tcPr>
            <w:tcW w:w="1060" w:type="dxa"/>
            <w:vAlign w:val="bottom"/>
            <w:gridSpan w:val="3"/>
          </w:tcPr>
          <w:p>
            <w:pPr>
              <w:jc w:val="right"/>
              <w:ind w:right="141"/>
              <w:spacing w:after="0" w:line="119" w:lineRule="exact"/>
              <w:rPr>
                <w:sz w:val="20"/>
                <w:szCs w:val="20"/>
                <w:color w:val="auto"/>
              </w:rPr>
            </w:pPr>
            <w:r>
              <w:rPr>
                <w:rFonts w:ascii="Arial" w:cs="Arial" w:eastAsia="Arial" w:hAnsi="Arial"/>
                <w:sz w:val="13"/>
                <w:szCs w:val="13"/>
                <w:b w:val="1"/>
                <w:bCs w:val="1"/>
                <w:color w:val="auto"/>
              </w:rPr>
              <w:t>Accumulated</w:t>
            </w:r>
          </w:p>
        </w:tc>
        <w:tc>
          <w:tcPr>
            <w:tcW w:w="120" w:type="dxa"/>
            <w:vAlign w:val="bottom"/>
          </w:tcPr>
          <w:p>
            <w:pPr>
              <w:spacing w:after="0"/>
              <w:rPr>
                <w:sz w:val="10"/>
                <w:szCs w:val="10"/>
                <w:color w:val="auto"/>
              </w:rPr>
            </w:pPr>
          </w:p>
        </w:tc>
        <w:tc>
          <w:tcPr>
            <w:tcW w:w="820" w:type="dxa"/>
            <w:vAlign w:val="bottom"/>
          </w:tcPr>
          <w:p>
            <w:pPr>
              <w:jc w:val="center"/>
              <w:spacing w:after="0" w:line="119" w:lineRule="exact"/>
              <w:rPr>
                <w:sz w:val="20"/>
                <w:szCs w:val="20"/>
                <w:color w:val="auto"/>
              </w:rPr>
            </w:pPr>
            <w:r>
              <w:rPr>
                <w:rFonts w:ascii="Arial" w:cs="Arial" w:eastAsia="Arial" w:hAnsi="Arial"/>
                <w:sz w:val="13"/>
                <w:szCs w:val="13"/>
                <w:b w:val="1"/>
                <w:bCs w:val="1"/>
                <w:color w:val="auto"/>
                <w:w w:val="98"/>
              </w:rPr>
              <w:t>Net Book</w:t>
            </w:r>
          </w:p>
        </w:tc>
        <w:tc>
          <w:tcPr>
            <w:tcW w:w="1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960" w:type="dxa"/>
            <w:vAlign w:val="bottom"/>
            <w:gridSpan w:val="2"/>
            <w:vMerge w:val="restart"/>
          </w:tcPr>
          <w:p>
            <w:pPr>
              <w:jc w:val="center"/>
              <w:ind w:right="120"/>
              <w:spacing w:after="0"/>
              <w:rPr>
                <w:sz w:val="20"/>
                <w:szCs w:val="20"/>
                <w:color w:val="auto"/>
              </w:rPr>
            </w:pPr>
            <w:r>
              <w:rPr>
                <w:rFonts w:ascii="Arial" w:cs="Arial" w:eastAsia="Arial" w:hAnsi="Arial"/>
                <w:sz w:val="14"/>
                <w:szCs w:val="14"/>
                <w:b w:val="1"/>
                <w:bCs w:val="1"/>
                <w:color w:val="auto"/>
                <w:w w:val="89"/>
              </w:rPr>
              <w:t>Cost</w:t>
            </w:r>
          </w:p>
        </w:tc>
        <w:tc>
          <w:tcPr>
            <w:tcW w:w="120" w:type="dxa"/>
            <w:vAlign w:val="bottom"/>
          </w:tcPr>
          <w:p>
            <w:pPr>
              <w:spacing w:after="0"/>
              <w:rPr>
                <w:sz w:val="10"/>
                <w:szCs w:val="10"/>
                <w:color w:val="auto"/>
              </w:rPr>
            </w:pPr>
          </w:p>
        </w:tc>
        <w:tc>
          <w:tcPr>
            <w:tcW w:w="1060" w:type="dxa"/>
            <w:vAlign w:val="bottom"/>
            <w:gridSpan w:val="3"/>
          </w:tcPr>
          <w:p>
            <w:pPr>
              <w:jc w:val="right"/>
              <w:ind w:right="121"/>
              <w:spacing w:after="0" w:line="119" w:lineRule="exact"/>
              <w:rPr>
                <w:sz w:val="20"/>
                <w:szCs w:val="20"/>
                <w:color w:val="auto"/>
              </w:rPr>
            </w:pPr>
            <w:r>
              <w:rPr>
                <w:rFonts w:ascii="Arial" w:cs="Arial" w:eastAsia="Arial" w:hAnsi="Arial"/>
                <w:sz w:val="13"/>
                <w:szCs w:val="13"/>
                <w:b w:val="1"/>
                <w:bCs w:val="1"/>
                <w:color w:val="auto"/>
              </w:rPr>
              <w:t>Accumulated</w:t>
            </w:r>
          </w:p>
        </w:tc>
        <w:tc>
          <w:tcPr>
            <w:tcW w:w="140" w:type="dxa"/>
            <w:vAlign w:val="bottom"/>
          </w:tcPr>
          <w:p>
            <w:pPr>
              <w:spacing w:after="0"/>
              <w:rPr>
                <w:sz w:val="10"/>
                <w:szCs w:val="10"/>
                <w:color w:val="auto"/>
              </w:rPr>
            </w:pPr>
          </w:p>
        </w:tc>
        <w:tc>
          <w:tcPr>
            <w:tcW w:w="820" w:type="dxa"/>
            <w:vAlign w:val="bottom"/>
          </w:tcPr>
          <w:p>
            <w:pPr>
              <w:jc w:val="center"/>
              <w:spacing w:after="0" w:line="119" w:lineRule="exact"/>
              <w:rPr>
                <w:sz w:val="20"/>
                <w:szCs w:val="20"/>
                <w:color w:val="auto"/>
              </w:rPr>
            </w:pPr>
            <w:r>
              <w:rPr>
                <w:rFonts w:ascii="Arial" w:cs="Arial" w:eastAsia="Arial" w:hAnsi="Arial"/>
                <w:sz w:val="13"/>
                <w:szCs w:val="13"/>
                <w:b w:val="1"/>
                <w:bCs w:val="1"/>
                <w:color w:val="auto"/>
              </w:rPr>
              <w:t>Net Book</w:t>
            </w: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45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940" w:type="dxa"/>
            <w:vAlign w:val="bottom"/>
            <w:gridSpan w:val="3"/>
            <w:vMerge w:val="continue"/>
          </w:tcPr>
          <w:p>
            <w:pPr>
              <w:spacing w:after="0"/>
              <w:rPr>
                <w:sz w:val="14"/>
                <w:szCs w:val="14"/>
                <w:color w:val="auto"/>
              </w:rPr>
            </w:pPr>
          </w:p>
        </w:tc>
        <w:tc>
          <w:tcPr>
            <w:tcW w:w="120" w:type="dxa"/>
            <w:vAlign w:val="bottom"/>
          </w:tcPr>
          <w:p>
            <w:pPr>
              <w:spacing w:after="0"/>
              <w:rPr>
                <w:sz w:val="14"/>
                <w:szCs w:val="14"/>
                <w:color w:val="auto"/>
              </w:rPr>
            </w:pPr>
          </w:p>
        </w:tc>
        <w:tc>
          <w:tcPr>
            <w:tcW w:w="1060" w:type="dxa"/>
            <w:vAlign w:val="bottom"/>
            <w:gridSpan w:val="3"/>
          </w:tcPr>
          <w:p>
            <w:pPr>
              <w:jc w:val="right"/>
              <w:ind w:right="141"/>
              <w:spacing w:after="0"/>
              <w:rPr>
                <w:sz w:val="20"/>
                <w:szCs w:val="20"/>
                <w:color w:val="auto"/>
              </w:rPr>
            </w:pPr>
            <w:r>
              <w:rPr>
                <w:rFonts w:ascii="Arial" w:cs="Arial" w:eastAsia="Arial" w:hAnsi="Arial"/>
                <w:sz w:val="14"/>
                <w:szCs w:val="14"/>
                <w:b w:val="1"/>
                <w:bCs w:val="1"/>
                <w:color w:val="auto"/>
                <w:w w:val="96"/>
              </w:rPr>
              <w:t>Depreciation</w:t>
            </w:r>
          </w:p>
        </w:tc>
        <w:tc>
          <w:tcPr>
            <w:tcW w:w="120" w:type="dxa"/>
            <w:vAlign w:val="bottom"/>
          </w:tcPr>
          <w:p>
            <w:pPr>
              <w:spacing w:after="0"/>
              <w:rPr>
                <w:sz w:val="14"/>
                <w:szCs w:val="14"/>
                <w:color w:val="auto"/>
              </w:rPr>
            </w:pPr>
          </w:p>
        </w:tc>
        <w:tc>
          <w:tcPr>
            <w:tcW w:w="960" w:type="dxa"/>
            <w:vAlign w:val="bottom"/>
            <w:gridSpan w:val="2"/>
          </w:tcPr>
          <w:p>
            <w:pPr>
              <w:jc w:val="center"/>
              <w:ind w:right="120"/>
              <w:spacing w:after="0"/>
              <w:rPr>
                <w:sz w:val="20"/>
                <w:szCs w:val="20"/>
                <w:color w:val="auto"/>
              </w:rPr>
            </w:pPr>
            <w:r>
              <w:rPr>
                <w:rFonts w:ascii="Arial" w:cs="Arial" w:eastAsia="Arial" w:hAnsi="Arial"/>
                <w:sz w:val="14"/>
                <w:szCs w:val="14"/>
                <w:b w:val="1"/>
                <w:bCs w:val="1"/>
                <w:color w:val="auto"/>
                <w:w w:val="96"/>
              </w:rPr>
              <w:t>Value</w:t>
            </w:r>
          </w:p>
        </w:tc>
        <w:tc>
          <w:tcPr>
            <w:tcW w:w="120" w:type="dxa"/>
            <w:vAlign w:val="bottom"/>
          </w:tcPr>
          <w:p>
            <w:pPr>
              <w:spacing w:after="0"/>
              <w:rPr>
                <w:sz w:val="14"/>
                <w:szCs w:val="14"/>
                <w:color w:val="auto"/>
              </w:rPr>
            </w:pPr>
          </w:p>
        </w:tc>
        <w:tc>
          <w:tcPr>
            <w:tcW w:w="960" w:type="dxa"/>
            <w:vAlign w:val="bottom"/>
            <w:gridSpan w:val="2"/>
            <w:vMerge w:val="continue"/>
          </w:tcPr>
          <w:p>
            <w:pPr>
              <w:spacing w:after="0"/>
              <w:rPr>
                <w:sz w:val="14"/>
                <w:szCs w:val="14"/>
                <w:color w:val="auto"/>
              </w:rPr>
            </w:pPr>
          </w:p>
        </w:tc>
        <w:tc>
          <w:tcPr>
            <w:tcW w:w="120" w:type="dxa"/>
            <w:vAlign w:val="bottom"/>
          </w:tcPr>
          <w:p>
            <w:pPr>
              <w:spacing w:after="0"/>
              <w:rPr>
                <w:sz w:val="14"/>
                <w:szCs w:val="14"/>
                <w:color w:val="auto"/>
              </w:rPr>
            </w:pPr>
          </w:p>
        </w:tc>
        <w:tc>
          <w:tcPr>
            <w:tcW w:w="1060" w:type="dxa"/>
            <w:vAlign w:val="bottom"/>
            <w:gridSpan w:val="3"/>
          </w:tcPr>
          <w:p>
            <w:pPr>
              <w:jc w:val="right"/>
              <w:ind w:right="141"/>
              <w:spacing w:after="0"/>
              <w:rPr>
                <w:sz w:val="20"/>
                <w:szCs w:val="20"/>
                <w:color w:val="auto"/>
              </w:rPr>
            </w:pPr>
            <w:r>
              <w:rPr>
                <w:rFonts w:ascii="Arial" w:cs="Arial" w:eastAsia="Arial" w:hAnsi="Arial"/>
                <w:sz w:val="14"/>
                <w:szCs w:val="14"/>
                <w:b w:val="1"/>
                <w:bCs w:val="1"/>
                <w:color w:val="auto"/>
                <w:w w:val="96"/>
              </w:rPr>
              <w:t>Depreciation</w:t>
            </w:r>
          </w:p>
        </w:tc>
        <w:tc>
          <w:tcPr>
            <w:tcW w:w="140" w:type="dxa"/>
            <w:vAlign w:val="bottom"/>
          </w:tcPr>
          <w:p>
            <w:pPr>
              <w:spacing w:after="0"/>
              <w:rPr>
                <w:sz w:val="14"/>
                <w:szCs w:val="14"/>
                <w:color w:val="auto"/>
              </w:rPr>
            </w:pPr>
          </w:p>
        </w:tc>
        <w:tc>
          <w:tcPr>
            <w:tcW w:w="880" w:type="dxa"/>
            <w:vAlign w:val="bottom"/>
            <w:gridSpan w:val="2"/>
          </w:tcPr>
          <w:p>
            <w:pPr>
              <w:jc w:val="center"/>
              <w:ind w:right="60"/>
              <w:spacing w:after="0"/>
              <w:rPr>
                <w:sz w:val="20"/>
                <w:szCs w:val="20"/>
                <w:color w:val="auto"/>
              </w:rPr>
            </w:pPr>
            <w:r>
              <w:rPr>
                <w:rFonts w:ascii="Arial" w:cs="Arial" w:eastAsia="Arial" w:hAnsi="Arial"/>
                <w:sz w:val="14"/>
                <w:szCs w:val="14"/>
                <w:b w:val="1"/>
                <w:bCs w:val="1"/>
                <w:color w:val="auto"/>
                <w:w w:val="90"/>
              </w:rPr>
              <w:t>Value</w:t>
            </w:r>
          </w:p>
        </w:tc>
        <w:tc>
          <w:tcPr>
            <w:tcW w:w="0" w:type="dxa"/>
            <w:vAlign w:val="bottom"/>
          </w:tcPr>
          <w:p>
            <w:pPr>
              <w:spacing w:after="0"/>
              <w:rPr>
                <w:sz w:val="1"/>
                <w:szCs w:val="1"/>
                <w:color w:val="auto"/>
              </w:rPr>
            </w:pPr>
          </w:p>
        </w:tc>
      </w:tr>
      <w:tr>
        <w:trPr>
          <w:trHeight w:val="196"/>
        </w:trPr>
        <w:tc>
          <w:tcPr>
            <w:tcW w:w="452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color w:val="auto"/>
                <w:w w:val="95"/>
              </w:rPr>
              <w:t>Dry containers other than open top and flat rack containers:</w:t>
            </w:r>
          </w:p>
        </w:tc>
        <w:tc>
          <w:tcPr>
            <w:tcW w:w="20" w:type="dxa"/>
            <w:vAlign w:val="bottom"/>
            <w:tcBorders>
              <w:top w:val="single" w:sz="8" w:color="CCEEFF"/>
            </w:tcBorders>
            <w:shd w:val="clear" w:color="auto" w:fill="CCEEFF"/>
          </w:tcPr>
          <w:p>
            <w:pPr>
              <w:spacing w:after="0"/>
              <w:rPr>
                <w:sz w:val="17"/>
                <w:szCs w:val="17"/>
                <w:color w:val="auto"/>
              </w:rPr>
            </w:pPr>
          </w:p>
        </w:tc>
        <w:tc>
          <w:tcPr>
            <w:tcW w:w="800" w:type="dxa"/>
            <w:vAlign w:val="bottom"/>
            <w:tcBorders>
              <w:top w:val="single" w:sz="8" w:color="auto"/>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780" w:type="dxa"/>
            <w:vAlign w:val="bottom"/>
            <w:tcBorders>
              <w:top w:val="single" w:sz="8" w:color="auto"/>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82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82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780" w:type="dxa"/>
            <w:vAlign w:val="bottom"/>
            <w:tcBorders>
              <w:top w:val="single" w:sz="8" w:color="auto"/>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820" w:type="dxa"/>
            <w:vAlign w:val="bottom"/>
            <w:tcBorders>
              <w:top w:val="single" w:sz="8" w:color="auto"/>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4520" w:type="dxa"/>
            <w:vAlign w:val="bottom"/>
          </w:tcPr>
          <w:p>
            <w:pPr>
              <w:ind w:left="360"/>
              <w:spacing w:after="0"/>
              <w:rPr>
                <w:sz w:val="20"/>
                <w:szCs w:val="20"/>
                <w:color w:val="auto"/>
              </w:rPr>
            </w:pPr>
            <w:r>
              <w:rPr>
                <w:rFonts w:ascii="Arial" w:cs="Arial" w:eastAsia="Arial" w:hAnsi="Arial"/>
                <w:sz w:val="18"/>
                <w:szCs w:val="18"/>
                <w:color w:val="auto"/>
              </w:rPr>
              <w:t>20’</w:t>
            </w:r>
          </w:p>
        </w:tc>
        <w:tc>
          <w:tcPr>
            <w:tcW w:w="840" w:type="dxa"/>
            <w:vAlign w:val="bottom"/>
            <w:gridSpan w:val="3"/>
          </w:tcPr>
          <w:p>
            <w:pPr>
              <w:jc w:val="right"/>
              <w:ind w:right="20"/>
              <w:spacing w:after="0"/>
              <w:rPr>
                <w:sz w:val="20"/>
                <w:szCs w:val="20"/>
                <w:color w:val="auto"/>
              </w:rPr>
            </w:pPr>
            <w:r>
              <w:rPr>
                <w:rFonts w:ascii="Arial" w:cs="Arial" w:eastAsia="Arial" w:hAnsi="Arial"/>
                <w:sz w:val="18"/>
                <w:szCs w:val="18"/>
                <w:color w:val="auto"/>
                <w:w w:val="88"/>
              </w:rPr>
              <w:t>$1,532,753</w:t>
            </w:r>
          </w:p>
        </w:tc>
        <w:tc>
          <w:tcPr>
            <w:tcW w:w="120" w:type="dxa"/>
            <w:vAlign w:val="bottom"/>
          </w:tcPr>
          <w:p>
            <w:pPr>
              <w:spacing w:after="0"/>
              <w:rPr>
                <w:sz w:val="18"/>
                <w:szCs w:val="18"/>
                <w:color w:val="auto"/>
              </w:rPr>
            </w:pPr>
          </w:p>
        </w:tc>
        <w:tc>
          <w:tcPr>
            <w:tcW w:w="2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ind w:right="41"/>
              <w:spacing w:after="0"/>
              <w:rPr>
                <w:sz w:val="20"/>
                <w:szCs w:val="20"/>
                <w:color w:val="auto"/>
              </w:rPr>
            </w:pPr>
            <w:r>
              <w:rPr>
                <w:rFonts w:ascii="Arial" w:cs="Arial" w:eastAsia="Arial" w:hAnsi="Arial"/>
                <w:sz w:val="18"/>
                <w:szCs w:val="18"/>
                <w:color w:val="auto"/>
              </w:rPr>
              <w:t>(428,913)</w:t>
            </w:r>
          </w:p>
        </w:tc>
        <w:tc>
          <w:tcPr>
            <w:tcW w:w="1080" w:type="dxa"/>
            <w:vAlign w:val="bottom"/>
            <w:gridSpan w:val="3"/>
          </w:tcPr>
          <w:p>
            <w:pPr>
              <w:jc w:val="right"/>
              <w:ind w:right="120"/>
              <w:spacing w:after="0"/>
              <w:rPr>
                <w:sz w:val="20"/>
                <w:szCs w:val="20"/>
                <w:color w:val="auto"/>
              </w:rPr>
            </w:pPr>
            <w:r>
              <w:rPr>
                <w:rFonts w:ascii="Arial" w:cs="Arial" w:eastAsia="Arial" w:hAnsi="Arial"/>
                <w:sz w:val="18"/>
                <w:szCs w:val="18"/>
                <w:color w:val="auto"/>
              </w:rPr>
              <w:t>$1,103,840</w:t>
            </w:r>
          </w:p>
        </w:tc>
        <w:tc>
          <w:tcPr>
            <w:tcW w:w="1080" w:type="dxa"/>
            <w:vAlign w:val="bottom"/>
            <w:gridSpan w:val="3"/>
          </w:tcPr>
          <w:p>
            <w:pPr>
              <w:jc w:val="right"/>
              <w:ind w:right="120"/>
              <w:spacing w:after="0"/>
              <w:rPr>
                <w:sz w:val="20"/>
                <w:szCs w:val="20"/>
                <w:color w:val="auto"/>
              </w:rPr>
            </w:pPr>
            <w:r>
              <w:rPr>
                <w:rFonts w:ascii="Arial" w:cs="Arial" w:eastAsia="Arial" w:hAnsi="Arial"/>
                <w:sz w:val="18"/>
                <w:szCs w:val="18"/>
                <w:color w:val="auto"/>
              </w:rPr>
              <w:t>$1,627,878</w:t>
            </w:r>
          </w:p>
        </w:tc>
        <w:tc>
          <w:tcPr>
            <w:tcW w:w="2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ind w:right="41"/>
              <w:spacing w:after="0"/>
              <w:rPr>
                <w:sz w:val="20"/>
                <w:szCs w:val="20"/>
                <w:color w:val="auto"/>
              </w:rPr>
            </w:pPr>
            <w:r>
              <w:rPr>
                <w:rFonts w:ascii="Arial" w:cs="Arial" w:eastAsia="Arial" w:hAnsi="Arial"/>
                <w:sz w:val="18"/>
                <w:szCs w:val="18"/>
                <w:color w:val="auto"/>
              </w:rPr>
              <w:t>(396,247)</w:t>
            </w:r>
          </w:p>
        </w:tc>
        <w:tc>
          <w:tcPr>
            <w:tcW w:w="1020" w:type="dxa"/>
            <w:vAlign w:val="bottom"/>
            <w:gridSpan w:val="3"/>
          </w:tcPr>
          <w:p>
            <w:pPr>
              <w:jc w:val="right"/>
              <w:ind w:right="60"/>
              <w:spacing w:after="0"/>
              <w:rPr>
                <w:sz w:val="20"/>
                <w:szCs w:val="20"/>
                <w:color w:val="auto"/>
              </w:rPr>
            </w:pPr>
            <w:r>
              <w:rPr>
                <w:rFonts w:ascii="Arial" w:cs="Arial" w:eastAsia="Arial" w:hAnsi="Arial"/>
                <w:sz w:val="18"/>
                <w:szCs w:val="18"/>
                <w:color w:val="auto"/>
              </w:rPr>
              <w:t>$1,231,631</w:t>
            </w:r>
          </w:p>
        </w:tc>
        <w:tc>
          <w:tcPr>
            <w:tcW w:w="0" w:type="dxa"/>
            <w:vAlign w:val="bottom"/>
          </w:tcPr>
          <w:p>
            <w:pPr>
              <w:spacing w:after="0"/>
              <w:rPr>
                <w:sz w:val="1"/>
                <w:szCs w:val="1"/>
                <w:color w:val="auto"/>
              </w:rPr>
            </w:pPr>
          </w:p>
        </w:tc>
      </w:tr>
      <w:tr>
        <w:trPr>
          <w:trHeight w:val="216"/>
        </w:trPr>
        <w:tc>
          <w:tcPr>
            <w:tcW w:w="45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40’</w:t>
            </w:r>
          </w:p>
        </w:tc>
        <w:tc>
          <w:tcPr>
            <w:tcW w:w="840" w:type="dxa"/>
            <w:vAlign w:val="bottom"/>
            <w:gridSpan w:val="3"/>
            <w:shd w:val="clear" w:color="auto" w:fill="CCEEFF"/>
          </w:tcPr>
          <w:p>
            <w:pPr>
              <w:jc w:val="right"/>
              <w:ind w:right="20"/>
              <w:spacing w:after="0"/>
              <w:rPr>
                <w:sz w:val="20"/>
                <w:szCs w:val="20"/>
                <w:color w:val="auto"/>
              </w:rPr>
            </w:pPr>
            <w:r>
              <w:rPr>
                <w:rFonts w:ascii="Arial" w:cs="Arial" w:eastAsia="Arial" w:hAnsi="Arial"/>
                <w:sz w:val="18"/>
                <w:szCs w:val="18"/>
                <w:color w:val="auto"/>
              </w:rPr>
              <w:t>144,881</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(55,154)</w:t>
            </w:r>
          </w:p>
        </w:tc>
        <w:tc>
          <w:tcPr>
            <w:tcW w:w="10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89,727</w:t>
            </w:r>
          </w:p>
        </w:tc>
        <w:tc>
          <w:tcPr>
            <w:tcW w:w="10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167,011</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(58,852)</w:t>
            </w:r>
          </w:p>
        </w:tc>
        <w:tc>
          <w:tcPr>
            <w:tcW w:w="10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108,159</w:t>
            </w:r>
          </w:p>
        </w:tc>
        <w:tc>
          <w:tcPr>
            <w:tcW w:w="0" w:type="dxa"/>
            <w:vAlign w:val="bottom"/>
          </w:tcPr>
          <w:p>
            <w:pPr>
              <w:spacing w:after="0"/>
              <w:rPr>
                <w:sz w:val="1"/>
                <w:szCs w:val="1"/>
                <w:color w:val="auto"/>
              </w:rPr>
            </w:pPr>
          </w:p>
        </w:tc>
      </w:tr>
      <w:tr>
        <w:trPr>
          <w:trHeight w:val="216"/>
        </w:trPr>
        <w:tc>
          <w:tcPr>
            <w:tcW w:w="4520" w:type="dxa"/>
            <w:vAlign w:val="bottom"/>
          </w:tcPr>
          <w:p>
            <w:pPr>
              <w:ind w:left="360"/>
              <w:spacing w:after="0"/>
              <w:rPr>
                <w:sz w:val="20"/>
                <w:szCs w:val="20"/>
                <w:color w:val="auto"/>
              </w:rPr>
            </w:pPr>
            <w:r>
              <w:rPr>
                <w:rFonts w:ascii="Arial" w:cs="Arial" w:eastAsia="Arial" w:hAnsi="Arial"/>
                <w:sz w:val="18"/>
                <w:szCs w:val="18"/>
                <w:color w:val="auto"/>
              </w:rPr>
              <w:t>40’ high cube</w:t>
            </w:r>
          </w:p>
        </w:tc>
        <w:tc>
          <w:tcPr>
            <w:tcW w:w="840" w:type="dxa"/>
            <w:vAlign w:val="bottom"/>
            <w:gridSpan w:val="3"/>
          </w:tcPr>
          <w:p>
            <w:pPr>
              <w:jc w:val="right"/>
              <w:ind w:right="20"/>
              <w:spacing w:after="0"/>
              <w:rPr>
                <w:sz w:val="20"/>
                <w:szCs w:val="20"/>
                <w:color w:val="auto"/>
              </w:rPr>
            </w:pPr>
            <w:r>
              <w:rPr>
                <w:rFonts w:ascii="Arial" w:cs="Arial" w:eastAsia="Arial" w:hAnsi="Arial"/>
                <w:sz w:val="18"/>
                <w:szCs w:val="18"/>
                <w:color w:val="auto"/>
                <w:w w:val="99"/>
              </w:rPr>
              <w:t>2,717,384</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60" w:type="dxa"/>
            <w:vAlign w:val="bottom"/>
            <w:gridSpan w:val="2"/>
          </w:tcPr>
          <w:p>
            <w:pPr>
              <w:jc w:val="right"/>
              <w:ind w:right="41"/>
              <w:spacing w:after="0"/>
              <w:rPr>
                <w:sz w:val="20"/>
                <w:szCs w:val="20"/>
                <w:color w:val="auto"/>
              </w:rPr>
            </w:pPr>
            <w:r>
              <w:rPr>
                <w:rFonts w:ascii="Arial" w:cs="Arial" w:eastAsia="Arial" w:hAnsi="Arial"/>
                <w:sz w:val="18"/>
                <w:szCs w:val="18"/>
                <w:color w:val="auto"/>
              </w:rPr>
              <w:t>(672,416)</w:t>
            </w:r>
          </w:p>
        </w:tc>
        <w:tc>
          <w:tcPr>
            <w:tcW w:w="1080" w:type="dxa"/>
            <w:vAlign w:val="bottom"/>
            <w:gridSpan w:val="3"/>
          </w:tcPr>
          <w:p>
            <w:pPr>
              <w:jc w:val="right"/>
              <w:ind w:right="120"/>
              <w:spacing w:after="0"/>
              <w:rPr>
                <w:sz w:val="20"/>
                <w:szCs w:val="20"/>
                <w:color w:val="auto"/>
              </w:rPr>
            </w:pPr>
            <w:r>
              <w:rPr>
                <w:rFonts w:ascii="Arial" w:cs="Arial" w:eastAsia="Arial" w:hAnsi="Arial"/>
                <w:sz w:val="18"/>
                <w:szCs w:val="18"/>
                <w:color w:val="auto"/>
              </w:rPr>
              <w:t>2,044,968</w:t>
            </w:r>
          </w:p>
        </w:tc>
        <w:tc>
          <w:tcPr>
            <w:tcW w:w="1080" w:type="dxa"/>
            <w:vAlign w:val="bottom"/>
            <w:gridSpan w:val="3"/>
          </w:tcPr>
          <w:p>
            <w:pPr>
              <w:jc w:val="right"/>
              <w:ind w:right="120"/>
              <w:spacing w:after="0"/>
              <w:rPr>
                <w:sz w:val="20"/>
                <w:szCs w:val="20"/>
                <w:color w:val="auto"/>
              </w:rPr>
            </w:pPr>
            <w:r>
              <w:rPr>
                <w:rFonts w:ascii="Arial" w:cs="Arial" w:eastAsia="Arial" w:hAnsi="Arial"/>
                <w:sz w:val="18"/>
                <w:szCs w:val="18"/>
                <w:color w:val="auto"/>
              </w:rPr>
              <w:t>2,510,937</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60" w:type="dxa"/>
            <w:vAlign w:val="bottom"/>
            <w:gridSpan w:val="2"/>
          </w:tcPr>
          <w:p>
            <w:pPr>
              <w:jc w:val="right"/>
              <w:ind w:right="41"/>
              <w:spacing w:after="0"/>
              <w:rPr>
                <w:sz w:val="20"/>
                <w:szCs w:val="20"/>
                <w:color w:val="auto"/>
              </w:rPr>
            </w:pPr>
            <w:r>
              <w:rPr>
                <w:rFonts w:ascii="Arial" w:cs="Arial" w:eastAsia="Arial" w:hAnsi="Arial"/>
                <w:sz w:val="18"/>
                <w:szCs w:val="18"/>
                <w:color w:val="auto"/>
              </w:rPr>
              <w:t>(592,374)</w:t>
            </w:r>
          </w:p>
        </w:tc>
        <w:tc>
          <w:tcPr>
            <w:tcW w:w="1020" w:type="dxa"/>
            <w:vAlign w:val="bottom"/>
            <w:gridSpan w:val="3"/>
          </w:tcPr>
          <w:p>
            <w:pPr>
              <w:jc w:val="right"/>
              <w:ind w:right="60"/>
              <w:spacing w:after="0"/>
              <w:rPr>
                <w:sz w:val="20"/>
                <w:szCs w:val="20"/>
                <w:color w:val="auto"/>
              </w:rPr>
            </w:pPr>
            <w:r>
              <w:rPr>
                <w:rFonts w:ascii="Arial" w:cs="Arial" w:eastAsia="Arial" w:hAnsi="Arial"/>
                <w:sz w:val="18"/>
                <w:szCs w:val="18"/>
                <w:color w:val="auto"/>
              </w:rPr>
              <w:t>1,918,563</w:t>
            </w:r>
          </w:p>
        </w:tc>
        <w:tc>
          <w:tcPr>
            <w:tcW w:w="0" w:type="dxa"/>
            <w:vAlign w:val="bottom"/>
          </w:tcPr>
          <w:p>
            <w:pPr>
              <w:spacing w:after="0"/>
              <w:rPr>
                <w:sz w:val="1"/>
                <w:szCs w:val="1"/>
                <w:color w:val="auto"/>
              </w:rPr>
            </w:pPr>
          </w:p>
        </w:tc>
      </w:tr>
      <w:tr>
        <w:trPr>
          <w:trHeight w:val="216"/>
        </w:trPr>
        <w:tc>
          <w:tcPr>
            <w:tcW w:w="45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45’ high cube</w:t>
            </w:r>
          </w:p>
        </w:tc>
        <w:tc>
          <w:tcPr>
            <w:tcW w:w="96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27,880</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(12,747)</w:t>
            </w:r>
          </w:p>
        </w:tc>
        <w:tc>
          <w:tcPr>
            <w:tcW w:w="10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15,133</w:t>
            </w:r>
          </w:p>
        </w:tc>
        <w:tc>
          <w:tcPr>
            <w:tcW w:w="10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28,670</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(11,488)</w:t>
            </w:r>
          </w:p>
        </w:tc>
        <w:tc>
          <w:tcPr>
            <w:tcW w:w="10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17,182</w:t>
            </w:r>
          </w:p>
        </w:tc>
        <w:tc>
          <w:tcPr>
            <w:tcW w:w="0" w:type="dxa"/>
            <w:vAlign w:val="bottom"/>
          </w:tcPr>
          <w:p>
            <w:pPr>
              <w:spacing w:after="0"/>
              <w:rPr>
                <w:sz w:val="1"/>
                <w:szCs w:val="1"/>
                <w:color w:val="auto"/>
              </w:rPr>
            </w:pPr>
          </w:p>
        </w:tc>
      </w:tr>
      <w:tr>
        <w:trPr>
          <w:trHeight w:val="216"/>
        </w:trPr>
        <w:tc>
          <w:tcPr>
            <w:tcW w:w="4520" w:type="dxa"/>
            <w:vAlign w:val="bottom"/>
          </w:tcPr>
          <w:p>
            <w:pPr>
              <w:spacing w:after="0"/>
              <w:rPr>
                <w:sz w:val="20"/>
                <w:szCs w:val="20"/>
                <w:color w:val="auto"/>
              </w:rPr>
            </w:pPr>
            <w:r>
              <w:rPr>
                <w:rFonts w:ascii="Arial" w:cs="Arial" w:eastAsia="Arial" w:hAnsi="Arial"/>
                <w:sz w:val="18"/>
                <w:szCs w:val="18"/>
                <w:color w:val="auto"/>
              </w:rPr>
              <w:t>Refrigerated containers:</w:t>
            </w:r>
          </w:p>
        </w:tc>
        <w:tc>
          <w:tcPr>
            <w:tcW w:w="2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5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w:t>
            </w:r>
          </w:p>
        </w:tc>
        <w:tc>
          <w:tcPr>
            <w:tcW w:w="96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20,164</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(8,493)</w:t>
            </w:r>
          </w:p>
        </w:tc>
        <w:tc>
          <w:tcPr>
            <w:tcW w:w="10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11,671</w:t>
            </w:r>
          </w:p>
        </w:tc>
        <w:tc>
          <w:tcPr>
            <w:tcW w:w="10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20,484</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(7,258)</w:t>
            </w:r>
          </w:p>
        </w:tc>
        <w:tc>
          <w:tcPr>
            <w:tcW w:w="10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13,226</w:t>
            </w:r>
          </w:p>
        </w:tc>
        <w:tc>
          <w:tcPr>
            <w:tcW w:w="0" w:type="dxa"/>
            <w:vAlign w:val="bottom"/>
          </w:tcPr>
          <w:p>
            <w:pPr>
              <w:spacing w:after="0"/>
              <w:rPr>
                <w:sz w:val="1"/>
                <w:szCs w:val="1"/>
                <w:color w:val="auto"/>
              </w:rPr>
            </w:pPr>
          </w:p>
        </w:tc>
      </w:tr>
      <w:tr>
        <w:trPr>
          <w:trHeight w:val="216"/>
        </w:trPr>
        <w:tc>
          <w:tcPr>
            <w:tcW w:w="4520" w:type="dxa"/>
            <w:vAlign w:val="bottom"/>
          </w:tcPr>
          <w:p>
            <w:pPr>
              <w:ind w:left="360"/>
              <w:spacing w:after="0"/>
              <w:rPr>
                <w:sz w:val="20"/>
                <w:szCs w:val="20"/>
                <w:color w:val="auto"/>
              </w:rPr>
            </w:pPr>
            <w:r>
              <w:rPr>
                <w:rFonts w:ascii="Arial" w:cs="Arial" w:eastAsia="Arial" w:hAnsi="Arial"/>
                <w:sz w:val="18"/>
                <w:szCs w:val="18"/>
                <w:color w:val="auto"/>
              </w:rPr>
              <w:t>20’ high cube</w:t>
            </w:r>
          </w:p>
        </w:tc>
        <w:tc>
          <w:tcPr>
            <w:tcW w:w="840" w:type="dxa"/>
            <w:vAlign w:val="bottom"/>
            <w:gridSpan w:val="3"/>
          </w:tcPr>
          <w:p>
            <w:pPr>
              <w:jc w:val="right"/>
              <w:ind w:right="20"/>
              <w:spacing w:after="0"/>
              <w:rPr>
                <w:sz w:val="20"/>
                <w:szCs w:val="20"/>
                <w:color w:val="auto"/>
              </w:rPr>
            </w:pPr>
            <w:r>
              <w:rPr>
                <w:rFonts w:ascii="Arial" w:cs="Arial" w:eastAsia="Arial" w:hAnsi="Arial"/>
                <w:sz w:val="18"/>
                <w:szCs w:val="18"/>
                <w:color w:val="auto"/>
              </w:rPr>
              <w:t>2,605</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60" w:type="dxa"/>
            <w:vAlign w:val="bottom"/>
            <w:gridSpan w:val="2"/>
          </w:tcPr>
          <w:p>
            <w:pPr>
              <w:jc w:val="right"/>
              <w:ind w:right="41"/>
              <w:spacing w:after="0"/>
              <w:rPr>
                <w:sz w:val="20"/>
                <w:szCs w:val="20"/>
                <w:color w:val="auto"/>
              </w:rPr>
            </w:pPr>
            <w:r>
              <w:rPr>
                <w:rFonts w:ascii="Arial" w:cs="Arial" w:eastAsia="Arial" w:hAnsi="Arial"/>
                <w:sz w:val="18"/>
                <w:szCs w:val="18"/>
                <w:color w:val="auto"/>
              </w:rPr>
              <w:t>(1,742)</w:t>
            </w:r>
          </w:p>
        </w:tc>
        <w:tc>
          <w:tcPr>
            <w:tcW w:w="1080" w:type="dxa"/>
            <w:vAlign w:val="bottom"/>
            <w:gridSpan w:val="3"/>
          </w:tcPr>
          <w:p>
            <w:pPr>
              <w:jc w:val="right"/>
              <w:ind w:right="120"/>
              <w:spacing w:after="0"/>
              <w:rPr>
                <w:sz w:val="20"/>
                <w:szCs w:val="20"/>
                <w:color w:val="auto"/>
              </w:rPr>
            </w:pPr>
            <w:r>
              <w:rPr>
                <w:rFonts w:ascii="Arial" w:cs="Arial" w:eastAsia="Arial" w:hAnsi="Arial"/>
                <w:sz w:val="18"/>
                <w:szCs w:val="18"/>
                <w:color w:val="auto"/>
              </w:rPr>
              <w:t>863</w:t>
            </w:r>
          </w:p>
        </w:tc>
        <w:tc>
          <w:tcPr>
            <w:tcW w:w="1080" w:type="dxa"/>
            <w:vAlign w:val="bottom"/>
            <w:gridSpan w:val="3"/>
          </w:tcPr>
          <w:p>
            <w:pPr>
              <w:jc w:val="right"/>
              <w:ind w:right="120"/>
              <w:spacing w:after="0"/>
              <w:rPr>
                <w:sz w:val="20"/>
                <w:szCs w:val="20"/>
                <w:color w:val="auto"/>
              </w:rPr>
            </w:pPr>
            <w:r>
              <w:rPr>
                <w:rFonts w:ascii="Arial" w:cs="Arial" w:eastAsia="Arial" w:hAnsi="Arial"/>
                <w:sz w:val="18"/>
                <w:szCs w:val="18"/>
                <w:color w:val="auto"/>
              </w:rPr>
              <w:t>5,139</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60" w:type="dxa"/>
            <w:vAlign w:val="bottom"/>
            <w:gridSpan w:val="2"/>
          </w:tcPr>
          <w:p>
            <w:pPr>
              <w:jc w:val="right"/>
              <w:ind w:right="41"/>
              <w:spacing w:after="0"/>
              <w:rPr>
                <w:sz w:val="20"/>
                <w:szCs w:val="20"/>
                <w:color w:val="auto"/>
              </w:rPr>
            </w:pPr>
            <w:r>
              <w:rPr>
                <w:rFonts w:ascii="Arial" w:cs="Arial" w:eastAsia="Arial" w:hAnsi="Arial"/>
                <w:sz w:val="18"/>
                <w:szCs w:val="18"/>
                <w:color w:val="auto"/>
              </w:rPr>
              <w:t>(3,090)</w:t>
            </w:r>
          </w:p>
        </w:tc>
        <w:tc>
          <w:tcPr>
            <w:tcW w:w="1020" w:type="dxa"/>
            <w:vAlign w:val="bottom"/>
            <w:gridSpan w:val="3"/>
          </w:tcPr>
          <w:p>
            <w:pPr>
              <w:jc w:val="right"/>
              <w:ind w:right="60"/>
              <w:spacing w:after="0"/>
              <w:rPr>
                <w:sz w:val="20"/>
                <w:szCs w:val="20"/>
                <w:color w:val="auto"/>
              </w:rPr>
            </w:pPr>
            <w:r>
              <w:rPr>
                <w:rFonts w:ascii="Arial" w:cs="Arial" w:eastAsia="Arial" w:hAnsi="Arial"/>
                <w:sz w:val="18"/>
                <w:szCs w:val="18"/>
                <w:color w:val="auto"/>
              </w:rPr>
              <w:t>2,049</w:t>
            </w:r>
          </w:p>
        </w:tc>
        <w:tc>
          <w:tcPr>
            <w:tcW w:w="0" w:type="dxa"/>
            <w:vAlign w:val="bottom"/>
          </w:tcPr>
          <w:p>
            <w:pPr>
              <w:spacing w:after="0"/>
              <w:rPr>
                <w:sz w:val="1"/>
                <w:szCs w:val="1"/>
                <w:color w:val="auto"/>
              </w:rPr>
            </w:pPr>
          </w:p>
        </w:tc>
      </w:tr>
      <w:tr>
        <w:trPr>
          <w:trHeight w:val="216"/>
        </w:trPr>
        <w:tc>
          <w:tcPr>
            <w:tcW w:w="45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40’ high cube</w:t>
            </w:r>
          </w:p>
        </w:tc>
        <w:tc>
          <w:tcPr>
            <w:tcW w:w="840" w:type="dxa"/>
            <w:vAlign w:val="bottom"/>
            <w:gridSpan w:val="3"/>
            <w:shd w:val="clear" w:color="auto" w:fill="CCEEFF"/>
          </w:tcPr>
          <w:p>
            <w:pPr>
              <w:jc w:val="right"/>
              <w:ind w:right="20"/>
              <w:spacing w:after="0"/>
              <w:rPr>
                <w:sz w:val="20"/>
                <w:szCs w:val="20"/>
                <w:color w:val="auto"/>
              </w:rPr>
            </w:pPr>
            <w:r>
              <w:rPr>
                <w:rFonts w:ascii="Arial" w:cs="Arial" w:eastAsia="Arial" w:hAnsi="Arial"/>
                <w:sz w:val="18"/>
                <w:szCs w:val="18"/>
                <w:color w:val="auto"/>
                <w:w w:val="99"/>
              </w:rPr>
              <w:t>1,103,817</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(398,721)</w:t>
            </w:r>
          </w:p>
        </w:tc>
        <w:tc>
          <w:tcPr>
            <w:tcW w:w="10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705,096</w:t>
            </w:r>
          </w:p>
        </w:tc>
        <w:tc>
          <w:tcPr>
            <w:tcW w:w="10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1,052,707</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(338,068)</w:t>
            </w:r>
          </w:p>
        </w:tc>
        <w:tc>
          <w:tcPr>
            <w:tcW w:w="10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714,639</w:t>
            </w:r>
          </w:p>
        </w:tc>
        <w:tc>
          <w:tcPr>
            <w:tcW w:w="0" w:type="dxa"/>
            <w:vAlign w:val="bottom"/>
          </w:tcPr>
          <w:p>
            <w:pPr>
              <w:spacing w:after="0"/>
              <w:rPr>
                <w:sz w:val="1"/>
                <w:szCs w:val="1"/>
                <w:color w:val="auto"/>
              </w:rPr>
            </w:pPr>
          </w:p>
        </w:tc>
      </w:tr>
      <w:tr>
        <w:trPr>
          <w:trHeight w:val="216"/>
        </w:trPr>
        <w:tc>
          <w:tcPr>
            <w:tcW w:w="4520" w:type="dxa"/>
            <w:vAlign w:val="bottom"/>
          </w:tcPr>
          <w:p>
            <w:pPr>
              <w:spacing w:after="0"/>
              <w:rPr>
                <w:sz w:val="20"/>
                <w:szCs w:val="20"/>
                <w:color w:val="auto"/>
              </w:rPr>
            </w:pPr>
            <w:r>
              <w:rPr>
                <w:rFonts w:ascii="Arial" w:cs="Arial" w:eastAsia="Arial" w:hAnsi="Arial"/>
                <w:sz w:val="18"/>
                <w:szCs w:val="18"/>
                <w:color w:val="auto"/>
              </w:rPr>
              <w:t>Open top and flat rack containers:</w:t>
            </w:r>
          </w:p>
        </w:tc>
        <w:tc>
          <w:tcPr>
            <w:tcW w:w="2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5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 folding flat</w:t>
            </w:r>
          </w:p>
        </w:tc>
        <w:tc>
          <w:tcPr>
            <w:tcW w:w="96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17,228</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(5,132)</w:t>
            </w:r>
          </w:p>
        </w:tc>
        <w:tc>
          <w:tcPr>
            <w:tcW w:w="10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12,096</w:t>
            </w:r>
          </w:p>
        </w:tc>
        <w:tc>
          <w:tcPr>
            <w:tcW w:w="10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17,617</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(4,538)</w:t>
            </w:r>
          </w:p>
        </w:tc>
        <w:tc>
          <w:tcPr>
            <w:tcW w:w="10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13,079</w:t>
            </w:r>
          </w:p>
        </w:tc>
        <w:tc>
          <w:tcPr>
            <w:tcW w:w="0" w:type="dxa"/>
            <w:vAlign w:val="bottom"/>
          </w:tcPr>
          <w:p>
            <w:pPr>
              <w:spacing w:after="0"/>
              <w:rPr>
                <w:sz w:val="1"/>
                <w:szCs w:val="1"/>
                <w:color w:val="auto"/>
              </w:rPr>
            </w:pPr>
          </w:p>
        </w:tc>
      </w:tr>
      <w:tr>
        <w:trPr>
          <w:trHeight w:val="216"/>
        </w:trPr>
        <w:tc>
          <w:tcPr>
            <w:tcW w:w="4520" w:type="dxa"/>
            <w:vAlign w:val="bottom"/>
          </w:tcPr>
          <w:p>
            <w:pPr>
              <w:ind w:left="360"/>
              <w:spacing w:after="0"/>
              <w:rPr>
                <w:sz w:val="20"/>
                <w:szCs w:val="20"/>
                <w:color w:val="auto"/>
              </w:rPr>
            </w:pPr>
            <w:r>
              <w:rPr>
                <w:rFonts w:ascii="Arial" w:cs="Arial" w:eastAsia="Arial" w:hAnsi="Arial"/>
                <w:sz w:val="18"/>
                <w:szCs w:val="18"/>
                <w:color w:val="auto"/>
              </w:rPr>
              <w:t>40’ folding flat</w:t>
            </w:r>
          </w:p>
        </w:tc>
        <w:tc>
          <w:tcPr>
            <w:tcW w:w="960" w:type="dxa"/>
            <w:vAlign w:val="bottom"/>
            <w:gridSpan w:val="4"/>
          </w:tcPr>
          <w:p>
            <w:pPr>
              <w:jc w:val="right"/>
              <w:ind w:right="140"/>
              <w:spacing w:after="0"/>
              <w:rPr>
                <w:sz w:val="20"/>
                <w:szCs w:val="20"/>
                <w:color w:val="auto"/>
              </w:rPr>
            </w:pPr>
            <w:r>
              <w:rPr>
                <w:rFonts w:ascii="Arial" w:cs="Arial" w:eastAsia="Arial" w:hAnsi="Arial"/>
                <w:sz w:val="18"/>
                <w:szCs w:val="18"/>
                <w:color w:val="auto"/>
              </w:rPr>
              <w:t>49,167</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60" w:type="dxa"/>
            <w:vAlign w:val="bottom"/>
            <w:gridSpan w:val="2"/>
          </w:tcPr>
          <w:p>
            <w:pPr>
              <w:jc w:val="right"/>
              <w:ind w:right="41"/>
              <w:spacing w:after="0"/>
              <w:rPr>
                <w:sz w:val="20"/>
                <w:szCs w:val="20"/>
                <w:color w:val="auto"/>
              </w:rPr>
            </w:pPr>
            <w:r>
              <w:rPr>
                <w:rFonts w:ascii="Arial" w:cs="Arial" w:eastAsia="Arial" w:hAnsi="Arial"/>
                <w:sz w:val="18"/>
                <w:szCs w:val="18"/>
                <w:color w:val="auto"/>
              </w:rPr>
              <w:t>(18,275)</w:t>
            </w:r>
          </w:p>
        </w:tc>
        <w:tc>
          <w:tcPr>
            <w:tcW w:w="1080" w:type="dxa"/>
            <w:vAlign w:val="bottom"/>
            <w:gridSpan w:val="3"/>
          </w:tcPr>
          <w:p>
            <w:pPr>
              <w:jc w:val="right"/>
              <w:ind w:right="120"/>
              <w:spacing w:after="0"/>
              <w:rPr>
                <w:sz w:val="20"/>
                <w:szCs w:val="20"/>
                <w:color w:val="auto"/>
              </w:rPr>
            </w:pPr>
            <w:r>
              <w:rPr>
                <w:rFonts w:ascii="Arial" w:cs="Arial" w:eastAsia="Arial" w:hAnsi="Arial"/>
                <w:sz w:val="18"/>
                <w:szCs w:val="18"/>
                <w:color w:val="auto"/>
              </w:rPr>
              <w:t>30,892</w:t>
            </w:r>
          </w:p>
        </w:tc>
        <w:tc>
          <w:tcPr>
            <w:tcW w:w="1080" w:type="dxa"/>
            <w:vAlign w:val="bottom"/>
            <w:gridSpan w:val="3"/>
          </w:tcPr>
          <w:p>
            <w:pPr>
              <w:jc w:val="right"/>
              <w:ind w:right="120"/>
              <w:spacing w:after="0"/>
              <w:rPr>
                <w:sz w:val="20"/>
                <w:szCs w:val="20"/>
                <w:color w:val="auto"/>
              </w:rPr>
            </w:pPr>
            <w:r>
              <w:rPr>
                <w:rFonts w:ascii="Arial" w:cs="Arial" w:eastAsia="Arial" w:hAnsi="Arial"/>
                <w:sz w:val="18"/>
                <w:szCs w:val="18"/>
                <w:color w:val="auto"/>
              </w:rPr>
              <w:t>51,152</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60" w:type="dxa"/>
            <w:vAlign w:val="bottom"/>
            <w:gridSpan w:val="2"/>
          </w:tcPr>
          <w:p>
            <w:pPr>
              <w:jc w:val="right"/>
              <w:ind w:right="41"/>
              <w:spacing w:after="0"/>
              <w:rPr>
                <w:sz w:val="20"/>
                <w:szCs w:val="20"/>
                <w:color w:val="auto"/>
              </w:rPr>
            </w:pPr>
            <w:r>
              <w:rPr>
                <w:rFonts w:ascii="Arial" w:cs="Arial" w:eastAsia="Arial" w:hAnsi="Arial"/>
                <w:sz w:val="18"/>
                <w:szCs w:val="18"/>
                <w:color w:val="auto"/>
              </w:rPr>
              <w:t>(17,278)</w:t>
            </w:r>
          </w:p>
        </w:tc>
        <w:tc>
          <w:tcPr>
            <w:tcW w:w="1020" w:type="dxa"/>
            <w:vAlign w:val="bottom"/>
            <w:gridSpan w:val="3"/>
          </w:tcPr>
          <w:p>
            <w:pPr>
              <w:jc w:val="right"/>
              <w:ind w:right="60"/>
              <w:spacing w:after="0"/>
              <w:rPr>
                <w:sz w:val="20"/>
                <w:szCs w:val="20"/>
                <w:color w:val="auto"/>
              </w:rPr>
            </w:pPr>
            <w:r>
              <w:rPr>
                <w:rFonts w:ascii="Arial" w:cs="Arial" w:eastAsia="Arial" w:hAnsi="Arial"/>
                <w:sz w:val="18"/>
                <w:szCs w:val="18"/>
                <w:color w:val="auto"/>
              </w:rPr>
              <w:t>33,874</w:t>
            </w:r>
          </w:p>
        </w:tc>
        <w:tc>
          <w:tcPr>
            <w:tcW w:w="0" w:type="dxa"/>
            <w:vAlign w:val="bottom"/>
          </w:tcPr>
          <w:p>
            <w:pPr>
              <w:spacing w:after="0"/>
              <w:rPr>
                <w:sz w:val="1"/>
                <w:szCs w:val="1"/>
                <w:color w:val="auto"/>
              </w:rPr>
            </w:pPr>
          </w:p>
        </w:tc>
      </w:tr>
      <w:tr>
        <w:trPr>
          <w:trHeight w:val="216"/>
        </w:trPr>
        <w:tc>
          <w:tcPr>
            <w:tcW w:w="45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 open top</w:t>
            </w:r>
          </w:p>
        </w:tc>
        <w:tc>
          <w:tcPr>
            <w:tcW w:w="96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13,253</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(1,790)</w:t>
            </w:r>
          </w:p>
        </w:tc>
        <w:tc>
          <w:tcPr>
            <w:tcW w:w="10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11,463</w:t>
            </w:r>
          </w:p>
        </w:tc>
        <w:tc>
          <w:tcPr>
            <w:tcW w:w="10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13,259</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(1,625)</w:t>
            </w:r>
          </w:p>
        </w:tc>
        <w:tc>
          <w:tcPr>
            <w:tcW w:w="10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11,634</w:t>
            </w:r>
          </w:p>
        </w:tc>
        <w:tc>
          <w:tcPr>
            <w:tcW w:w="0" w:type="dxa"/>
            <w:vAlign w:val="bottom"/>
          </w:tcPr>
          <w:p>
            <w:pPr>
              <w:spacing w:after="0"/>
              <w:rPr>
                <w:sz w:val="1"/>
                <w:szCs w:val="1"/>
                <w:color w:val="auto"/>
              </w:rPr>
            </w:pPr>
          </w:p>
        </w:tc>
      </w:tr>
      <w:tr>
        <w:trPr>
          <w:trHeight w:val="216"/>
        </w:trPr>
        <w:tc>
          <w:tcPr>
            <w:tcW w:w="4520" w:type="dxa"/>
            <w:vAlign w:val="bottom"/>
          </w:tcPr>
          <w:p>
            <w:pPr>
              <w:ind w:left="360"/>
              <w:spacing w:after="0"/>
              <w:rPr>
                <w:sz w:val="20"/>
                <w:szCs w:val="20"/>
                <w:color w:val="auto"/>
              </w:rPr>
            </w:pPr>
            <w:r>
              <w:rPr>
                <w:rFonts w:ascii="Arial" w:cs="Arial" w:eastAsia="Arial" w:hAnsi="Arial"/>
                <w:sz w:val="18"/>
                <w:szCs w:val="18"/>
                <w:color w:val="auto"/>
              </w:rPr>
              <w:t>40’ open top</w:t>
            </w:r>
          </w:p>
        </w:tc>
        <w:tc>
          <w:tcPr>
            <w:tcW w:w="960" w:type="dxa"/>
            <w:vAlign w:val="bottom"/>
            <w:gridSpan w:val="4"/>
          </w:tcPr>
          <w:p>
            <w:pPr>
              <w:jc w:val="right"/>
              <w:ind w:right="140"/>
              <w:spacing w:after="0"/>
              <w:rPr>
                <w:sz w:val="20"/>
                <w:szCs w:val="20"/>
                <w:color w:val="auto"/>
              </w:rPr>
            </w:pPr>
            <w:r>
              <w:rPr>
                <w:rFonts w:ascii="Arial" w:cs="Arial" w:eastAsia="Arial" w:hAnsi="Arial"/>
                <w:sz w:val="18"/>
                <w:szCs w:val="18"/>
                <w:color w:val="auto"/>
              </w:rPr>
              <w:t>22,271</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60" w:type="dxa"/>
            <w:vAlign w:val="bottom"/>
            <w:gridSpan w:val="2"/>
          </w:tcPr>
          <w:p>
            <w:pPr>
              <w:jc w:val="right"/>
              <w:ind w:right="41"/>
              <w:spacing w:after="0"/>
              <w:rPr>
                <w:sz w:val="20"/>
                <w:szCs w:val="20"/>
                <w:color w:val="auto"/>
              </w:rPr>
            </w:pPr>
            <w:r>
              <w:rPr>
                <w:rFonts w:ascii="Arial" w:cs="Arial" w:eastAsia="Arial" w:hAnsi="Arial"/>
                <w:sz w:val="18"/>
                <w:szCs w:val="18"/>
                <w:color w:val="auto"/>
              </w:rPr>
              <w:t>(4,738)</w:t>
            </w:r>
          </w:p>
        </w:tc>
        <w:tc>
          <w:tcPr>
            <w:tcW w:w="1080" w:type="dxa"/>
            <w:vAlign w:val="bottom"/>
            <w:gridSpan w:val="3"/>
          </w:tcPr>
          <w:p>
            <w:pPr>
              <w:jc w:val="right"/>
              <w:ind w:right="120"/>
              <w:spacing w:after="0"/>
              <w:rPr>
                <w:sz w:val="20"/>
                <w:szCs w:val="20"/>
                <w:color w:val="auto"/>
              </w:rPr>
            </w:pPr>
            <w:r>
              <w:rPr>
                <w:rFonts w:ascii="Arial" w:cs="Arial" w:eastAsia="Arial" w:hAnsi="Arial"/>
                <w:sz w:val="18"/>
                <w:szCs w:val="18"/>
                <w:color w:val="auto"/>
              </w:rPr>
              <w:t>17,533</w:t>
            </w:r>
          </w:p>
        </w:tc>
        <w:tc>
          <w:tcPr>
            <w:tcW w:w="1080" w:type="dxa"/>
            <w:vAlign w:val="bottom"/>
            <w:gridSpan w:val="3"/>
          </w:tcPr>
          <w:p>
            <w:pPr>
              <w:jc w:val="right"/>
              <w:ind w:right="120"/>
              <w:spacing w:after="0"/>
              <w:rPr>
                <w:sz w:val="20"/>
                <w:szCs w:val="20"/>
                <w:color w:val="auto"/>
              </w:rPr>
            </w:pPr>
            <w:r>
              <w:rPr>
                <w:rFonts w:ascii="Arial" w:cs="Arial" w:eastAsia="Arial" w:hAnsi="Arial"/>
                <w:sz w:val="18"/>
                <w:szCs w:val="18"/>
                <w:color w:val="auto"/>
              </w:rPr>
              <w:t>23,313</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60" w:type="dxa"/>
            <w:vAlign w:val="bottom"/>
            <w:gridSpan w:val="2"/>
          </w:tcPr>
          <w:p>
            <w:pPr>
              <w:jc w:val="right"/>
              <w:ind w:right="41"/>
              <w:spacing w:after="0"/>
              <w:rPr>
                <w:sz w:val="20"/>
                <w:szCs w:val="20"/>
                <w:color w:val="auto"/>
              </w:rPr>
            </w:pPr>
            <w:r>
              <w:rPr>
                <w:rFonts w:ascii="Arial" w:cs="Arial" w:eastAsia="Arial" w:hAnsi="Arial"/>
                <w:sz w:val="18"/>
                <w:szCs w:val="18"/>
                <w:color w:val="auto"/>
              </w:rPr>
              <w:t>(4,351)</w:t>
            </w:r>
          </w:p>
        </w:tc>
        <w:tc>
          <w:tcPr>
            <w:tcW w:w="1020" w:type="dxa"/>
            <w:vAlign w:val="bottom"/>
            <w:gridSpan w:val="3"/>
          </w:tcPr>
          <w:p>
            <w:pPr>
              <w:jc w:val="right"/>
              <w:ind w:right="60"/>
              <w:spacing w:after="0"/>
              <w:rPr>
                <w:sz w:val="20"/>
                <w:szCs w:val="20"/>
                <w:color w:val="auto"/>
              </w:rPr>
            </w:pPr>
            <w:r>
              <w:rPr>
                <w:rFonts w:ascii="Arial" w:cs="Arial" w:eastAsia="Arial" w:hAnsi="Arial"/>
                <w:sz w:val="18"/>
                <w:szCs w:val="18"/>
                <w:color w:val="auto"/>
              </w:rPr>
              <w:t>18,962</w:t>
            </w:r>
          </w:p>
        </w:tc>
        <w:tc>
          <w:tcPr>
            <w:tcW w:w="0" w:type="dxa"/>
            <w:vAlign w:val="bottom"/>
          </w:tcPr>
          <w:p>
            <w:pPr>
              <w:spacing w:after="0"/>
              <w:rPr>
                <w:sz w:val="1"/>
                <w:szCs w:val="1"/>
                <w:color w:val="auto"/>
              </w:rPr>
            </w:pPr>
          </w:p>
        </w:tc>
      </w:tr>
      <w:tr>
        <w:trPr>
          <w:trHeight w:val="216"/>
        </w:trPr>
        <w:tc>
          <w:tcPr>
            <w:tcW w:w="4520" w:type="dxa"/>
            <w:vAlign w:val="bottom"/>
            <w:shd w:val="clear" w:color="auto" w:fill="CCEEFF"/>
          </w:tcPr>
          <w:p>
            <w:pPr>
              <w:spacing w:after="0"/>
              <w:rPr>
                <w:sz w:val="20"/>
                <w:szCs w:val="20"/>
                <w:color w:val="auto"/>
              </w:rPr>
            </w:pPr>
            <w:r>
              <w:rPr>
                <w:rFonts w:ascii="Arial" w:cs="Arial" w:eastAsia="Arial" w:hAnsi="Arial"/>
                <w:sz w:val="18"/>
                <w:szCs w:val="18"/>
                <w:color w:val="auto"/>
              </w:rPr>
              <w:t>Tank containers</w:t>
            </w:r>
          </w:p>
        </w:tc>
        <w:tc>
          <w:tcPr>
            <w:tcW w:w="96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93,240</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(11,470)</w:t>
            </w:r>
          </w:p>
        </w:tc>
        <w:tc>
          <w:tcPr>
            <w:tcW w:w="10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81,770</w:t>
            </w:r>
          </w:p>
        </w:tc>
        <w:tc>
          <w:tcPr>
            <w:tcW w:w="10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81,151</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(7,998)</w:t>
            </w:r>
          </w:p>
        </w:tc>
        <w:tc>
          <w:tcPr>
            <w:tcW w:w="10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73,153</w:t>
            </w:r>
          </w:p>
        </w:tc>
        <w:tc>
          <w:tcPr>
            <w:tcW w:w="0" w:type="dxa"/>
            <w:vAlign w:val="bottom"/>
          </w:tcPr>
          <w:p>
            <w:pPr>
              <w:spacing w:after="0"/>
              <w:rPr>
                <w:sz w:val="1"/>
                <w:szCs w:val="1"/>
                <w:color w:val="auto"/>
              </w:rPr>
            </w:pPr>
          </w:p>
        </w:tc>
      </w:tr>
      <w:tr>
        <w:trPr>
          <w:trHeight w:val="223"/>
        </w:trPr>
        <w:tc>
          <w:tcPr>
            <w:tcW w:w="4520" w:type="dxa"/>
            <w:vAlign w:val="bottom"/>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6"/>
              </w:rPr>
              <w:t>$</w:t>
            </w:r>
            <w:r>
              <w:rPr>
                <w:rFonts w:ascii="Arial" w:cs="Arial" w:eastAsia="Arial" w:hAnsi="Arial"/>
                <w:sz w:val="18"/>
                <w:szCs w:val="18"/>
                <w:color w:val="auto"/>
                <w:w w:val="86"/>
              </w:rPr>
              <w:t>5,744,643</w:t>
            </w:r>
          </w:p>
        </w:tc>
        <w:tc>
          <w:tcPr>
            <w:tcW w:w="20" w:type="dxa"/>
            <w:vAlign w:val="bottom"/>
            <w:tcBorders>
              <w:bottom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8"/>
              </w:rPr>
              <w:t>(1,619,591</w:t>
            </w:r>
          </w:p>
        </w:tc>
        <w:tc>
          <w:tcPr>
            <w:tcW w:w="180" w:type="dxa"/>
            <w:vAlign w:val="bottom"/>
          </w:tcPr>
          <w:p>
            <w:pPr>
              <w:jc w:val="right"/>
              <w:ind w:right="41"/>
              <w:spacing w:after="0"/>
              <w:rPr>
                <w:sz w:val="20"/>
                <w:szCs w:val="20"/>
                <w:color w:val="auto"/>
              </w:rPr>
            </w:pPr>
            <w:r>
              <w:rPr>
                <w:rFonts w:ascii="Arial" w:cs="Arial" w:eastAsia="Arial" w:hAnsi="Arial"/>
                <w:sz w:val="16"/>
                <w:szCs w:val="16"/>
                <w:color w:val="auto"/>
                <w:w w:val="74"/>
              </w:rPr>
              <w:t>)</w:t>
            </w:r>
          </w:p>
        </w:tc>
        <w:tc>
          <w:tcPr>
            <w:tcW w:w="120" w:type="dxa"/>
            <w:vAlign w:val="bottom"/>
          </w:tcPr>
          <w:p>
            <w:pPr>
              <w:spacing w:after="0"/>
              <w:rPr>
                <w:sz w:val="19"/>
                <w:szCs w:val="19"/>
                <w:color w:val="auto"/>
              </w:rPr>
            </w:pPr>
          </w:p>
        </w:tc>
        <w:tc>
          <w:tcPr>
            <w:tcW w:w="82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8"/>
                <w:szCs w:val="18"/>
                <w:u w:val="single" w:color="auto"/>
                <w:color w:val="auto"/>
                <w:w w:val="90"/>
              </w:rPr>
              <w:t>$</w:t>
            </w:r>
            <w:r>
              <w:rPr>
                <w:rFonts w:ascii="Arial" w:cs="Arial" w:eastAsia="Arial" w:hAnsi="Arial"/>
                <w:sz w:val="18"/>
                <w:szCs w:val="18"/>
                <w:color w:val="auto"/>
                <w:w w:val="90"/>
              </w:rPr>
              <w:t>4,125,052</w:t>
            </w:r>
          </w:p>
        </w:tc>
        <w:tc>
          <w:tcPr>
            <w:tcW w:w="1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2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8"/>
                <w:szCs w:val="18"/>
                <w:u w:val="single" w:color="auto"/>
                <w:color w:val="auto"/>
                <w:w w:val="88"/>
              </w:rPr>
              <w:t>$</w:t>
            </w:r>
            <w:r>
              <w:rPr>
                <w:rFonts w:ascii="Arial" w:cs="Arial" w:eastAsia="Arial" w:hAnsi="Arial"/>
                <w:sz w:val="18"/>
                <w:szCs w:val="18"/>
                <w:color w:val="auto"/>
                <w:w w:val="88"/>
              </w:rPr>
              <w:t>5,599,318</w:t>
            </w:r>
          </w:p>
        </w:tc>
        <w:tc>
          <w:tcPr>
            <w:tcW w:w="1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8"/>
              </w:rPr>
              <w:t>(1,443,167</w:t>
            </w:r>
          </w:p>
        </w:tc>
        <w:tc>
          <w:tcPr>
            <w:tcW w:w="180" w:type="dxa"/>
            <w:vAlign w:val="bottom"/>
          </w:tcPr>
          <w:p>
            <w:pPr>
              <w:jc w:val="right"/>
              <w:ind w:right="41"/>
              <w:spacing w:after="0"/>
              <w:rPr>
                <w:sz w:val="20"/>
                <w:szCs w:val="20"/>
                <w:color w:val="auto"/>
              </w:rPr>
            </w:pPr>
            <w:r>
              <w:rPr>
                <w:rFonts w:ascii="Arial" w:cs="Arial" w:eastAsia="Arial" w:hAnsi="Arial"/>
                <w:sz w:val="16"/>
                <w:szCs w:val="16"/>
                <w:color w:val="auto"/>
                <w:w w:val="74"/>
              </w:rPr>
              <w:t>)</w:t>
            </w:r>
          </w:p>
        </w:tc>
        <w:tc>
          <w:tcPr>
            <w:tcW w:w="140" w:type="dxa"/>
            <w:vAlign w:val="bottom"/>
          </w:tcPr>
          <w:p>
            <w:pPr>
              <w:spacing w:after="0"/>
              <w:rPr>
                <w:sz w:val="19"/>
                <w:szCs w:val="19"/>
                <w:color w:val="auto"/>
              </w:rPr>
            </w:pP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8"/>
              </w:rPr>
              <w:t>$</w:t>
            </w:r>
            <w:r>
              <w:rPr>
                <w:rFonts w:ascii="Arial" w:cs="Arial" w:eastAsia="Arial" w:hAnsi="Arial"/>
                <w:sz w:val="18"/>
                <w:szCs w:val="18"/>
                <w:color w:val="auto"/>
                <w:w w:val="88"/>
              </w:rPr>
              <w:t>4,156,151</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4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See Note 3 “Managed Container Fleet” for information on the managed fleet containers included above.</w:t>
      </w:r>
    </w:p>
    <w:p>
      <w:pPr>
        <w:spacing w:after="0" w:line="33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Impairment of Container Rental Equipment</w:t>
      </w:r>
    </w:p>
    <w:p>
      <w:pPr>
        <w:spacing w:after="0" w:line="117" w:lineRule="exact"/>
        <w:rPr>
          <w:sz w:val="20"/>
          <w:szCs w:val="20"/>
          <w:color w:val="auto"/>
        </w:rPr>
      </w:pPr>
    </w:p>
    <w:p>
      <w:pPr>
        <w:jc w:val="both"/>
        <w:ind w:right="20" w:firstLine="440"/>
        <w:spacing w:after="0" w:line="301" w:lineRule="auto"/>
        <w:rPr>
          <w:sz w:val="20"/>
          <w:szCs w:val="20"/>
          <w:color w:val="auto"/>
        </w:rPr>
      </w:pPr>
      <w:r>
        <w:rPr>
          <w:rFonts w:ascii="Arial" w:cs="Arial" w:eastAsia="Arial" w:hAnsi="Arial"/>
          <w:sz w:val="16"/>
          <w:szCs w:val="16"/>
          <w:color w:val="auto"/>
        </w:rPr>
        <w:t>The Company reviews its containers for impairment whenever events or circumstances indicate that the carrying amount of such assets may not be recoverable. The Company compares the carrying value of the containers to the expected future undiscounted cash flows for the purpose of assessing the recoverability of the recorded amounts. If the carrying value exceeds expected future undiscounted cash flows, the assets are reduced to fair value. There was no such impairment on the Company’s leasing equipment for the years ended December 31, 2020, 2019 and 2018.</w:t>
      </w:r>
    </w:p>
    <w:p>
      <w:pPr>
        <w:spacing w:after="0" w:line="26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Write-Off of Container Rental Equipment due to Lessees in Default</w:t>
      </w:r>
    </w:p>
    <w:p>
      <w:pPr>
        <w:spacing w:after="0" w:line="117" w:lineRule="exact"/>
        <w:rPr>
          <w:sz w:val="20"/>
          <w:szCs w:val="20"/>
          <w:color w:val="auto"/>
        </w:rPr>
      </w:pPr>
    </w:p>
    <w:p>
      <w:pPr>
        <w:ind w:right="40" w:firstLine="440"/>
        <w:spacing w:after="0" w:line="254" w:lineRule="auto"/>
        <w:rPr>
          <w:sz w:val="20"/>
          <w:szCs w:val="20"/>
          <w:color w:val="auto"/>
        </w:rPr>
      </w:pPr>
      <w:r>
        <w:rPr>
          <w:rFonts w:ascii="Arial" w:cs="Arial" w:eastAsia="Arial" w:hAnsi="Arial"/>
          <w:sz w:val="18"/>
          <w:szCs w:val="18"/>
          <w:color w:val="auto"/>
        </w:rPr>
        <w:t>The Company evaluates the recoverability of the recorded amounts of containers that are unlikely to be recovered from lessees in default. The Company recorded a gain on container recovery of $1,644 during the year ended December 31, 2020 due to a settlement agreement with an insolvent lessee on containers which were previously written off in 2018. The Company recorded impairment (recoveries) charges during the years ended December 31, 2020, 2019 and 2018 of $(1,647), $7,179 and $12,980, respectively, to write-off containers that were unlikely to be recovered from lessees in default, net of gains of $1,647, $1,988 and $0 associated with recoveries on containers previously estimated as lost with lessees in default for the years ended December 31, 2020, 2019 and 2018, respectively. These amounts are recorded in the consolidated statements of operations as “container lessee default (recovery) expense, net”.</w:t>
      </w:r>
    </w:p>
    <w:p>
      <w:pPr>
        <w:spacing w:after="0" w:line="30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Impairment of Containers Held for Sale</w:t>
      </w:r>
    </w:p>
    <w:p>
      <w:pPr>
        <w:spacing w:after="0" w:line="117" w:lineRule="exact"/>
        <w:rPr>
          <w:sz w:val="20"/>
          <w:szCs w:val="20"/>
          <w:color w:val="auto"/>
        </w:rPr>
      </w:pPr>
    </w:p>
    <w:p>
      <w:pPr>
        <w:ind w:right="40" w:firstLine="440"/>
        <w:spacing w:after="0" w:line="279" w:lineRule="auto"/>
        <w:rPr>
          <w:sz w:val="20"/>
          <w:szCs w:val="20"/>
          <w:color w:val="auto"/>
        </w:rPr>
      </w:pPr>
      <w:r>
        <w:rPr>
          <w:rFonts w:ascii="Arial" w:cs="Arial" w:eastAsia="Arial" w:hAnsi="Arial"/>
          <w:sz w:val="17"/>
          <w:szCs w:val="17"/>
          <w:color w:val="auto"/>
        </w:rPr>
        <w:t>Containers identified as being available for sale are valued at the lower of carrying value or fair value, less costs to sell. The Company records impairment to write-down the value of containers held for sale to their estimated fair value less cost to sell. The fair value was estimated based on recent gross sales proceeds for sales of similar types of containers in the locations in which the containers are stored. When containers are retired or otherwise sold, the cost and related accumulated depreciation are removed, and any resulting gain or loss is</w:t>
      </w:r>
    </w:p>
    <w:p>
      <w:pPr>
        <w:spacing w:after="0" w:line="10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F-17</w:t>
      </w:r>
    </w:p>
    <w:p>
      <w:pPr>
        <w:sectPr>
          <w:pgSz w:w="11900" w:h="16838" w:orient="portrait"/>
          <w:cols w:equalWidth="0" w:num="1">
            <w:col w:w="11020"/>
          </w:cols>
          <w:pgMar w:left="440" w:top="274" w:right="439" w:bottom="1440" w:gutter="0" w:footer="0" w:header="0"/>
        </w:sectPr>
      </w:pPr>
    </w:p>
    <w:bookmarkStart w:id="131" w:name="page132"/>
    <w:bookmarkEnd w:id="131"/>
    <w:p>
      <w:pPr>
        <w:ind w:left="4" w:right="4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recognized. Any subsequent increase in fair value less cost to sell is recognized as a reversal of container impairment but not in excess of the cumulative loss previously recognized. During the years ended December 31, 2020, 2019 and 2018, the Company recorded container impairments of $11,094, $14,238 and $13,795, respectively, to write down the value of containers held for sale to their estimated fair value less cost to sell, net of reversals of previously recorded impairments on containers held for sale due to rising used container prices. The impairment charges are included in “depreciation expense” in the consolidated statements of operations.</w:t>
      </w:r>
    </w:p>
    <w:p>
      <w:pPr>
        <w:spacing w:after="0" w:line="188" w:lineRule="exact"/>
        <w:rPr>
          <w:sz w:val="20"/>
          <w:szCs w:val="20"/>
          <w:color w:val="auto"/>
        </w:rPr>
      </w:pPr>
    </w:p>
    <w:p>
      <w:pPr>
        <w:ind w:left="4" w:right="80" w:firstLine="440"/>
        <w:spacing w:after="0" w:line="277" w:lineRule="auto"/>
        <w:rPr>
          <w:sz w:val="20"/>
          <w:szCs w:val="20"/>
          <w:color w:val="auto"/>
        </w:rPr>
      </w:pPr>
      <w:r>
        <w:rPr>
          <w:rFonts w:ascii="Arial" w:cs="Arial" w:eastAsia="Arial" w:hAnsi="Arial"/>
          <w:sz w:val="18"/>
          <w:szCs w:val="18"/>
          <w:color w:val="auto"/>
        </w:rPr>
        <w:t>During the years ended December 31, 2020, 2019 and 2018, the Company recorded the following net gain on sale of containers, included in “gain on sale of owned fleet containers, net” in the consolidated statements of operations:</w:t>
      </w:r>
    </w:p>
    <w:p>
      <w:pPr>
        <w:spacing w:after="0" w:line="189" w:lineRule="exact"/>
        <w:rPr>
          <w:sz w:val="20"/>
          <w:szCs w:val="20"/>
          <w:color w:val="auto"/>
        </w:rPr>
      </w:pPr>
    </w:p>
    <w:tbl>
      <w:tblPr>
        <w:tblLayout w:type="fixed"/>
        <w:tblInd w:w="4" w:type="dxa"/>
        <w:tblCellMar>
          <w:top w:w="0" w:type="dxa"/>
          <w:left w:w="0" w:type="dxa"/>
          <w:bottom w:w="0" w:type="dxa"/>
          <w:right w:w="0" w:type="dxa"/>
        </w:tblCellMar>
      </w:tblPr>
      <w:tr>
        <w:trPr>
          <w:trHeight w:val="171"/>
        </w:trPr>
        <w:tc>
          <w:tcPr>
            <w:tcW w:w="6420" w:type="dxa"/>
            <w:vAlign w:val="bottom"/>
          </w:tcPr>
          <w:p>
            <w:pPr>
              <w:spacing w:after="0"/>
              <w:rPr>
                <w:sz w:val="14"/>
                <w:szCs w:val="14"/>
                <w:color w:val="auto"/>
              </w:rPr>
            </w:pPr>
          </w:p>
        </w:tc>
        <w:tc>
          <w:tcPr>
            <w:tcW w:w="1400" w:type="dxa"/>
            <w:vAlign w:val="bottom"/>
            <w:tcBorders>
              <w:bottom w:val="single" w:sz="8" w:color="auto"/>
            </w:tcBorders>
            <w:gridSpan w:val="3"/>
          </w:tcPr>
          <w:p>
            <w:pPr>
              <w:jc w:val="right"/>
              <w:ind w:right="475"/>
              <w:spacing w:after="0"/>
              <w:rPr>
                <w:sz w:val="20"/>
                <w:szCs w:val="20"/>
                <w:color w:val="auto"/>
              </w:rPr>
            </w:pPr>
            <w:r>
              <w:rPr>
                <w:rFonts w:ascii="Arial" w:cs="Arial" w:eastAsia="Arial" w:hAnsi="Arial"/>
                <w:sz w:val="14"/>
                <w:szCs w:val="14"/>
                <w:b w:val="1"/>
                <w:bCs w:val="1"/>
                <w:color w:val="auto"/>
              </w:rPr>
              <w:t>2020</w:t>
            </w:r>
          </w:p>
        </w:tc>
        <w:tc>
          <w:tcPr>
            <w:tcW w:w="160" w:type="dxa"/>
            <w:vAlign w:val="bottom"/>
          </w:tcPr>
          <w:p>
            <w:pPr>
              <w:spacing w:after="0"/>
              <w:rPr>
                <w:sz w:val="14"/>
                <w:szCs w:val="14"/>
                <w:color w:val="auto"/>
              </w:rPr>
            </w:pPr>
          </w:p>
        </w:tc>
        <w:tc>
          <w:tcPr>
            <w:tcW w:w="920" w:type="dxa"/>
            <w:vAlign w:val="bottom"/>
            <w:tcBorders>
              <w:bottom w:val="single" w:sz="8" w:color="auto"/>
            </w:tcBorders>
            <w:gridSpan w:val="3"/>
          </w:tcPr>
          <w:p>
            <w:pPr>
              <w:jc w:val="right"/>
              <w:spacing w:after="0"/>
              <w:rPr>
                <w:sz w:val="20"/>
                <w:szCs w:val="20"/>
                <w:color w:val="auto"/>
              </w:rPr>
            </w:pPr>
            <w:r>
              <w:rPr>
                <w:rFonts w:ascii="Arial" w:cs="Arial" w:eastAsia="Arial" w:hAnsi="Arial"/>
                <w:sz w:val="14"/>
                <w:szCs w:val="14"/>
                <w:b w:val="1"/>
                <w:bCs w:val="1"/>
                <w:color w:val="auto"/>
              </w:rPr>
              <w:t>2019</w:t>
            </w:r>
          </w:p>
        </w:tc>
        <w:tc>
          <w:tcPr>
            <w:tcW w:w="50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1400" w:type="dxa"/>
            <w:vAlign w:val="bottom"/>
            <w:tcBorders>
              <w:bottom w:val="single" w:sz="8" w:color="auto"/>
            </w:tcBorders>
            <w:gridSpan w:val="3"/>
          </w:tcPr>
          <w:p>
            <w:pPr>
              <w:jc w:val="right"/>
              <w:ind w:right="475"/>
              <w:spacing w:after="0"/>
              <w:rPr>
                <w:sz w:val="20"/>
                <w:szCs w:val="20"/>
                <w:color w:val="auto"/>
              </w:rPr>
            </w:pPr>
            <w:r>
              <w:rPr>
                <w:rFonts w:ascii="Arial" w:cs="Arial" w:eastAsia="Arial" w:hAnsi="Arial"/>
                <w:sz w:val="14"/>
                <w:szCs w:val="14"/>
                <w:b w:val="1"/>
                <w:bCs w:val="1"/>
                <w:color w:val="auto"/>
              </w:rPr>
              <w:t>2018</w:t>
            </w:r>
          </w:p>
        </w:tc>
        <w:tc>
          <w:tcPr>
            <w:tcW w:w="60" w:type="dxa"/>
            <w:vAlign w:val="bottom"/>
          </w:tcPr>
          <w:p>
            <w:pPr>
              <w:spacing w:after="0"/>
              <w:rPr>
                <w:sz w:val="14"/>
                <w:szCs w:val="14"/>
                <w:color w:val="auto"/>
              </w:rPr>
            </w:pPr>
          </w:p>
        </w:tc>
      </w:tr>
      <w:tr>
        <w:trPr>
          <w:trHeight w:val="142"/>
        </w:trPr>
        <w:tc>
          <w:tcPr>
            <w:tcW w:w="6420" w:type="dxa"/>
            <w:vAlign w:val="bottom"/>
          </w:tcPr>
          <w:p>
            <w:pPr>
              <w:spacing w:after="0"/>
              <w:rPr>
                <w:sz w:val="12"/>
                <w:szCs w:val="12"/>
                <w:color w:val="auto"/>
              </w:rPr>
            </w:pPr>
          </w:p>
        </w:tc>
        <w:tc>
          <w:tcPr>
            <w:tcW w:w="820" w:type="dxa"/>
            <w:vAlign w:val="bottom"/>
            <w:gridSpan w:val="2"/>
          </w:tcPr>
          <w:p>
            <w:pPr>
              <w:jc w:val="right"/>
              <w:ind w:right="340"/>
              <w:spacing w:after="0" w:line="142" w:lineRule="exact"/>
              <w:rPr>
                <w:sz w:val="20"/>
                <w:szCs w:val="20"/>
                <w:color w:val="auto"/>
              </w:rPr>
            </w:pPr>
            <w:r>
              <w:rPr>
                <w:rFonts w:ascii="Arial" w:cs="Arial" w:eastAsia="Arial" w:hAnsi="Arial"/>
                <w:sz w:val="14"/>
                <w:szCs w:val="14"/>
                <w:b w:val="1"/>
                <w:bCs w:val="1"/>
                <w:color w:val="auto"/>
              </w:rPr>
              <w:t>Units</w:t>
            </w:r>
          </w:p>
        </w:tc>
        <w:tc>
          <w:tcPr>
            <w:tcW w:w="580" w:type="dxa"/>
            <w:vAlign w:val="bottom"/>
          </w:tcPr>
          <w:p>
            <w:pPr>
              <w:jc w:val="right"/>
              <w:spacing w:after="0" w:line="142" w:lineRule="exact"/>
              <w:rPr>
                <w:sz w:val="20"/>
                <w:szCs w:val="20"/>
                <w:color w:val="auto"/>
              </w:rPr>
            </w:pPr>
            <w:r>
              <w:rPr>
                <w:rFonts w:ascii="Arial" w:cs="Arial" w:eastAsia="Arial" w:hAnsi="Arial"/>
                <w:sz w:val="14"/>
                <w:szCs w:val="14"/>
                <w:b w:val="1"/>
                <w:bCs w:val="1"/>
                <w:color w:val="auto"/>
                <w:w w:val="98"/>
              </w:rPr>
              <w:t>Amount</w:t>
            </w:r>
          </w:p>
        </w:tc>
        <w:tc>
          <w:tcPr>
            <w:tcW w:w="160" w:type="dxa"/>
            <w:vAlign w:val="bottom"/>
          </w:tcPr>
          <w:p>
            <w:pPr>
              <w:spacing w:after="0"/>
              <w:rPr>
                <w:sz w:val="12"/>
                <w:szCs w:val="12"/>
                <w:color w:val="auto"/>
              </w:rPr>
            </w:pPr>
          </w:p>
        </w:tc>
        <w:tc>
          <w:tcPr>
            <w:tcW w:w="820" w:type="dxa"/>
            <w:vAlign w:val="bottom"/>
            <w:gridSpan w:val="2"/>
          </w:tcPr>
          <w:p>
            <w:pPr>
              <w:ind w:left="160"/>
              <w:spacing w:after="0" w:line="142" w:lineRule="exact"/>
              <w:rPr>
                <w:sz w:val="20"/>
                <w:szCs w:val="20"/>
                <w:color w:val="auto"/>
              </w:rPr>
            </w:pPr>
            <w:r>
              <w:rPr>
                <w:rFonts w:ascii="Arial" w:cs="Arial" w:eastAsia="Arial" w:hAnsi="Arial"/>
                <w:sz w:val="14"/>
                <w:szCs w:val="14"/>
                <w:b w:val="1"/>
                <w:bCs w:val="1"/>
                <w:color w:val="auto"/>
              </w:rPr>
              <w:t>Units</w:t>
            </w:r>
          </w:p>
        </w:tc>
        <w:tc>
          <w:tcPr>
            <w:tcW w:w="600" w:type="dxa"/>
            <w:vAlign w:val="bottom"/>
            <w:gridSpan w:val="2"/>
          </w:tcPr>
          <w:p>
            <w:pPr>
              <w:jc w:val="right"/>
              <w:spacing w:after="0" w:line="142" w:lineRule="exact"/>
              <w:rPr>
                <w:sz w:val="20"/>
                <w:szCs w:val="20"/>
                <w:color w:val="auto"/>
              </w:rPr>
            </w:pPr>
            <w:r>
              <w:rPr>
                <w:rFonts w:ascii="Arial" w:cs="Arial" w:eastAsia="Arial" w:hAnsi="Arial"/>
                <w:sz w:val="14"/>
                <w:szCs w:val="14"/>
                <w:b w:val="1"/>
                <w:bCs w:val="1"/>
                <w:color w:val="auto"/>
                <w:w w:val="98"/>
              </w:rPr>
              <w:t>Amount</w:t>
            </w:r>
          </w:p>
        </w:tc>
        <w:tc>
          <w:tcPr>
            <w:tcW w:w="160" w:type="dxa"/>
            <w:vAlign w:val="bottom"/>
          </w:tcPr>
          <w:p>
            <w:pPr>
              <w:spacing w:after="0"/>
              <w:rPr>
                <w:sz w:val="12"/>
                <w:szCs w:val="12"/>
                <w:color w:val="auto"/>
              </w:rPr>
            </w:pPr>
          </w:p>
        </w:tc>
        <w:tc>
          <w:tcPr>
            <w:tcW w:w="800" w:type="dxa"/>
            <w:vAlign w:val="bottom"/>
            <w:gridSpan w:val="2"/>
          </w:tcPr>
          <w:p>
            <w:pPr>
              <w:jc w:val="right"/>
              <w:ind w:right="320"/>
              <w:spacing w:after="0" w:line="142" w:lineRule="exact"/>
              <w:rPr>
                <w:sz w:val="20"/>
                <w:szCs w:val="20"/>
                <w:color w:val="auto"/>
              </w:rPr>
            </w:pPr>
            <w:r>
              <w:rPr>
                <w:rFonts w:ascii="Arial" w:cs="Arial" w:eastAsia="Arial" w:hAnsi="Arial"/>
                <w:sz w:val="14"/>
                <w:szCs w:val="14"/>
                <w:b w:val="1"/>
                <w:bCs w:val="1"/>
                <w:color w:val="auto"/>
              </w:rPr>
              <w:t>Units</w:t>
            </w:r>
          </w:p>
        </w:tc>
        <w:tc>
          <w:tcPr>
            <w:tcW w:w="600" w:type="dxa"/>
            <w:vAlign w:val="bottom"/>
          </w:tcPr>
          <w:p>
            <w:pPr>
              <w:jc w:val="right"/>
              <w:spacing w:after="0" w:line="142" w:lineRule="exact"/>
              <w:rPr>
                <w:sz w:val="20"/>
                <w:szCs w:val="20"/>
                <w:color w:val="auto"/>
              </w:rPr>
            </w:pPr>
            <w:r>
              <w:rPr>
                <w:rFonts w:ascii="Arial" w:cs="Arial" w:eastAsia="Arial" w:hAnsi="Arial"/>
                <w:sz w:val="14"/>
                <w:szCs w:val="14"/>
                <w:b w:val="1"/>
                <w:bCs w:val="1"/>
                <w:color w:val="auto"/>
              </w:rPr>
              <w:t>Amount</w:t>
            </w:r>
          </w:p>
        </w:tc>
        <w:tc>
          <w:tcPr>
            <w:tcW w:w="60" w:type="dxa"/>
            <w:vAlign w:val="bottom"/>
          </w:tcPr>
          <w:p>
            <w:pPr>
              <w:spacing w:after="0"/>
              <w:rPr>
                <w:sz w:val="12"/>
                <w:szCs w:val="12"/>
                <w:color w:val="auto"/>
              </w:rPr>
            </w:pPr>
          </w:p>
        </w:tc>
      </w:tr>
      <w:tr>
        <w:trPr>
          <w:trHeight w:val="182"/>
        </w:trPr>
        <w:tc>
          <w:tcPr>
            <w:tcW w:w="6420" w:type="dxa"/>
            <w:vAlign w:val="bottom"/>
            <w:tcBorders>
              <w:top w:val="single" w:sz="8" w:color="CCEEFF"/>
            </w:tcBorders>
            <w:shd w:val="clear" w:color="auto" w:fill="CCEEFF"/>
          </w:tcPr>
          <w:p>
            <w:pPr>
              <w:spacing w:after="0" w:line="182" w:lineRule="exact"/>
              <w:rPr>
                <w:sz w:val="20"/>
                <w:szCs w:val="20"/>
                <w:color w:val="auto"/>
              </w:rPr>
            </w:pPr>
            <w:r>
              <w:rPr>
                <w:rFonts w:ascii="Arial" w:cs="Arial" w:eastAsia="Arial" w:hAnsi="Arial"/>
                <w:sz w:val="18"/>
                <w:szCs w:val="18"/>
                <w:color w:val="auto"/>
              </w:rPr>
              <w:t>Gain on sale of previously written</w:t>
            </w:r>
          </w:p>
        </w:tc>
        <w:tc>
          <w:tcPr>
            <w:tcW w:w="640" w:type="dxa"/>
            <w:vAlign w:val="bottom"/>
            <w:tcBorders>
              <w:top w:val="single" w:sz="8" w:color="auto"/>
            </w:tcBorders>
            <w:shd w:val="clear" w:color="auto" w:fill="CCEEFF"/>
          </w:tcPr>
          <w:p>
            <w:pPr>
              <w:spacing w:after="0"/>
              <w:rPr>
                <w:sz w:val="15"/>
                <w:szCs w:val="15"/>
                <w:color w:val="auto"/>
              </w:rPr>
            </w:pPr>
          </w:p>
        </w:tc>
        <w:tc>
          <w:tcPr>
            <w:tcW w:w="180" w:type="dxa"/>
            <w:vAlign w:val="bottom"/>
            <w:tcBorders>
              <w:top w:val="single" w:sz="8" w:color="CCEEFF"/>
            </w:tcBorders>
            <w:shd w:val="clear" w:color="auto" w:fill="CCEEFF"/>
          </w:tcPr>
          <w:p>
            <w:pPr>
              <w:spacing w:after="0"/>
              <w:rPr>
                <w:sz w:val="15"/>
                <w:szCs w:val="15"/>
                <w:color w:val="auto"/>
              </w:rPr>
            </w:pPr>
          </w:p>
        </w:tc>
        <w:tc>
          <w:tcPr>
            <w:tcW w:w="580" w:type="dxa"/>
            <w:vAlign w:val="bottom"/>
            <w:tcBorders>
              <w:top w:val="single" w:sz="8" w:color="auto"/>
            </w:tcBorders>
            <w:shd w:val="clear" w:color="auto" w:fill="CCEEFF"/>
          </w:tcPr>
          <w:p>
            <w:pPr>
              <w:spacing w:after="0"/>
              <w:rPr>
                <w:sz w:val="15"/>
                <w:szCs w:val="15"/>
                <w:color w:val="auto"/>
              </w:rPr>
            </w:pPr>
          </w:p>
        </w:tc>
        <w:tc>
          <w:tcPr>
            <w:tcW w:w="160" w:type="dxa"/>
            <w:vAlign w:val="bottom"/>
            <w:tcBorders>
              <w:top w:val="single" w:sz="8" w:color="CCEEFF"/>
            </w:tcBorders>
            <w:shd w:val="clear" w:color="auto" w:fill="CCEEFF"/>
          </w:tcPr>
          <w:p>
            <w:pPr>
              <w:spacing w:after="0"/>
              <w:rPr>
                <w:sz w:val="15"/>
                <w:szCs w:val="15"/>
                <w:color w:val="auto"/>
              </w:rPr>
            </w:pPr>
          </w:p>
        </w:tc>
        <w:tc>
          <w:tcPr>
            <w:tcW w:w="660" w:type="dxa"/>
            <w:vAlign w:val="bottom"/>
            <w:tcBorders>
              <w:top w:val="single" w:sz="8" w:color="auto"/>
            </w:tcBorders>
            <w:shd w:val="clear" w:color="auto" w:fill="CCEEFF"/>
          </w:tcPr>
          <w:p>
            <w:pPr>
              <w:spacing w:after="0"/>
              <w:rPr>
                <w:sz w:val="15"/>
                <w:szCs w:val="15"/>
                <w:color w:val="auto"/>
              </w:rPr>
            </w:pPr>
          </w:p>
        </w:tc>
        <w:tc>
          <w:tcPr>
            <w:tcW w:w="160" w:type="dxa"/>
            <w:vAlign w:val="bottom"/>
            <w:tcBorders>
              <w:top w:val="single" w:sz="8" w:color="CCEEFF"/>
            </w:tcBorders>
            <w:shd w:val="clear" w:color="auto" w:fill="CCEEFF"/>
          </w:tcPr>
          <w:p>
            <w:pPr>
              <w:spacing w:after="0"/>
              <w:rPr>
                <w:sz w:val="15"/>
                <w:szCs w:val="15"/>
                <w:color w:val="auto"/>
              </w:rPr>
            </w:pPr>
          </w:p>
        </w:tc>
        <w:tc>
          <w:tcPr>
            <w:tcW w:w="100" w:type="dxa"/>
            <w:vAlign w:val="bottom"/>
            <w:tcBorders>
              <w:top w:val="single" w:sz="8" w:color="auto"/>
            </w:tcBorders>
            <w:shd w:val="clear" w:color="auto" w:fill="CCEEFF"/>
          </w:tcPr>
          <w:p>
            <w:pPr>
              <w:spacing w:after="0"/>
              <w:rPr>
                <w:sz w:val="15"/>
                <w:szCs w:val="15"/>
                <w:color w:val="auto"/>
              </w:rPr>
            </w:pPr>
          </w:p>
        </w:tc>
        <w:tc>
          <w:tcPr>
            <w:tcW w:w="500" w:type="dxa"/>
            <w:vAlign w:val="bottom"/>
            <w:tcBorders>
              <w:top w:val="single" w:sz="8" w:color="auto"/>
            </w:tcBorders>
            <w:shd w:val="clear" w:color="auto" w:fill="CCEEFF"/>
          </w:tcPr>
          <w:p>
            <w:pPr>
              <w:spacing w:after="0"/>
              <w:rPr>
                <w:sz w:val="15"/>
                <w:szCs w:val="15"/>
                <w:color w:val="auto"/>
              </w:rPr>
            </w:pPr>
          </w:p>
        </w:tc>
        <w:tc>
          <w:tcPr>
            <w:tcW w:w="160" w:type="dxa"/>
            <w:vAlign w:val="bottom"/>
            <w:tcBorders>
              <w:top w:val="single" w:sz="8" w:color="CCEEFF"/>
            </w:tcBorders>
            <w:shd w:val="clear" w:color="auto" w:fill="CCEEFF"/>
          </w:tcPr>
          <w:p>
            <w:pPr>
              <w:spacing w:after="0"/>
              <w:rPr>
                <w:sz w:val="15"/>
                <w:szCs w:val="15"/>
                <w:color w:val="auto"/>
              </w:rPr>
            </w:pPr>
          </w:p>
        </w:tc>
        <w:tc>
          <w:tcPr>
            <w:tcW w:w="640" w:type="dxa"/>
            <w:vAlign w:val="bottom"/>
            <w:tcBorders>
              <w:top w:val="single" w:sz="8" w:color="auto"/>
            </w:tcBorders>
            <w:shd w:val="clear" w:color="auto" w:fill="CCEEFF"/>
          </w:tcPr>
          <w:p>
            <w:pPr>
              <w:spacing w:after="0"/>
              <w:rPr>
                <w:sz w:val="15"/>
                <w:szCs w:val="15"/>
                <w:color w:val="auto"/>
              </w:rPr>
            </w:pPr>
          </w:p>
        </w:tc>
        <w:tc>
          <w:tcPr>
            <w:tcW w:w="160" w:type="dxa"/>
            <w:vAlign w:val="bottom"/>
            <w:tcBorders>
              <w:top w:val="single" w:sz="8" w:color="CCEEFF"/>
            </w:tcBorders>
            <w:shd w:val="clear" w:color="auto" w:fill="CCEEFF"/>
          </w:tcPr>
          <w:p>
            <w:pPr>
              <w:spacing w:after="0"/>
              <w:rPr>
                <w:sz w:val="15"/>
                <w:szCs w:val="15"/>
                <w:color w:val="auto"/>
              </w:rPr>
            </w:pPr>
          </w:p>
        </w:tc>
        <w:tc>
          <w:tcPr>
            <w:tcW w:w="600" w:type="dxa"/>
            <w:vAlign w:val="bottom"/>
            <w:tcBorders>
              <w:top w:val="single" w:sz="8" w:color="auto"/>
            </w:tcBorders>
            <w:shd w:val="clear" w:color="auto" w:fill="CCEEFF"/>
          </w:tcPr>
          <w:p>
            <w:pPr>
              <w:spacing w:after="0"/>
              <w:rPr>
                <w:sz w:val="15"/>
                <w:szCs w:val="15"/>
                <w:color w:val="auto"/>
              </w:rPr>
            </w:pPr>
          </w:p>
        </w:tc>
        <w:tc>
          <w:tcPr>
            <w:tcW w:w="60" w:type="dxa"/>
            <w:vAlign w:val="bottom"/>
            <w:tcBorders>
              <w:top w:val="single" w:sz="8" w:color="CCEEFF"/>
            </w:tcBorders>
            <w:shd w:val="clear" w:color="auto" w:fill="CCEEFF"/>
          </w:tcPr>
          <w:p>
            <w:pPr>
              <w:spacing w:after="0"/>
              <w:rPr>
                <w:sz w:val="15"/>
                <w:szCs w:val="15"/>
                <w:color w:val="auto"/>
              </w:rPr>
            </w:pPr>
          </w:p>
        </w:tc>
      </w:tr>
      <w:tr>
        <w:trPr>
          <w:trHeight w:val="230"/>
        </w:trPr>
        <w:tc>
          <w:tcPr>
            <w:tcW w:w="64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down owned fleet containers, net</w:t>
            </w:r>
          </w:p>
        </w:tc>
        <w:tc>
          <w:tcPr>
            <w:tcW w:w="8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51,541</w:t>
            </w:r>
          </w:p>
        </w:tc>
        <w:tc>
          <w:tcPr>
            <w:tcW w:w="7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86"/>
              </w:rPr>
              <w:t>$15,451</w:t>
            </w:r>
          </w:p>
        </w:tc>
        <w:tc>
          <w:tcPr>
            <w:tcW w:w="8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52,319</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6,665</w:t>
            </w: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28,291</w:t>
            </w:r>
          </w:p>
        </w:tc>
        <w:tc>
          <w:tcPr>
            <w:tcW w:w="6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89"/>
              </w:rPr>
              <w:t>$14,563</w:t>
            </w:r>
          </w:p>
        </w:tc>
      </w:tr>
      <w:tr>
        <w:trPr>
          <w:trHeight w:val="202"/>
        </w:trPr>
        <w:tc>
          <w:tcPr>
            <w:tcW w:w="6420" w:type="dxa"/>
            <w:vAlign w:val="bottom"/>
          </w:tcPr>
          <w:p>
            <w:pPr>
              <w:spacing w:after="0" w:line="201" w:lineRule="exact"/>
              <w:rPr>
                <w:sz w:val="20"/>
                <w:szCs w:val="20"/>
                <w:color w:val="auto"/>
              </w:rPr>
            </w:pPr>
            <w:r>
              <w:rPr>
                <w:rFonts w:ascii="Arial" w:cs="Arial" w:eastAsia="Arial" w:hAnsi="Arial"/>
                <w:sz w:val="18"/>
                <w:szCs w:val="18"/>
                <w:color w:val="auto"/>
              </w:rPr>
              <w:t>Gain on sale of owned fleet</w:t>
            </w:r>
          </w:p>
        </w:tc>
        <w:tc>
          <w:tcPr>
            <w:tcW w:w="6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60" w:type="dxa"/>
            <w:vAlign w:val="bottom"/>
          </w:tcPr>
          <w:p>
            <w:pPr>
              <w:spacing w:after="0"/>
              <w:rPr>
                <w:sz w:val="17"/>
                <w:szCs w:val="17"/>
                <w:color w:val="auto"/>
              </w:rPr>
            </w:pPr>
          </w:p>
        </w:tc>
      </w:tr>
      <w:tr>
        <w:trPr>
          <w:trHeight w:val="230"/>
        </w:trPr>
        <w:tc>
          <w:tcPr>
            <w:tcW w:w="6420" w:type="dxa"/>
            <w:vAlign w:val="bottom"/>
          </w:tcPr>
          <w:p>
            <w:pPr>
              <w:ind w:left="180"/>
              <w:spacing w:after="0"/>
              <w:rPr>
                <w:sz w:val="20"/>
                <w:szCs w:val="20"/>
                <w:color w:val="auto"/>
              </w:rPr>
            </w:pPr>
            <w:r>
              <w:rPr>
                <w:rFonts w:ascii="Arial" w:cs="Arial" w:eastAsia="Arial" w:hAnsi="Arial"/>
                <w:sz w:val="18"/>
                <w:szCs w:val="18"/>
                <w:color w:val="auto"/>
              </w:rPr>
              <w:t>containers not written down, net</w:t>
            </w:r>
          </w:p>
        </w:tc>
        <w:tc>
          <w:tcPr>
            <w:tcW w:w="820" w:type="dxa"/>
            <w:vAlign w:val="bottom"/>
            <w:gridSpan w:val="2"/>
          </w:tcPr>
          <w:p>
            <w:pPr>
              <w:jc w:val="right"/>
              <w:ind w:right="160"/>
              <w:spacing w:after="0"/>
              <w:rPr>
                <w:sz w:val="20"/>
                <w:szCs w:val="20"/>
                <w:color w:val="auto"/>
              </w:rPr>
            </w:pPr>
            <w:r>
              <w:rPr>
                <w:rFonts w:ascii="Arial" w:cs="Arial" w:eastAsia="Arial" w:hAnsi="Arial"/>
                <w:sz w:val="18"/>
                <w:szCs w:val="18"/>
                <w:color w:val="auto"/>
              </w:rPr>
              <w:t>54,807</w:t>
            </w:r>
          </w:p>
        </w:tc>
        <w:tc>
          <w:tcPr>
            <w:tcW w:w="740" w:type="dxa"/>
            <w:vAlign w:val="bottom"/>
            <w:gridSpan w:val="2"/>
          </w:tcPr>
          <w:p>
            <w:pPr>
              <w:jc w:val="right"/>
              <w:ind w:right="160"/>
              <w:spacing w:after="0"/>
              <w:rPr>
                <w:sz w:val="20"/>
                <w:szCs w:val="20"/>
                <w:color w:val="auto"/>
              </w:rPr>
            </w:pPr>
            <w:r>
              <w:rPr>
                <w:rFonts w:ascii="Arial" w:cs="Arial" w:eastAsia="Arial" w:hAnsi="Arial"/>
                <w:sz w:val="18"/>
                <w:szCs w:val="18"/>
                <w:color w:val="auto"/>
              </w:rPr>
              <w:t>11,779</w:t>
            </w:r>
          </w:p>
        </w:tc>
        <w:tc>
          <w:tcPr>
            <w:tcW w:w="820" w:type="dxa"/>
            <w:vAlign w:val="bottom"/>
            <w:gridSpan w:val="2"/>
          </w:tcPr>
          <w:p>
            <w:pPr>
              <w:jc w:val="right"/>
              <w:ind w:right="160"/>
              <w:spacing w:after="0"/>
              <w:rPr>
                <w:sz w:val="20"/>
                <w:szCs w:val="20"/>
                <w:color w:val="auto"/>
              </w:rPr>
            </w:pPr>
            <w:r>
              <w:rPr>
                <w:rFonts w:ascii="Arial" w:cs="Arial" w:eastAsia="Arial" w:hAnsi="Arial"/>
                <w:sz w:val="18"/>
                <w:szCs w:val="18"/>
                <w:color w:val="auto"/>
              </w:rPr>
              <w:t>52,126</w:t>
            </w:r>
          </w:p>
        </w:tc>
        <w:tc>
          <w:tcPr>
            <w:tcW w:w="100" w:type="dxa"/>
            <w:vAlign w:val="bottom"/>
          </w:tcPr>
          <w:p>
            <w:pPr>
              <w:spacing w:after="0"/>
              <w:rPr>
                <w:sz w:val="20"/>
                <w:szCs w:val="20"/>
                <w:color w:val="auto"/>
              </w:rPr>
            </w:pPr>
          </w:p>
        </w:tc>
        <w:tc>
          <w:tcPr>
            <w:tcW w:w="660" w:type="dxa"/>
            <w:vAlign w:val="bottom"/>
            <w:gridSpan w:val="2"/>
          </w:tcPr>
          <w:p>
            <w:pPr>
              <w:jc w:val="right"/>
              <w:ind w:right="160"/>
              <w:spacing w:after="0"/>
              <w:rPr>
                <w:sz w:val="20"/>
                <w:szCs w:val="20"/>
                <w:color w:val="auto"/>
              </w:rPr>
            </w:pPr>
            <w:r>
              <w:rPr>
                <w:rFonts w:ascii="Arial" w:cs="Arial" w:eastAsia="Arial" w:hAnsi="Arial"/>
                <w:sz w:val="18"/>
                <w:szCs w:val="18"/>
                <w:color w:val="auto"/>
                <w:w w:val="87"/>
              </w:rPr>
              <w:t>14,732</w:t>
            </w: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79,119</w:t>
            </w:r>
          </w:p>
        </w:tc>
        <w:tc>
          <w:tcPr>
            <w:tcW w:w="660" w:type="dxa"/>
            <w:vAlign w:val="bottom"/>
            <w:gridSpan w:val="2"/>
          </w:tcPr>
          <w:p>
            <w:pPr>
              <w:jc w:val="right"/>
              <w:ind w:right="60"/>
              <w:spacing w:after="0"/>
              <w:rPr>
                <w:sz w:val="20"/>
                <w:szCs w:val="20"/>
                <w:color w:val="auto"/>
              </w:rPr>
            </w:pPr>
            <w:r>
              <w:rPr>
                <w:rFonts w:ascii="Arial" w:cs="Arial" w:eastAsia="Arial" w:hAnsi="Arial"/>
                <w:sz w:val="18"/>
                <w:szCs w:val="18"/>
                <w:color w:val="auto"/>
              </w:rPr>
              <w:t>21,508</w:t>
            </w:r>
          </w:p>
        </w:tc>
      </w:tr>
      <w:tr>
        <w:trPr>
          <w:trHeight w:val="27"/>
        </w:trPr>
        <w:tc>
          <w:tcPr>
            <w:tcW w:w="6420" w:type="dxa"/>
            <w:vAlign w:val="bottom"/>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r>
      <w:tr>
        <w:trPr>
          <w:trHeight w:val="216"/>
        </w:trPr>
        <w:tc>
          <w:tcPr>
            <w:tcW w:w="64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Gain on sale of owned fleet containers, net</w:t>
            </w:r>
          </w:p>
        </w:tc>
        <w:tc>
          <w:tcPr>
            <w:tcW w:w="8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8"/>
              </w:rPr>
              <w:t>106,348</w:t>
            </w:r>
          </w:p>
        </w:tc>
        <w:tc>
          <w:tcPr>
            <w:tcW w:w="7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u w:val="single" w:color="auto"/>
                <w:color w:val="auto"/>
                <w:w w:val="86"/>
              </w:rPr>
              <w:t>$</w:t>
            </w:r>
            <w:r>
              <w:rPr>
                <w:rFonts w:ascii="Arial" w:cs="Arial" w:eastAsia="Arial" w:hAnsi="Arial"/>
                <w:sz w:val="18"/>
                <w:szCs w:val="18"/>
                <w:color w:val="auto"/>
                <w:w w:val="86"/>
              </w:rPr>
              <w:t>27,230</w:t>
            </w:r>
          </w:p>
        </w:tc>
        <w:tc>
          <w:tcPr>
            <w:tcW w:w="8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8"/>
              </w:rPr>
              <w:t>104,445</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u w:val="single" w:color="auto"/>
                <w:color w:val="auto"/>
                <w:w w:val="71"/>
              </w:rPr>
              <w:t>$</w:t>
            </w: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87"/>
              </w:rPr>
              <w:t>21,397</w:t>
            </w: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5"/>
              </w:rPr>
              <w:t>107,410</w:t>
            </w:r>
          </w:p>
        </w:tc>
        <w:tc>
          <w:tcPr>
            <w:tcW w:w="6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36,071</w:t>
            </w:r>
          </w:p>
        </w:tc>
      </w:tr>
      <w:tr>
        <w:trPr>
          <w:trHeight w:val="20"/>
        </w:trPr>
        <w:tc>
          <w:tcPr>
            <w:tcW w:w="6420" w:type="dxa"/>
            <w:vAlign w:val="bottom"/>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323" w:lineRule="exact"/>
        <w:rPr>
          <w:sz w:val="20"/>
          <w:szCs w:val="20"/>
          <w:color w:val="auto"/>
        </w:rPr>
      </w:pPr>
    </w:p>
    <w:p>
      <w:pPr>
        <w:ind w:left="4"/>
        <w:spacing w:after="0"/>
        <w:rPr>
          <w:sz w:val="20"/>
          <w:szCs w:val="20"/>
          <w:color w:val="auto"/>
        </w:rPr>
      </w:pPr>
      <w:r>
        <w:rPr>
          <w:rFonts w:ascii="Arial" w:cs="Arial" w:eastAsia="Arial" w:hAnsi="Arial"/>
          <w:sz w:val="18"/>
          <w:szCs w:val="18"/>
          <w:i w:val="1"/>
          <w:iCs w:val="1"/>
          <w:color w:val="auto"/>
        </w:rPr>
        <w:t>Gain on sale of owned fleet containers, net</w:t>
      </w:r>
    </w:p>
    <w:p>
      <w:pPr>
        <w:spacing w:after="0" w:line="117" w:lineRule="exact"/>
        <w:rPr>
          <w:sz w:val="20"/>
          <w:szCs w:val="20"/>
          <w:color w:val="auto"/>
        </w:rPr>
      </w:pPr>
    </w:p>
    <w:p>
      <w:pPr>
        <w:ind w:left="4" w:right="100" w:firstLine="440"/>
        <w:spacing w:after="0" w:line="259" w:lineRule="auto"/>
        <w:rPr>
          <w:sz w:val="20"/>
          <w:szCs w:val="20"/>
          <w:color w:val="auto"/>
        </w:rPr>
      </w:pPr>
      <w:r>
        <w:rPr>
          <w:rFonts w:ascii="Arial" w:cs="Arial" w:eastAsia="Arial" w:hAnsi="Arial"/>
          <w:sz w:val="18"/>
          <w:szCs w:val="18"/>
          <w:color w:val="auto"/>
        </w:rPr>
        <w:t>The Company also generally sells containers at the end of their useful lives or when it is financially attractive to do so. The gain on sale of owned fleet containers is the excess of the sale price over the carrying value for these units at the time of sale. Revenue is recorded when control of the containers is transferred to the customer, which typically occurs upon delivery to, or pick-up by, the customer and when collectability is reasonably assured.</w:t>
      </w:r>
    </w:p>
    <w:p>
      <w:pPr>
        <w:spacing w:after="0" w:line="187" w:lineRule="exact"/>
        <w:rPr>
          <w:sz w:val="20"/>
          <w:szCs w:val="20"/>
          <w:color w:val="auto"/>
        </w:rPr>
      </w:pPr>
    </w:p>
    <w:p>
      <w:pPr>
        <w:ind w:left="4" w:right="620" w:firstLine="440"/>
        <w:spacing w:after="0" w:line="342" w:lineRule="auto"/>
        <w:rPr>
          <w:sz w:val="20"/>
          <w:szCs w:val="20"/>
          <w:color w:val="auto"/>
        </w:rPr>
      </w:pPr>
      <w:r>
        <w:rPr>
          <w:rFonts w:ascii="Arial" w:cs="Arial" w:eastAsia="Arial" w:hAnsi="Arial"/>
          <w:sz w:val="16"/>
          <w:szCs w:val="16"/>
          <w:color w:val="auto"/>
        </w:rPr>
        <w:t>Gain on sale of owned fleet containers, net, also includes gains (losses) recognized at the inception of sales-type leases of our owned fleet, representing the excess (deficiency) of the estimated fair value of containers placed on sales-type leases over (below) their book value.</w:t>
      </w:r>
    </w:p>
    <w:p>
      <w:pPr>
        <w:spacing w:after="0" w:line="232" w:lineRule="exact"/>
        <w:rPr>
          <w:sz w:val="20"/>
          <w:szCs w:val="20"/>
          <w:color w:val="auto"/>
        </w:rPr>
      </w:pPr>
    </w:p>
    <w:p>
      <w:pPr>
        <w:ind w:left="444" w:hanging="444"/>
        <w:spacing w:after="0"/>
        <w:tabs>
          <w:tab w:leader="none" w:pos="444" w:val="left"/>
        </w:tabs>
        <w:numPr>
          <w:ilvl w:val="0"/>
          <w:numId w:val="106"/>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Income Taxes</w:t>
      </w:r>
    </w:p>
    <w:p>
      <w:pPr>
        <w:spacing w:after="0" w:line="117" w:lineRule="exact"/>
        <w:rPr>
          <w:sz w:val="20"/>
          <w:szCs w:val="20"/>
          <w:color w:val="auto"/>
        </w:rPr>
      </w:pPr>
    </w:p>
    <w:p>
      <w:pPr>
        <w:ind w:left="4" w:right="80" w:firstLine="440"/>
        <w:spacing w:after="0" w:line="255" w:lineRule="auto"/>
        <w:rPr>
          <w:sz w:val="20"/>
          <w:szCs w:val="20"/>
          <w:color w:val="auto"/>
        </w:rPr>
      </w:pPr>
      <w:r>
        <w:rPr>
          <w:rFonts w:ascii="Arial" w:cs="Arial" w:eastAsia="Arial" w:hAnsi="Arial"/>
          <w:sz w:val="18"/>
          <w:szCs w:val="18"/>
          <w:color w:val="auto"/>
        </w:rPr>
        <w:t>The Company uses the asset and liability method to account for income taxes. Deferred tax assets and liabilities are recognized for the future tax consequences attributable to differences between the financial statement carrying amounts of existing assets and liabilities and their respective tax bases and operating loss. Deferred tax assets and liabilities are measured using enacted tax rates expected to apply to taxable income in the years in which those temporary differences are expected to be recovered or settled. The effect on deferred tax assets and liabilities of a change in the tax rates is recognized in income in the period that includes the enactment date. A valuation allowance is recorded when the realization of a deferred tax asset is deemed to be unlikely.</w:t>
      </w:r>
    </w:p>
    <w:p>
      <w:pPr>
        <w:spacing w:after="0" w:line="192" w:lineRule="exact"/>
        <w:rPr>
          <w:sz w:val="20"/>
          <w:szCs w:val="20"/>
          <w:color w:val="auto"/>
        </w:rPr>
      </w:pPr>
    </w:p>
    <w:p>
      <w:pPr>
        <w:ind w:left="4" w:right="20" w:firstLine="440"/>
        <w:spacing w:after="0" w:line="259" w:lineRule="auto"/>
        <w:rPr>
          <w:sz w:val="20"/>
          <w:szCs w:val="20"/>
          <w:color w:val="auto"/>
        </w:rPr>
      </w:pPr>
      <w:r>
        <w:rPr>
          <w:rFonts w:ascii="Arial" w:cs="Arial" w:eastAsia="Arial" w:hAnsi="Arial"/>
          <w:sz w:val="18"/>
          <w:szCs w:val="18"/>
          <w:color w:val="auto"/>
        </w:rPr>
        <w:t>The Company also accounts for income tax positions only if those positions are more likely than not of being sustained. Recognized income tax positions are measured at the largest amount that is greater than 50% likely of being realized. Changes in the recognition or measurement are reflected in the period in which the change in judgment occurs. If there are findings in future regulatory examinations of the Company’s tax returns, those findings may result in an adjustment to income tax expense.</w:t>
      </w:r>
    </w:p>
    <w:p>
      <w:pPr>
        <w:spacing w:after="0" w:line="187" w:lineRule="exact"/>
        <w:rPr>
          <w:sz w:val="20"/>
          <w:szCs w:val="20"/>
          <w:color w:val="auto"/>
        </w:rPr>
      </w:pPr>
    </w:p>
    <w:p>
      <w:pPr>
        <w:ind w:left="444"/>
        <w:spacing w:after="0"/>
        <w:rPr>
          <w:sz w:val="20"/>
          <w:szCs w:val="20"/>
          <w:color w:val="auto"/>
        </w:rPr>
      </w:pPr>
      <w:r>
        <w:rPr>
          <w:rFonts w:ascii="Arial" w:cs="Arial" w:eastAsia="Arial" w:hAnsi="Arial"/>
          <w:sz w:val="18"/>
          <w:szCs w:val="18"/>
          <w:color w:val="auto"/>
        </w:rPr>
        <w:t>The Company records interest and penalties related to unrecognized tax benefits in income tax expense.</w:t>
      </w:r>
    </w:p>
    <w:p>
      <w:pPr>
        <w:spacing w:after="0" w:line="333" w:lineRule="exact"/>
        <w:rPr>
          <w:sz w:val="20"/>
          <w:szCs w:val="20"/>
          <w:color w:val="auto"/>
        </w:rPr>
      </w:pPr>
    </w:p>
    <w:p>
      <w:pPr>
        <w:ind w:left="4"/>
        <w:spacing w:after="0"/>
        <w:tabs>
          <w:tab w:leader="none" w:pos="384" w:val="left"/>
        </w:tabs>
        <w:rPr>
          <w:sz w:val="20"/>
          <w:szCs w:val="20"/>
          <w:color w:val="auto"/>
        </w:rPr>
      </w:pPr>
      <w:r>
        <w:rPr>
          <w:rFonts w:ascii="Arial" w:cs="Arial" w:eastAsia="Arial" w:hAnsi="Arial"/>
          <w:sz w:val="18"/>
          <w:szCs w:val="18"/>
          <w:b w:val="1"/>
          <w:bCs w:val="1"/>
          <w:i w:val="1"/>
          <w:iCs w:val="1"/>
          <w:color w:val="auto"/>
        </w:rPr>
        <w:t>(n)</w:t>
      </w:r>
      <w:r>
        <w:rPr>
          <w:sz w:val="20"/>
          <w:szCs w:val="20"/>
          <w:color w:val="auto"/>
        </w:rPr>
        <w:tab/>
      </w:r>
      <w:r>
        <w:rPr>
          <w:rFonts w:ascii="Arial" w:cs="Arial" w:eastAsia="Arial" w:hAnsi="Arial"/>
          <w:sz w:val="15"/>
          <w:szCs w:val="15"/>
          <w:b w:val="1"/>
          <w:bCs w:val="1"/>
          <w:i w:val="1"/>
          <w:iCs w:val="1"/>
          <w:color w:val="auto"/>
        </w:rPr>
        <w:t>Debt Issuance Costs</w:t>
      </w:r>
    </w:p>
    <w:p>
      <w:pPr>
        <w:spacing w:after="0" w:line="117" w:lineRule="exact"/>
        <w:rPr>
          <w:sz w:val="20"/>
          <w:szCs w:val="20"/>
          <w:color w:val="auto"/>
        </w:rPr>
      </w:pPr>
    </w:p>
    <w:p>
      <w:pPr>
        <w:ind w:left="4" w:right="220" w:firstLine="440"/>
        <w:spacing w:after="0" w:line="277" w:lineRule="auto"/>
        <w:rPr>
          <w:sz w:val="20"/>
          <w:szCs w:val="20"/>
          <w:color w:val="auto"/>
        </w:rPr>
      </w:pPr>
      <w:r>
        <w:rPr>
          <w:rFonts w:ascii="Arial" w:cs="Arial" w:eastAsia="Arial" w:hAnsi="Arial"/>
          <w:sz w:val="18"/>
          <w:szCs w:val="18"/>
          <w:color w:val="auto"/>
        </w:rPr>
        <w:t>The Company capitalizes costs directly associated with the issuance or modification of its debt and the balance of the debt issuance costs, net of amortization, are netted against the debt recorded in the consolidated balance sheets.</w:t>
      </w:r>
    </w:p>
    <w:p>
      <w:pPr>
        <w:spacing w:after="0" w:line="10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F-18</w:t>
      </w:r>
    </w:p>
    <w:p>
      <w:pPr>
        <w:sectPr>
          <w:pgSz w:w="11900" w:h="16838" w:orient="portrait"/>
          <w:cols w:equalWidth="0" w:num="1">
            <w:col w:w="11024"/>
          </w:cols>
          <w:pgMar w:left="436" w:top="274" w:right="439" w:bottom="1440" w:gutter="0" w:footer="0" w:header="0"/>
        </w:sectPr>
      </w:pPr>
    </w:p>
    <w:bookmarkStart w:id="132" w:name="page133"/>
    <w:bookmarkEnd w:id="132"/>
    <w:p>
      <w:pPr>
        <w:ind w:left="4" w:right="40" w:firstLine="44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Debt issuance costs are amortized using the interest rate method and the straight-line method over the general terms of the related fixed principal payment debt and the related revolving debt facilities, respectively, and the amortization is recorded as “interest expense” in the consolidated statements of operations. In 2020, 2019 and 2018, debt issuance costs of $13,637, $9,417 and $10,285, respectively, were capitalized and amortization of debt issuance costs of $7,712, $7,369 and $8,400, respectively, were recorded in interest expense.</w:t>
      </w:r>
    </w:p>
    <w:p>
      <w:pPr>
        <w:spacing w:after="0" w:line="187" w:lineRule="exact"/>
        <w:rPr>
          <w:sz w:val="20"/>
          <w:szCs w:val="20"/>
          <w:color w:val="auto"/>
        </w:rPr>
      </w:pPr>
    </w:p>
    <w:p>
      <w:pPr>
        <w:ind w:left="4" w:right="60" w:firstLine="440"/>
        <w:spacing w:after="0" w:line="272" w:lineRule="auto"/>
        <w:rPr>
          <w:sz w:val="20"/>
          <w:szCs w:val="20"/>
          <w:color w:val="auto"/>
        </w:rPr>
      </w:pPr>
      <w:r>
        <w:rPr>
          <w:rFonts w:ascii="Arial" w:cs="Arial" w:eastAsia="Arial" w:hAnsi="Arial"/>
          <w:sz w:val="17"/>
          <w:szCs w:val="17"/>
          <w:color w:val="auto"/>
        </w:rPr>
        <w:t>When the Company’s debt is modified or terminated, any unamortized debt issuance costs related to a decrease in borrowing capacity with any of the Company’s lenders is immediately written-off and recorded in write-off of unamortized deferred debt issuance costs and bond discounts. In 2020, write-offs of unamortized deferred debt issuance costs and bond discounts included $122 and $8,628 of write-offs related to the amendment of TAP Funding Revolving Credit Facility and the early redemption of 2017-1 Bonds, 2017-2 Bonds and 2018-1 Bonds, respectively, (see Note 8 “Debt”). In 2018, write-offs of unamortized deferred debt issuance costs and bond discounts included $529 and $352 of write-offs related to the amendment of the TL Revolving Credit Facility and the termination of the TL Term Loan, respectively, (see Note 8 “Debt”). No unamortized debt issuance costs were written-off during the year ended December 31, 2019.</w:t>
      </w:r>
    </w:p>
    <w:p>
      <w:pPr>
        <w:spacing w:after="0" w:line="326" w:lineRule="exact"/>
        <w:rPr>
          <w:sz w:val="20"/>
          <w:szCs w:val="20"/>
          <w:color w:val="auto"/>
        </w:rPr>
      </w:pPr>
    </w:p>
    <w:p>
      <w:pPr>
        <w:ind w:left="424" w:hanging="424"/>
        <w:spacing w:after="0"/>
        <w:tabs>
          <w:tab w:leader="none" w:pos="424" w:val="left"/>
        </w:tabs>
        <w:numPr>
          <w:ilvl w:val="0"/>
          <w:numId w:val="107"/>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Concentrations</w:t>
      </w:r>
    </w:p>
    <w:p>
      <w:pPr>
        <w:spacing w:after="0" w:line="117" w:lineRule="exact"/>
        <w:rPr>
          <w:sz w:val="20"/>
          <w:szCs w:val="20"/>
          <w:color w:val="auto"/>
        </w:rPr>
      </w:pPr>
    </w:p>
    <w:p>
      <w:pPr>
        <w:ind w:left="444"/>
        <w:spacing w:after="0"/>
        <w:rPr>
          <w:sz w:val="20"/>
          <w:szCs w:val="20"/>
          <w:color w:val="auto"/>
        </w:rPr>
      </w:pPr>
      <w:r>
        <w:rPr>
          <w:rFonts w:ascii="Arial" w:cs="Arial" w:eastAsia="Arial" w:hAnsi="Arial"/>
          <w:sz w:val="17"/>
          <w:szCs w:val="17"/>
          <w:color w:val="auto"/>
        </w:rPr>
        <w:t>Although substantially all of the Company’s income from operations is derived from assets employed in foreign countries, virtually all of this</w:t>
      </w:r>
    </w:p>
    <w:p>
      <w:pPr>
        <w:spacing w:after="0" w:line="35" w:lineRule="exact"/>
        <w:rPr>
          <w:sz w:val="20"/>
          <w:szCs w:val="20"/>
          <w:color w:val="auto"/>
        </w:rPr>
      </w:pPr>
    </w:p>
    <w:p>
      <w:pPr>
        <w:ind w:left="4"/>
        <w:spacing w:after="0"/>
        <w:rPr>
          <w:sz w:val="20"/>
          <w:szCs w:val="20"/>
          <w:color w:val="auto"/>
        </w:rPr>
      </w:pPr>
      <w:r>
        <w:rPr>
          <w:rFonts w:ascii="Arial" w:cs="Arial" w:eastAsia="Arial" w:hAnsi="Arial"/>
          <w:sz w:val="17"/>
          <w:szCs w:val="17"/>
          <w:color w:val="auto"/>
        </w:rPr>
        <w:t>income is denominated in U.S. dollars. The Company does pay some of its expenses in various foreign currencies. During 2020, 2019 and 2018,</w:t>
      </w:r>
    </w:p>
    <w:p>
      <w:pPr>
        <w:spacing w:after="0" w:line="21" w:lineRule="exact"/>
        <w:rPr>
          <w:sz w:val="20"/>
          <w:szCs w:val="20"/>
          <w:color w:val="auto"/>
        </w:rPr>
      </w:pPr>
    </w:p>
    <w:p>
      <w:pPr>
        <w:ind w:left="4"/>
        <w:spacing w:after="0"/>
        <w:rPr>
          <w:sz w:val="20"/>
          <w:szCs w:val="20"/>
          <w:color w:val="auto"/>
        </w:rPr>
      </w:pPr>
      <w:r>
        <w:rPr>
          <w:rFonts w:ascii="Arial" w:cs="Arial" w:eastAsia="Arial" w:hAnsi="Arial"/>
          <w:sz w:val="16"/>
          <w:szCs w:val="16"/>
          <w:color w:val="auto"/>
        </w:rPr>
        <w:t>$15,225 or 28%, $10,527 or 23%, and $11,141 or 21%, respectively, of the Company’s direct container expenses – owned fleet were paid in up to 20</w:t>
      </w:r>
    </w:p>
    <w:p>
      <w:pPr>
        <w:spacing w:after="0" w:line="32" w:lineRule="exact"/>
        <w:rPr>
          <w:sz w:val="20"/>
          <w:szCs w:val="20"/>
          <w:color w:val="auto"/>
        </w:rPr>
      </w:pPr>
    </w:p>
    <w:p>
      <w:pPr>
        <w:ind w:left="4"/>
        <w:spacing w:after="0"/>
        <w:rPr>
          <w:sz w:val="20"/>
          <w:szCs w:val="20"/>
          <w:color w:val="auto"/>
        </w:rPr>
      </w:pPr>
      <w:r>
        <w:rPr>
          <w:rFonts w:ascii="Arial" w:cs="Arial" w:eastAsia="Arial" w:hAnsi="Arial"/>
          <w:sz w:val="16"/>
          <w:szCs w:val="16"/>
          <w:color w:val="auto"/>
        </w:rPr>
        <w:t>different foreign currencies. In accordance with its policy, the Company does not hedge these container expenses as there are no significant payments</w:t>
      </w:r>
    </w:p>
    <w:p>
      <w:pPr>
        <w:spacing w:after="0" w:line="32" w:lineRule="exact"/>
        <w:rPr>
          <w:sz w:val="20"/>
          <w:szCs w:val="20"/>
          <w:color w:val="auto"/>
        </w:rPr>
      </w:pPr>
    </w:p>
    <w:p>
      <w:pPr>
        <w:ind w:left="4"/>
        <w:spacing w:after="0"/>
        <w:rPr>
          <w:sz w:val="20"/>
          <w:szCs w:val="20"/>
          <w:color w:val="auto"/>
        </w:rPr>
      </w:pPr>
      <w:r>
        <w:rPr>
          <w:rFonts w:ascii="Arial" w:cs="Arial" w:eastAsia="Arial" w:hAnsi="Arial"/>
          <w:sz w:val="18"/>
          <w:szCs w:val="18"/>
          <w:color w:val="auto"/>
        </w:rPr>
        <w:t>made in any one foreign currency.</w:t>
      </w:r>
    </w:p>
    <w:p>
      <w:pPr>
        <w:spacing w:after="0" w:line="211" w:lineRule="exact"/>
        <w:rPr>
          <w:sz w:val="20"/>
          <w:szCs w:val="20"/>
          <w:color w:val="auto"/>
        </w:rPr>
      </w:pPr>
    </w:p>
    <w:p>
      <w:pPr>
        <w:ind w:left="4" w:right="80" w:firstLine="440"/>
        <w:spacing w:after="0" w:line="259" w:lineRule="auto"/>
        <w:rPr>
          <w:sz w:val="20"/>
          <w:szCs w:val="20"/>
          <w:color w:val="auto"/>
        </w:rPr>
      </w:pPr>
      <w:r>
        <w:rPr>
          <w:rFonts w:ascii="Arial" w:cs="Arial" w:eastAsia="Arial" w:hAnsi="Arial"/>
          <w:sz w:val="18"/>
          <w:szCs w:val="18"/>
          <w:color w:val="auto"/>
        </w:rPr>
        <w:t>The Company’s customers are mainly international shipping lines, which transport goods on international trade routes. Once the containers are on-hire with a lessee, the Company does not track their location. The domicile of the lessee is not indicative of where the lessee is transporting the containers. The Company’s business risk in its foreign concentrations lies with the creditworthiness of the lessees rather than the geographic location of the containers or the domicile of the lessees.</w:t>
      </w:r>
    </w:p>
    <w:p>
      <w:pPr>
        <w:spacing w:after="0" w:line="187" w:lineRule="exact"/>
        <w:rPr>
          <w:sz w:val="20"/>
          <w:szCs w:val="20"/>
          <w:color w:val="auto"/>
        </w:rPr>
      </w:pPr>
    </w:p>
    <w:p>
      <w:pPr>
        <w:ind w:left="4" w:firstLine="440"/>
        <w:spacing w:after="0" w:line="263" w:lineRule="auto"/>
        <w:rPr>
          <w:sz w:val="20"/>
          <w:szCs w:val="20"/>
          <w:color w:val="auto"/>
        </w:rPr>
      </w:pPr>
      <w:r>
        <w:rPr>
          <w:rFonts w:ascii="Arial" w:cs="Arial" w:eastAsia="Arial" w:hAnsi="Arial"/>
          <w:sz w:val="18"/>
          <w:szCs w:val="18"/>
          <w:color w:val="auto"/>
        </w:rPr>
        <w:t>Except for the lessees noted in the tables below, no other single lessee made up greater than 10% of the Company’s lease rental income from its owned fleet during the years ended December 31, 2020, 2019 and 2018, and more than 10% of the Company’s gross accounts receivable from its owned fleet as of December 31, 2020 and 2019:</w:t>
      </w:r>
    </w:p>
    <w:p>
      <w:pPr>
        <w:spacing w:after="0" w:line="202" w:lineRule="exact"/>
        <w:rPr>
          <w:sz w:val="20"/>
          <w:szCs w:val="20"/>
          <w:color w:val="auto"/>
        </w:rPr>
      </w:pPr>
    </w:p>
    <w:tbl>
      <w:tblPr>
        <w:tblLayout w:type="fixed"/>
        <w:tblInd w:w="884" w:type="dxa"/>
        <w:tblCellMar>
          <w:top w:w="0" w:type="dxa"/>
          <w:left w:w="0" w:type="dxa"/>
          <w:bottom w:w="0" w:type="dxa"/>
          <w:right w:w="0" w:type="dxa"/>
        </w:tblCellMar>
      </w:tblPr>
      <w:tr>
        <w:trPr>
          <w:trHeight w:val="171"/>
        </w:trPr>
        <w:tc>
          <w:tcPr>
            <w:tcW w:w="7180" w:type="dxa"/>
            <w:vAlign w:val="bottom"/>
            <w:tcBorders>
              <w:bottom w:val="single" w:sz="8" w:color="CCEEFF"/>
            </w:tcBorders>
          </w:tcPr>
          <w:p>
            <w:pPr>
              <w:spacing w:after="0"/>
              <w:rPr>
                <w:sz w:val="20"/>
                <w:szCs w:val="20"/>
                <w:color w:val="auto"/>
              </w:rPr>
            </w:pPr>
            <w:r>
              <w:rPr>
                <w:rFonts w:ascii="Arial" w:cs="Arial" w:eastAsia="Arial" w:hAnsi="Arial"/>
                <w:sz w:val="14"/>
                <w:szCs w:val="14"/>
                <w:b w:val="1"/>
                <w:bCs w:val="1"/>
                <w:color w:val="auto"/>
              </w:rPr>
              <w:t>Lease Rental Income - owned fleet</w:t>
            </w: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rPr>
              <w:t>2020</w:t>
            </w:r>
          </w:p>
        </w:tc>
        <w:tc>
          <w:tcPr>
            <w:tcW w:w="380" w:type="dxa"/>
            <w:vAlign w:val="bottom"/>
            <w:tcBorders>
              <w:bottom w:val="single" w:sz="8" w:color="CCEEFF"/>
            </w:tcBorders>
          </w:tcPr>
          <w:p>
            <w:pPr>
              <w:spacing w:after="0"/>
              <w:rPr>
                <w:sz w:val="14"/>
                <w:szCs w:val="14"/>
                <w:color w:val="auto"/>
              </w:rPr>
            </w:pPr>
          </w:p>
        </w:tc>
        <w:tc>
          <w:tcPr>
            <w:tcW w:w="36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w w:val="96"/>
              </w:rPr>
              <w:t>2019</w:t>
            </w:r>
          </w:p>
        </w:tc>
        <w:tc>
          <w:tcPr>
            <w:tcW w:w="380" w:type="dxa"/>
            <w:vAlign w:val="bottom"/>
            <w:tcBorders>
              <w:bottom w:val="single" w:sz="8" w:color="CCEEFF"/>
            </w:tcBorders>
          </w:tcPr>
          <w:p>
            <w:pPr>
              <w:spacing w:after="0"/>
              <w:rPr>
                <w:sz w:val="14"/>
                <w:szCs w:val="14"/>
                <w:color w:val="auto"/>
              </w:rPr>
            </w:pP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w w:val="96"/>
              </w:rPr>
              <w:t>2018</w:t>
            </w:r>
          </w:p>
        </w:tc>
        <w:tc>
          <w:tcPr>
            <w:tcW w:w="200" w:type="dxa"/>
            <w:vAlign w:val="bottom"/>
            <w:tcBorders>
              <w:bottom w:val="single" w:sz="8" w:color="CCEEFF"/>
            </w:tcBorders>
          </w:tcPr>
          <w:p>
            <w:pPr>
              <w:spacing w:after="0"/>
              <w:rPr>
                <w:sz w:val="14"/>
                <w:szCs w:val="14"/>
                <w:color w:val="auto"/>
              </w:rPr>
            </w:pPr>
          </w:p>
        </w:tc>
      </w:tr>
      <w:tr>
        <w:trPr>
          <w:trHeight w:val="210"/>
        </w:trPr>
        <w:tc>
          <w:tcPr>
            <w:tcW w:w="7180" w:type="dxa"/>
            <w:vAlign w:val="bottom"/>
            <w:shd w:val="clear" w:color="auto" w:fill="CCEEFF"/>
          </w:tcPr>
          <w:p>
            <w:pPr>
              <w:spacing w:after="0"/>
              <w:rPr>
                <w:sz w:val="20"/>
                <w:szCs w:val="20"/>
                <w:color w:val="auto"/>
              </w:rPr>
            </w:pPr>
            <w:r>
              <w:rPr>
                <w:rFonts w:ascii="Arial" w:cs="Arial" w:eastAsia="Arial" w:hAnsi="Arial"/>
                <w:sz w:val="18"/>
                <w:szCs w:val="18"/>
                <w:color w:val="auto"/>
              </w:rPr>
              <w:t>Customer A</w:t>
            </w:r>
          </w:p>
        </w:tc>
        <w:tc>
          <w:tcPr>
            <w:tcW w:w="7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18.4%</w:t>
            </w:r>
          </w:p>
        </w:tc>
        <w:tc>
          <w:tcPr>
            <w:tcW w:w="7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w w:val="97"/>
              </w:rPr>
              <w:t>15.4%</w:t>
            </w: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7"/>
              </w:rPr>
              <w:t>14.0%</w:t>
            </w:r>
          </w:p>
        </w:tc>
      </w:tr>
      <w:tr>
        <w:trPr>
          <w:trHeight w:val="216"/>
        </w:trPr>
        <w:tc>
          <w:tcPr>
            <w:tcW w:w="7180" w:type="dxa"/>
            <w:vAlign w:val="bottom"/>
          </w:tcPr>
          <w:p>
            <w:pPr>
              <w:spacing w:after="0"/>
              <w:rPr>
                <w:sz w:val="20"/>
                <w:szCs w:val="20"/>
                <w:color w:val="auto"/>
              </w:rPr>
            </w:pPr>
            <w:r>
              <w:rPr>
                <w:rFonts w:ascii="Arial" w:cs="Arial" w:eastAsia="Arial" w:hAnsi="Arial"/>
                <w:sz w:val="18"/>
                <w:szCs w:val="18"/>
                <w:color w:val="auto"/>
              </w:rPr>
              <w:t>Customer B</w:t>
            </w:r>
          </w:p>
        </w:tc>
        <w:tc>
          <w:tcPr>
            <w:tcW w:w="760" w:type="dxa"/>
            <w:vAlign w:val="bottom"/>
            <w:gridSpan w:val="2"/>
          </w:tcPr>
          <w:p>
            <w:pPr>
              <w:jc w:val="right"/>
              <w:ind w:right="220"/>
              <w:spacing w:after="0"/>
              <w:rPr>
                <w:sz w:val="20"/>
                <w:szCs w:val="20"/>
                <w:color w:val="auto"/>
              </w:rPr>
            </w:pPr>
            <w:r>
              <w:rPr>
                <w:rFonts w:ascii="Arial" w:cs="Arial" w:eastAsia="Arial" w:hAnsi="Arial"/>
                <w:sz w:val="18"/>
                <w:szCs w:val="18"/>
                <w:color w:val="auto"/>
              </w:rPr>
              <w:t>12.7%</w:t>
            </w:r>
          </w:p>
        </w:tc>
        <w:tc>
          <w:tcPr>
            <w:tcW w:w="740" w:type="dxa"/>
            <w:vAlign w:val="bottom"/>
            <w:gridSpan w:val="2"/>
          </w:tcPr>
          <w:p>
            <w:pPr>
              <w:jc w:val="right"/>
              <w:ind w:right="220"/>
              <w:spacing w:after="0"/>
              <w:rPr>
                <w:sz w:val="20"/>
                <w:szCs w:val="20"/>
                <w:color w:val="auto"/>
              </w:rPr>
            </w:pPr>
            <w:r>
              <w:rPr>
                <w:rFonts w:ascii="Arial" w:cs="Arial" w:eastAsia="Arial" w:hAnsi="Arial"/>
                <w:sz w:val="18"/>
                <w:szCs w:val="18"/>
                <w:color w:val="auto"/>
                <w:w w:val="97"/>
              </w:rPr>
              <w:t>13.3%</w:t>
            </w:r>
          </w:p>
        </w:tc>
        <w:tc>
          <w:tcPr>
            <w:tcW w:w="580" w:type="dxa"/>
            <w:vAlign w:val="bottom"/>
            <w:gridSpan w:val="2"/>
          </w:tcPr>
          <w:p>
            <w:pPr>
              <w:jc w:val="right"/>
              <w:ind w:right="60"/>
              <w:spacing w:after="0"/>
              <w:rPr>
                <w:sz w:val="20"/>
                <w:szCs w:val="20"/>
                <w:color w:val="auto"/>
              </w:rPr>
            </w:pPr>
            <w:r>
              <w:rPr>
                <w:rFonts w:ascii="Arial" w:cs="Arial" w:eastAsia="Arial" w:hAnsi="Arial"/>
                <w:sz w:val="18"/>
                <w:szCs w:val="18"/>
                <w:color w:val="auto"/>
                <w:w w:val="97"/>
              </w:rPr>
              <w:t>13.4%</w:t>
            </w:r>
          </w:p>
        </w:tc>
      </w:tr>
      <w:tr>
        <w:trPr>
          <w:trHeight w:val="216"/>
        </w:trPr>
        <w:tc>
          <w:tcPr>
            <w:tcW w:w="7180" w:type="dxa"/>
            <w:vAlign w:val="bottom"/>
            <w:shd w:val="clear" w:color="auto" w:fill="CCEEFF"/>
          </w:tcPr>
          <w:p>
            <w:pPr>
              <w:spacing w:after="0"/>
              <w:rPr>
                <w:sz w:val="20"/>
                <w:szCs w:val="20"/>
                <w:color w:val="auto"/>
              </w:rPr>
            </w:pPr>
            <w:r>
              <w:rPr>
                <w:rFonts w:ascii="Arial" w:cs="Arial" w:eastAsia="Arial" w:hAnsi="Arial"/>
                <w:sz w:val="18"/>
                <w:szCs w:val="18"/>
                <w:color w:val="auto"/>
              </w:rPr>
              <w:t>Customer C</w:t>
            </w:r>
          </w:p>
        </w:tc>
        <w:tc>
          <w:tcPr>
            <w:tcW w:w="7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9.4%</w:t>
            </w:r>
          </w:p>
        </w:tc>
        <w:tc>
          <w:tcPr>
            <w:tcW w:w="7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8.3%</w:t>
            </w: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8.4%</w:t>
            </w:r>
          </w:p>
        </w:tc>
      </w:tr>
    </w:tbl>
    <w:p>
      <w:pPr>
        <w:spacing w:after="0" w:line="220" w:lineRule="exact"/>
        <w:rPr>
          <w:sz w:val="20"/>
          <w:szCs w:val="20"/>
          <w:color w:val="auto"/>
        </w:rPr>
      </w:pPr>
    </w:p>
    <w:tbl>
      <w:tblPr>
        <w:tblLayout w:type="fixed"/>
        <w:tblInd w:w="1324" w:type="dxa"/>
        <w:tblCellMar>
          <w:top w:w="0" w:type="dxa"/>
          <w:left w:w="0" w:type="dxa"/>
          <w:bottom w:w="0" w:type="dxa"/>
          <w:right w:w="0" w:type="dxa"/>
        </w:tblCellMar>
      </w:tblPr>
      <w:tr>
        <w:trPr>
          <w:trHeight w:val="171"/>
        </w:trPr>
        <w:tc>
          <w:tcPr>
            <w:tcW w:w="6980" w:type="dxa"/>
            <w:vAlign w:val="bottom"/>
            <w:tcBorders>
              <w:bottom w:val="single" w:sz="8" w:color="CCEEFF"/>
            </w:tcBorders>
          </w:tcPr>
          <w:p>
            <w:pPr>
              <w:spacing w:after="0"/>
              <w:rPr>
                <w:sz w:val="20"/>
                <w:szCs w:val="20"/>
                <w:color w:val="auto"/>
              </w:rPr>
            </w:pPr>
            <w:r>
              <w:rPr>
                <w:rFonts w:ascii="Arial" w:cs="Arial" w:eastAsia="Arial" w:hAnsi="Arial"/>
                <w:sz w:val="14"/>
                <w:szCs w:val="14"/>
                <w:b w:val="1"/>
                <w:bCs w:val="1"/>
                <w:color w:val="auto"/>
              </w:rPr>
              <w:t>Gross Accounts Receivable - owned fleet</w:t>
            </w:r>
          </w:p>
        </w:tc>
        <w:tc>
          <w:tcPr>
            <w:tcW w:w="380" w:type="dxa"/>
            <w:vAlign w:val="bottom"/>
            <w:tcBorders>
              <w:bottom w:val="single" w:sz="8" w:color="auto"/>
            </w:tcBorders>
          </w:tcPr>
          <w:p>
            <w:pPr>
              <w:ind w:left="40"/>
              <w:spacing w:after="0"/>
              <w:rPr>
                <w:sz w:val="20"/>
                <w:szCs w:val="20"/>
                <w:color w:val="auto"/>
              </w:rPr>
            </w:pPr>
            <w:r>
              <w:rPr>
                <w:rFonts w:ascii="Arial" w:cs="Arial" w:eastAsia="Arial" w:hAnsi="Arial"/>
                <w:sz w:val="14"/>
                <w:szCs w:val="14"/>
                <w:b w:val="1"/>
                <w:bCs w:val="1"/>
                <w:color w:val="auto"/>
              </w:rPr>
              <w:t>2020</w:t>
            </w:r>
          </w:p>
        </w:tc>
        <w:tc>
          <w:tcPr>
            <w:tcW w:w="420" w:type="dxa"/>
            <w:vAlign w:val="bottom"/>
            <w:tcBorders>
              <w:bottom w:val="single" w:sz="8" w:color="CCEEFF"/>
            </w:tcBorders>
          </w:tcPr>
          <w:p>
            <w:pPr>
              <w:spacing w:after="0"/>
              <w:rPr>
                <w:sz w:val="14"/>
                <w:szCs w:val="14"/>
                <w:color w:val="auto"/>
              </w:rPr>
            </w:pP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rPr>
              <w:t>2019</w:t>
            </w:r>
          </w:p>
        </w:tc>
        <w:tc>
          <w:tcPr>
            <w:tcW w:w="200" w:type="dxa"/>
            <w:vAlign w:val="bottom"/>
            <w:tcBorders>
              <w:bottom w:val="single" w:sz="8" w:color="CCEEFF"/>
            </w:tcBorders>
          </w:tcPr>
          <w:p>
            <w:pPr>
              <w:spacing w:after="0"/>
              <w:rPr>
                <w:sz w:val="14"/>
                <w:szCs w:val="14"/>
                <w:color w:val="auto"/>
              </w:rPr>
            </w:pPr>
          </w:p>
        </w:tc>
      </w:tr>
      <w:tr>
        <w:trPr>
          <w:trHeight w:val="210"/>
        </w:trPr>
        <w:tc>
          <w:tcPr>
            <w:tcW w:w="6980" w:type="dxa"/>
            <w:vAlign w:val="bottom"/>
            <w:shd w:val="clear" w:color="auto" w:fill="CCEEFF"/>
          </w:tcPr>
          <w:p>
            <w:pPr>
              <w:spacing w:after="0"/>
              <w:rPr>
                <w:sz w:val="20"/>
                <w:szCs w:val="20"/>
                <w:color w:val="auto"/>
              </w:rPr>
            </w:pPr>
            <w:r>
              <w:rPr>
                <w:rFonts w:ascii="Arial" w:cs="Arial" w:eastAsia="Arial" w:hAnsi="Arial"/>
                <w:sz w:val="18"/>
                <w:szCs w:val="18"/>
                <w:color w:val="auto"/>
              </w:rPr>
              <w:t>Customer A</w:t>
            </w:r>
          </w:p>
        </w:tc>
        <w:tc>
          <w:tcPr>
            <w:tcW w:w="800" w:type="dxa"/>
            <w:vAlign w:val="bottom"/>
            <w:gridSpan w:val="2"/>
            <w:shd w:val="clear" w:color="auto" w:fill="CCEEFF"/>
          </w:tcPr>
          <w:p>
            <w:pPr>
              <w:ind w:left="60"/>
              <w:spacing w:after="0"/>
              <w:rPr>
                <w:sz w:val="20"/>
                <w:szCs w:val="20"/>
                <w:color w:val="auto"/>
              </w:rPr>
            </w:pPr>
            <w:r>
              <w:rPr>
                <w:rFonts w:ascii="Arial" w:cs="Arial" w:eastAsia="Arial" w:hAnsi="Arial"/>
                <w:sz w:val="18"/>
                <w:szCs w:val="18"/>
                <w:color w:val="auto"/>
              </w:rPr>
              <w:t>30.3%</w:t>
            </w:r>
          </w:p>
        </w:tc>
        <w:tc>
          <w:tcPr>
            <w:tcW w:w="5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17.1%</w:t>
            </w:r>
          </w:p>
        </w:tc>
      </w:tr>
      <w:tr>
        <w:trPr>
          <w:trHeight w:val="216"/>
        </w:trPr>
        <w:tc>
          <w:tcPr>
            <w:tcW w:w="6980" w:type="dxa"/>
            <w:vAlign w:val="bottom"/>
          </w:tcPr>
          <w:p>
            <w:pPr>
              <w:spacing w:after="0"/>
              <w:rPr>
                <w:sz w:val="20"/>
                <w:szCs w:val="20"/>
                <w:color w:val="auto"/>
              </w:rPr>
            </w:pPr>
            <w:r>
              <w:rPr>
                <w:rFonts w:ascii="Arial" w:cs="Arial" w:eastAsia="Arial" w:hAnsi="Arial"/>
                <w:sz w:val="18"/>
                <w:szCs w:val="18"/>
                <w:color w:val="auto"/>
              </w:rPr>
              <w:t>Customer B</w:t>
            </w:r>
          </w:p>
        </w:tc>
        <w:tc>
          <w:tcPr>
            <w:tcW w:w="800" w:type="dxa"/>
            <w:vAlign w:val="bottom"/>
            <w:gridSpan w:val="2"/>
          </w:tcPr>
          <w:p>
            <w:pPr>
              <w:ind w:left="60"/>
              <w:spacing w:after="0"/>
              <w:rPr>
                <w:sz w:val="20"/>
                <w:szCs w:val="20"/>
                <w:color w:val="auto"/>
              </w:rPr>
            </w:pPr>
            <w:r>
              <w:rPr>
                <w:rFonts w:ascii="Arial" w:cs="Arial" w:eastAsia="Arial" w:hAnsi="Arial"/>
                <w:sz w:val="18"/>
                <w:szCs w:val="18"/>
                <w:color w:val="auto"/>
              </w:rPr>
              <w:t>12.9%</w:t>
            </w:r>
          </w:p>
        </w:tc>
        <w:tc>
          <w:tcPr>
            <w:tcW w:w="580" w:type="dxa"/>
            <w:vAlign w:val="bottom"/>
            <w:gridSpan w:val="2"/>
          </w:tcPr>
          <w:p>
            <w:pPr>
              <w:jc w:val="right"/>
              <w:ind w:right="40"/>
              <w:spacing w:after="0"/>
              <w:rPr>
                <w:sz w:val="20"/>
                <w:szCs w:val="20"/>
                <w:color w:val="auto"/>
              </w:rPr>
            </w:pPr>
            <w:r>
              <w:rPr>
                <w:rFonts w:ascii="Arial" w:cs="Arial" w:eastAsia="Arial" w:hAnsi="Arial"/>
                <w:sz w:val="18"/>
                <w:szCs w:val="18"/>
                <w:color w:val="auto"/>
              </w:rPr>
              <w:t>11.2%</w:t>
            </w:r>
          </w:p>
        </w:tc>
      </w:tr>
      <w:tr>
        <w:trPr>
          <w:trHeight w:val="216"/>
        </w:trPr>
        <w:tc>
          <w:tcPr>
            <w:tcW w:w="6980" w:type="dxa"/>
            <w:vAlign w:val="bottom"/>
            <w:shd w:val="clear" w:color="auto" w:fill="CCEEFF"/>
          </w:tcPr>
          <w:p>
            <w:pPr>
              <w:spacing w:after="0"/>
              <w:rPr>
                <w:sz w:val="20"/>
                <w:szCs w:val="20"/>
                <w:color w:val="auto"/>
              </w:rPr>
            </w:pPr>
            <w:r>
              <w:rPr>
                <w:rFonts w:ascii="Arial" w:cs="Arial" w:eastAsia="Arial" w:hAnsi="Arial"/>
                <w:sz w:val="18"/>
                <w:szCs w:val="18"/>
                <w:color w:val="auto"/>
              </w:rPr>
              <w:t>Customer C</w:t>
            </w:r>
          </w:p>
        </w:tc>
        <w:tc>
          <w:tcPr>
            <w:tcW w:w="800" w:type="dxa"/>
            <w:vAlign w:val="bottom"/>
            <w:gridSpan w:val="2"/>
            <w:shd w:val="clear" w:color="auto" w:fill="CCEEFF"/>
          </w:tcPr>
          <w:p>
            <w:pPr>
              <w:ind w:left="60"/>
              <w:spacing w:after="0"/>
              <w:rPr>
                <w:sz w:val="20"/>
                <w:szCs w:val="20"/>
                <w:color w:val="auto"/>
              </w:rPr>
            </w:pPr>
            <w:r>
              <w:rPr>
                <w:rFonts w:ascii="Arial" w:cs="Arial" w:eastAsia="Arial" w:hAnsi="Arial"/>
                <w:sz w:val="18"/>
                <w:szCs w:val="18"/>
                <w:color w:val="auto"/>
              </w:rPr>
              <w:t>10.3%</w:t>
            </w:r>
          </w:p>
        </w:tc>
        <w:tc>
          <w:tcPr>
            <w:tcW w:w="5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7.0%</w:t>
            </w:r>
          </w:p>
        </w:tc>
      </w:tr>
    </w:tbl>
    <w:p>
      <w:pPr>
        <w:spacing w:after="0" w:line="202" w:lineRule="exact"/>
        <w:rPr>
          <w:sz w:val="20"/>
          <w:szCs w:val="20"/>
          <w:color w:val="auto"/>
        </w:rPr>
      </w:pPr>
    </w:p>
    <w:p>
      <w:pPr>
        <w:jc w:val="both"/>
        <w:ind w:left="4" w:firstLine="440"/>
        <w:spacing w:after="0" w:line="263" w:lineRule="auto"/>
        <w:rPr>
          <w:sz w:val="20"/>
          <w:szCs w:val="20"/>
          <w:color w:val="auto"/>
        </w:rPr>
      </w:pPr>
      <w:r>
        <w:rPr>
          <w:rFonts w:ascii="Arial" w:cs="Arial" w:eastAsia="Arial" w:hAnsi="Arial"/>
          <w:sz w:val="18"/>
          <w:szCs w:val="18"/>
          <w:color w:val="auto"/>
        </w:rPr>
        <w:t>Total fleet lease rental income, as reported in the consolidated statements of operations, comprises revenue earned from leases on containers in the Company’s total fleet, including revenue earned from leases on containers in its managed fleet. Except for the lessees noted in the table below, no other single lessee accounted for more than</w:t>
      </w:r>
    </w:p>
    <w:p>
      <w:pPr>
        <w:spacing w:after="0" w:line="116"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F-19</w:t>
      </w:r>
    </w:p>
    <w:p>
      <w:pPr>
        <w:sectPr>
          <w:pgSz w:w="11900" w:h="16838" w:orient="portrait"/>
          <w:cols w:equalWidth="0" w:num="1">
            <w:col w:w="10984"/>
          </w:cols>
          <w:pgMar w:left="436" w:top="274" w:right="479" w:bottom="1440" w:gutter="0" w:footer="0" w:header="0"/>
        </w:sectPr>
      </w:pPr>
    </w:p>
    <w:bookmarkStart w:id="133" w:name="page134"/>
    <w:bookmarkEnd w:id="133"/>
    <w:p>
      <w:pPr>
        <w:ind w:left="4" w:right="8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10% of the Company’s total fleet lease rental income during the years ended December 31, 2020, 2019 and 2018, and more than 10% of the Company’s gross accounts receivable from its total fleet as of December 31, 2020 and 2019:</w:t>
      </w:r>
    </w:p>
    <w:p>
      <w:pPr>
        <w:spacing w:after="0" w:line="189" w:lineRule="exact"/>
        <w:rPr>
          <w:sz w:val="20"/>
          <w:szCs w:val="20"/>
          <w:color w:val="auto"/>
        </w:rPr>
      </w:pPr>
    </w:p>
    <w:tbl>
      <w:tblPr>
        <w:tblLayout w:type="fixed"/>
        <w:tblInd w:w="884" w:type="dxa"/>
        <w:tblCellMar>
          <w:top w:w="0" w:type="dxa"/>
          <w:left w:w="0" w:type="dxa"/>
          <w:bottom w:w="0" w:type="dxa"/>
          <w:right w:w="0" w:type="dxa"/>
        </w:tblCellMar>
      </w:tblPr>
      <w:tr>
        <w:trPr>
          <w:trHeight w:val="171"/>
        </w:trPr>
        <w:tc>
          <w:tcPr>
            <w:tcW w:w="7180" w:type="dxa"/>
            <w:vAlign w:val="bottom"/>
            <w:tcBorders>
              <w:bottom w:val="single" w:sz="8" w:color="CCEEFF"/>
            </w:tcBorders>
          </w:tcPr>
          <w:p>
            <w:pPr>
              <w:spacing w:after="0"/>
              <w:rPr>
                <w:sz w:val="20"/>
                <w:szCs w:val="20"/>
                <w:color w:val="auto"/>
              </w:rPr>
            </w:pPr>
            <w:r>
              <w:rPr>
                <w:rFonts w:ascii="Arial" w:cs="Arial" w:eastAsia="Arial" w:hAnsi="Arial"/>
                <w:sz w:val="14"/>
                <w:szCs w:val="14"/>
                <w:b w:val="1"/>
                <w:bCs w:val="1"/>
                <w:color w:val="auto"/>
              </w:rPr>
              <w:t>Lease Rental Income - total fleet</w:t>
            </w: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rPr>
              <w:t>2020</w:t>
            </w:r>
          </w:p>
        </w:tc>
        <w:tc>
          <w:tcPr>
            <w:tcW w:w="380" w:type="dxa"/>
            <w:vAlign w:val="bottom"/>
            <w:tcBorders>
              <w:bottom w:val="single" w:sz="8" w:color="CCEEFF"/>
            </w:tcBorders>
          </w:tcPr>
          <w:p>
            <w:pPr>
              <w:spacing w:after="0"/>
              <w:rPr>
                <w:sz w:val="14"/>
                <w:szCs w:val="14"/>
                <w:color w:val="auto"/>
              </w:rPr>
            </w:pPr>
          </w:p>
        </w:tc>
        <w:tc>
          <w:tcPr>
            <w:tcW w:w="36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w w:val="96"/>
              </w:rPr>
              <w:t>2019</w:t>
            </w:r>
          </w:p>
        </w:tc>
        <w:tc>
          <w:tcPr>
            <w:tcW w:w="380" w:type="dxa"/>
            <w:vAlign w:val="bottom"/>
            <w:tcBorders>
              <w:bottom w:val="single" w:sz="8" w:color="CCEEFF"/>
            </w:tcBorders>
          </w:tcPr>
          <w:p>
            <w:pPr>
              <w:spacing w:after="0"/>
              <w:rPr>
                <w:sz w:val="14"/>
                <w:szCs w:val="14"/>
                <w:color w:val="auto"/>
              </w:rPr>
            </w:pP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w w:val="96"/>
              </w:rPr>
              <w:t>2018</w:t>
            </w:r>
          </w:p>
        </w:tc>
        <w:tc>
          <w:tcPr>
            <w:tcW w:w="200" w:type="dxa"/>
            <w:vAlign w:val="bottom"/>
            <w:tcBorders>
              <w:bottom w:val="single" w:sz="8" w:color="CCEEFF"/>
            </w:tcBorders>
          </w:tcPr>
          <w:p>
            <w:pPr>
              <w:spacing w:after="0"/>
              <w:rPr>
                <w:sz w:val="14"/>
                <w:szCs w:val="14"/>
                <w:color w:val="auto"/>
              </w:rPr>
            </w:pPr>
          </w:p>
        </w:tc>
      </w:tr>
      <w:tr>
        <w:trPr>
          <w:trHeight w:val="209"/>
        </w:trPr>
        <w:tc>
          <w:tcPr>
            <w:tcW w:w="7180" w:type="dxa"/>
            <w:vAlign w:val="bottom"/>
            <w:shd w:val="clear" w:color="auto" w:fill="CCEEFF"/>
          </w:tcPr>
          <w:p>
            <w:pPr>
              <w:spacing w:after="0"/>
              <w:rPr>
                <w:sz w:val="20"/>
                <w:szCs w:val="20"/>
                <w:color w:val="auto"/>
              </w:rPr>
            </w:pPr>
            <w:r>
              <w:rPr>
                <w:rFonts w:ascii="Arial" w:cs="Arial" w:eastAsia="Arial" w:hAnsi="Arial"/>
                <w:sz w:val="18"/>
                <w:szCs w:val="18"/>
                <w:color w:val="auto"/>
              </w:rPr>
              <w:t>Customer A</w:t>
            </w:r>
          </w:p>
        </w:tc>
        <w:tc>
          <w:tcPr>
            <w:tcW w:w="7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17.8%</w:t>
            </w:r>
          </w:p>
        </w:tc>
        <w:tc>
          <w:tcPr>
            <w:tcW w:w="7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w w:val="97"/>
              </w:rPr>
              <w:t>14.8%</w:t>
            </w: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7"/>
              </w:rPr>
              <w:t>13.8%</w:t>
            </w:r>
          </w:p>
        </w:tc>
      </w:tr>
      <w:tr>
        <w:trPr>
          <w:trHeight w:val="216"/>
        </w:trPr>
        <w:tc>
          <w:tcPr>
            <w:tcW w:w="7180" w:type="dxa"/>
            <w:vAlign w:val="bottom"/>
          </w:tcPr>
          <w:p>
            <w:pPr>
              <w:spacing w:after="0"/>
              <w:rPr>
                <w:sz w:val="20"/>
                <w:szCs w:val="20"/>
                <w:color w:val="auto"/>
              </w:rPr>
            </w:pPr>
            <w:r>
              <w:rPr>
                <w:rFonts w:ascii="Arial" w:cs="Arial" w:eastAsia="Arial" w:hAnsi="Arial"/>
                <w:sz w:val="18"/>
                <w:szCs w:val="18"/>
                <w:color w:val="auto"/>
              </w:rPr>
              <w:t>Customer B</w:t>
            </w:r>
          </w:p>
        </w:tc>
        <w:tc>
          <w:tcPr>
            <w:tcW w:w="760" w:type="dxa"/>
            <w:vAlign w:val="bottom"/>
            <w:gridSpan w:val="2"/>
          </w:tcPr>
          <w:p>
            <w:pPr>
              <w:jc w:val="right"/>
              <w:ind w:right="220"/>
              <w:spacing w:after="0"/>
              <w:rPr>
                <w:sz w:val="20"/>
                <w:szCs w:val="20"/>
                <w:color w:val="auto"/>
              </w:rPr>
            </w:pPr>
            <w:r>
              <w:rPr>
                <w:rFonts w:ascii="Arial" w:cs="Arial" w:eastAsia="Arial" w:hAnsi="Arial"/>
                <w:sz w:val="18"/>
                <w:szCs w:val="18"/>
                <w:color w:val="auto"/>
              </w:rPr>
              <w:t>13.3%</w:t>
            </w:r>
          </w:p>
        </w:tc>
        <w:tc>
          <w:tcPr>
            <w:tcW w:w="740" w:type="dxa"/>
            <w:vAlign w:val="bottom"/>
            <w:gridSpan w:val="2"/>
          </w:tcPr>
          <w:p>
            <w:pPr>
              <w:jc w:val="right"/>
              <w:ind w:right="220"/>
              <w:spacing w:after="0"/>
              <w:rPr>
                <w:sz w:val="20"/>
                <w:szCs w:val="20"/>
                <w:color w:val="auto"/>
              </w:rPr>
            </w:pPr>
            <w:r>
              <w:rPr>
                <w:rFonts w:ascii="Arial" w:cs="Arial" w:eastAsia="Arial" w:hAnsi="Arial"/>
                <w:sz w:val="18"/>
                <w:szCs w:val="18"/>
                <w:color w:val="auto"/>
                <w:w w:val="97"/>
              </w:rPr>
              <w:t>13.5%</w:t>
            </w:r>
          </w:p>
        </w:tc>
        <w:tc>
          <w:tcPr>
            <w:tcW w:w="580" w:type="dxa"/>
            <w:vAlign w:val="bottom"/>
            <w:gridSpan w:val="2"/>
          </w:tcPr>
          <w:p>
            <w:pPr>
              <w:jc w:val="right"/>
              <w:ind w:right="60"/>
              <w:spacing w:after="0"/>
              <w:rPr>
                <w:sz w:val="20"/>
                <w:szCs w:val="20"/>
                <w:color w:val="auto"/>
              </w:rPr>
            </w:pPr>
            <w:r>
              <w:rPr>
                <w:rFonts w:ascii="Arial" w:cs="Arial" w:eastAsia="Arial" w:hAnsi="Arial"/>
                <w:sz w:val="18"/>
                <w:szCs w:val="18"/>
                <w:color w:val="auto"/>
                <w:w w:val="97"/>
              </w:rPr>
              <w:t>13.7%</w:t>
            </w:r>
          </w:p>
        </w:tc>
      </w:tr>
      <w:tr>
        <w:trPr>
          <w:trHeight w:val="216"/>
        </w:trPr>
        <w:tc>
          <w:tcPr>
            <w:tcW w:w="7180" w:type="dxa"/>
            <w:vAlign w:val="bottom"/>
            <w:shd w:val="clear" w:color="auto" w:fill="CCEEFF"/>
          </w:tcPr>
          <w:p>
            <w:pPr>
              <w:spacing w:after="0"/>
              <w:rPr>
                <w:sz w:val="20"/>
                <w:szCs w:val="20"/>
                <w:color w:val="auto"/>
              </w:rPr>
            </w:pPr>
            <w:r>
              <w:rPr>
                <w:rFonts w:ascii="Arial" w:cs="Arial" w:eastAsia="Arial" w:hAnsi="Arial"/>
                <w:sz w:val="18"/>
                <w:szCs w:val="18"/>
                <w:color w:val="auto"/>
              </w:rPr>
              <w:t>Customer C</w:t>
            </w:r>
          </w:p>
        </w:tc>
        <w:tc>
          <w:tcPr>
            <w:tcW w:w="7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9.7%</w:t>
            </w:r>
          </w:p>
        </w:tc>
        <w:tc>
          <w:tcPr>
            <w:tcW w:w="7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8.7%</w:t>
            </w: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8.7%</w:t>
            </w:r>
          </w:p>
        </w:tc>
      </w:tr>
    </w:tbl>
    <w:p>
      <w:pPr>
        <w:spacing w:after="0" w:line="220" w:lineRule="exact"/>
        <w:rPr>
          <w:sz w:val="20"/>
          <w:szCs w:val="20"/>
          <w:color w:val="auto"/>
        </w:rPr>
      </w:pPr>
    </w:p>
    <w:tbl>
      <w:tblPr>
        <w:tblLayout w:type="fixed"/>
        <w:tblInd w:w="1324" w:type="dxa"/>
        <w:tblCellMar>
          <w:top w:w="0" w:type="dxa"/>
          <w:left w:w="0" w:type="dxa"/>
          <w:bottom w:w="0" w:type="dxa"/>
          <w:right w:w="0" w:type="dxa"/>
        </w:tblCellMar>
      </w:tblPr>
      <w:tr>
        <w:trPr>
          <w:trHeight w:val="171"/>
        </w:trPr>
        <w:tc>
          <w:tcPr>
            <w:tcW w:w="6980" w:type="dxa"/>
            <w:vAlign w:val="bottom"/>
            <w:tcBorders>
              <w:bottom w:val="single" w:sz="8" w:color="CCEEFF"/>
            </w:tcBorders>
          </w:tcPr>
          <w:p>
            <w:pPr>
              <w:spacing w:after="0"/>
              <w:rPr>
                <w:sz w:val="20"/>
                <w:szCs w:val="20"/>
                <w:color w:val="auto"/>
              </w:rPr>
            </w:pPr>
            <w:r>
              <w:rPr>
                <w:rFonts w:ascii="Arial" w:cs="Arial" w:eastAsia="Arial" w:hAnsi="Arial"/>
                <w:sz w:val="14"/>
                <w:szCs w:val="14"/>
                <w:b w:val="1"/>
                <w:bCs w:val="1"/>
                <w:color w:val="auto"/>
              </w:rPr>
              <w:t>Gross Accounts Receivable - total fleet</w:t>
            </w:r>
          </w:p>
        </w:tc>
        <w:tc>
          <w:tcPr>
            <w:tcW w:w="380" w:type="dxa"/>
            <w:vAlign w:val="bottom"/>
            <w:tcBorders>
              <w:bottom w:val="single" w:sz="8" w:color="auto"/>
            </w:tcBorders>
          </w:tcPr>
          <w:p>
            <w:pPr>
              <w:ind w:left="40"/>
              <w:spacing w:after="0"/>
              <w:rPr>
                <w:sz w:val="20"/>
                <w:szCs w:val="20"/>
                <w:color w:val="auto"/>
              </w:rPr>
            </w:pPr>
            <w:r>
              <w:rPr>
                <w:rFonts w:ascii="Arial" w:cs="Arial" w:eastAsia="Arial" w:hAnsi="Arial"/>
                <w:sz w:val="14"/>
                <w:szCs w:val="14"/>
                <w:b w:val="1"/>
                <w:bCs w:val="1"/>
                <w:color w:val="auto"/>
              </w:rPr>
              <w:t>2020</w:t>
            </w:r>
          </w:p>
        </w:tc>
        <w:tc>
          <w:tcPr>
            <w:tcW w:w="420" w:type="dxa"/>
            <w:vAlign w:val="bottom"/>
            <w:tcBorders>
              <w:bottom w:val="single" w:sz="8" w:color="CCEEFF"/>
            </w:tcBorders>
          </w:tcPr>
          <w:p>
            <w:pPr>
              <w:spacing w:after="0"/>
              <w:rPr>
                <w:sz w:val="14"/>
                <w:szCs w:val="14"/>
                <w:color w:val="auto"/>
              </w:rPr>
            </w:pP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rPr>
              <w:t>2019</w:t>
            </w:r>
          </w:p>
        </w:tc>
        <w:tc>
          <w:tcPr>
            <w:tcW w:w="200" w:type="dxa"/>
            <w:vAlign w:val="bottom"/>
            <w:tcBorders>
              <w:bottom w:val="single" w:sz="8" w:color="CCEEFF"/>
            </w:tcBorders>
          </w:tcPr>
          <w:p>
            <w:pPr>
              <w:spacing w:after="0"/>
              <w:rPr>
                <w:sz w:val="14"/>
                <w:szCs w:val="14"/>
                <w:color w:val="auto"/>
              </w:rPr>
            </w:pPr>
          </w:p>
        </w:tc>
      </w:tr>
      <w:tr>
        <w:trPr>
          <w:trHeight w:val="210"/>
        </w:trPr>
        <w:tc>
          <w:tcPr>
            <w:tcW w:w="6980" w:type="dxa"/>
            <w:vAlign w:val="bottom"/>
            <w:shd w:val="clear" w:color="auto" w:fill="CCEEFF"/>
          </w:tcPr>
          <w:p>
            <w:pPr>
              <w:spacing w:after="0"/>
              <w:rPr>
                <w:sz w:val="20"/>
                <w:szCs w:val="20"/>
                <w:color w:val="auto"/>
              </w:rPr>
            </w:pPr>
            <w:r>
              <w:rPr>
                <w:rFonts w:ascii="Arial" w:cs="Arial" w:eastAsia="Arial" w:hAnsi="Arial"/>
                <w:sz w:val="18"/>
                <w:szCs w:val="18"/>
                <w:color w:val="auto"/>
              </w:rPr>
              <w:t>Customer A</w:t>
            </w:r>
          </w:p>
        </w:tc>
        <w:tc>
          <w:tcPr>
            <w:tcW w:w="800" w:type="dxa"/>
            <w:vAlign w:val="bottom"/>
            <w:gridSpan w:val="2"/>
            <w:shd w:val="clear" w:color="auto" w:fill="CCEEFF"/>
          </w:tcPr>
          <w:p>
            <w:pPr>
              <w:ind w:left="60"/>
              <w:spacing w:after="0"/>
              <w:rPr>
                <w:sz w:val="20"/>
                <w:szCs w:val="20"/>
                <w:color w:val="auto"/>
              </w:rPr>
            </w:pPr>
            <w:r>
              <w:rPr>
                <w:rFonts w:ascii="Arial" w:cs="Arial" w:eastAsia="Arial" w:hAnsi="Arial"/>
                <w:sz w:val="18"/>
                <w:szCs w:val="18"/>
                <w:color w:val="auto"/>
              </w:rPr>
              <w:t>37.7%</w:t>
            </w:r>
          </w:p>
        </w:tc>
        <w:tc>
          <w:tcPr>
            <w:tcW w:w="5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16.6%</w:t>
            </w:r>
          </w:p>
        </w:tc>
      </w:tr>
      <w:tr>
        <w:trPr>
          <w:trHeight w:val="216"/>
        </w:trPr>
        <w:tc>
          <w:tcPr>
            <w:tcW w:w="6980" w:type="dxa"/>
            <w:vAlign w:val="bottom"/>
          </w:tcPr>
          <w:p>
            <w:pPr>
              <w:spacing w:after="0"/>
              <w:rPr>
                <w:sz w:val="20"/>
                <w:szCs w:val="20"/>
                <w:color w:val="auto"/>
              </w:rPr>
            </w:pPr>
            <w:r>
              <w:rPr>
                <w:rFonts w:ascii="Arial" w:cs="Arial" w:eastAsia="Arial" w:hAnsi="Arial"/>
                <w:sz w:val="18"/>
                <w:szCs w:val="18"/>
                <w:color w:val="auto"/>
              </w:rPr>
              <w:t>Customer C</w:t>
            </w:r>
          </w:p>
        </w:tc>
        <w:tc>
          <w:tcPr>
            <w:tcW w:w="800" w:type="dxa"/>
            <w:vAlign w:val="bottom"/>
            <w:gridSpan w:val="2"/>
          </w:tcPr>
          <w:p>
            <w:pPr>
              <w:ind w:left="60"/>
              <w:spacing w:after="0"/>
              <w:rPr>
                <w:sz w:val="20"/>
                <w:szCs w:val="20"/>
                <w:color w:val="auto"/>
              </w:rPr>
            </w:pPr>
            <w:r>
              <w:rPr>
                <w:rFonts w:ascii="Arial" w:cs="Arial" w:eastAsia="Arial" w:hAnsi="Arial"/>
                <w:sz w:val="18"/>
                <w:szCs w:val="18"/>
                <w:color w:val="auto"/>
              </w:rPr>
              <w:t>16.7%</w:t>
            </w:r>
          </w:p>
        </w:tc>
        <w:tc>
          <w:tcPr>
            <w:tcW w:w="580" w:type="dxa"/>
            <w:vAlign w:val="bottom"/>
            <w:gridSpan w:val="2"/>
          </w:tcPr>
          <w:p>
            <w:pPr>
              <w:jc w:val="right"/>
              <w:ind w:right="40"/>
              <w:spacing w:after="0"/>
              <w:rPr>
                <w:sz w:val="20"/>
                <w:szCs w:val="20"/>
                <w:color w:val="auto"/>
              </w:rPr>
            </w:pPr>
            <w:r>
              <w:rPr>
                <w:rFonts w:ascii="Arial" w:cs="Arial" w:eastAsia="Arial" w:hAnsi="Arial"/>
                <w:sz w:val="18"/>
                <w:szCs w:val="18"/>
                <w:color w:val="auto"/>
              </w:rPr>
              <w:t>7.7%</w:t>
            </w:r>
          </w:p>
        </w:tc>
      </w:tr>
      <w:tr>
        <w:trPr>
          <w:trHeight w:val="216"/>
        </w:trPr>
        <w:tc>
          <w:tcPr>
            <w:tcW w:w="6980" w:type="dxa"/>
            <w:vAlign w:val="bottom"/>
            <w:shd w:val="clear" w:color="auto" w:fill="CCEEFF"/>
          </w:tcPr>
          <w:p>
            <w:pPr>
              <w:spacing w:after="0"/>
              <w:rPr>
                <w:sz w:val="20"/>
                <w:szCs w:val="20"/>
                <w:color w:val="auto"/>
              </w:rPr>
            </w:pPr>
            <w:r>
              <w:rPr>
                <w:rFonts w:ascii="Arial" w:cs="Arial" w:eastAsia="Arial" w:hAnsi="Arial"/>
                <w:sz w:val="18"/>
                <w:szCs w:val="18"/>
                <w:color w:val="auto"/>
              </w:rPr>
              <w:t>Customer B</w:t>
            </w:r>
          </w:p>
        </w:tc>
        <w:tc>
          <w:tcPr>
            <w:tcW w:w="800" w:type="dxa"/>
            <w:vAlign w:val="bottom"/>
            <w:gridSpan w:val="2"/>
            <w:shd w:val="clear" w:color="auto" w:fill="CCEEFF"/>
          </w:tcPr>
          <w:p>
            <w:pPr>
              <w:ind w:left="60"/>
              <w:spacing w:after="0"/>
              <w:rPr>
                <w:sz w:val="20"/>
                <w:szCs w:val="20"/>
                <w:color w:val="auto"/>
              </w:rPr>
            </w:pPr>
            <w:r>
              <w:rPr>
                <w:rFonts w:ascii="Arial" w:cs="Arial" w:eastAsia="Arial" w:hAnsi="Arial"/>
                <w:sz w:val="18"/>
                <w:szCs w:val="18"/>
                <w:color w:val="auto"/>
              </w:rPr>
              <w:t>11.6%</w:t>
            </w:r>
          </w:p>
        </w:tc>
        <w:tc>
          <w:tcPr>
            <w:tcW w:w="5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12.0%</w:t>
            </w:r>
          </w:p>
        </w:tc>
      </w:tr>
    </w:tbl>
    <w:p>
      <w:pPr>
        <w:spacing w:after="0" w:line="202" w:lineRule="exact"/>
        <w:rPr>
          <w:sz w:val="20"/>
          <w:szCs w:val="20"/>
          <w:color w:val="auto"/>
        </w:rPr>
      </w:pPr>
    </w:p>
    <w:p>
      <w:pPr>
        <w:ind w:left="4" w:firstLine="440"/>
        <w:spacing w:after="0" w:line="257" w:lineRule="auto"/>
        <w:rPr>
          <w:sz w:val="20"/>
          <w:szCs w:val="20"/>
          <w:color w:val="auto"/>
        </w:rPr>
      </w:pPr>
      <w:r>
        <w:rPr>
          <w:rFonts w:ascii="Arial" w:cs="Arial" w:eastAsia="Arial" w:hAnsi="Arial"/>
          <w:sz w:val="18"/>
          <w:szCs w:val="18"/>
          <w:color w:val="auto"/>
        </w:rPr>
        <w:t>As of December 31, 2020, and 2019, approximately 98.0% and 95.6%, respectively, of the Company’ gross accounts receivable for its total fleet were from container lessees and customers domiciled outside of the U.S. As of December 31, 2020 and 2019, approximately 99.8% and 97.5%, respectively, of the Company’s gross finance lease receivables for its total fleet were from container lessees and customers outside of the U.S. Except for the countries outside of the U.S. noted in the table below, customers in no other single country made up greater than 10% of the Company’s total fleet container lease billings during 2020, 2019 and 2018.</w:t>
      </w:r>
    </w:p>
    <w:p>
      <w:pPr>
        <w:spacing w:after="0" w:line="206" w:lineRule="exact"/>
        <w:rPr>
          <w:sz w:val="20"/>
          <w:szCs w:val="20"/>
          <w:color w:val="auto"/>
        </w:rPr>
      </w:pPr>
    </w:p>
    <w:tbl>
      <w:tblPr>
        <w:tblLayout w:type="fixed"/>
        <w:tblInd w:w="884" w:type="dxa"/>
        <w:tblCellMar>
          <w:top w:w="0" w:type="dxa"/>
          <w:left w:w="0" w:type="dxa"/>
          <w:bottom w:w="0" w:type="dxa"/>
          <w:right w:w="0" w:type="dxa"/>
        </w:tblCellMar>
      </w:tblPr>
      <w:tr>
        <w:trPr>
          <w:trHeight w:val="171"/>
        </w:trPr>
        <w:tc>
          <w:tcPr>
            <w:tcW w:w="54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w w:val="96"/>
              </w:rPr>
              <w:t>Country</w:t>
            </w:r>
          </w:p>
        </w:tc>
        <w:tc>
          <w:tcPr>
            <w:tcW w:w="6640" w:type="dxa"/>
            <w:vAlign w:val="bottom"/>
          </w:tcPr>
          <w:p>
            <w:pPr>
              <w:spacing w:after="0"/>
              <w:rPr>
                <w:sz w:val="14"/>
                <w:szCs w:val="14"/>
                <w:color w:val="auto"/>
              </w:rPr>
            </w:pPr>
          </w:p>
        </w:tc>
        <w:tc>
          <w:tcPr>
            <w:tcW w:w="380" w:type="dxa"/>
            <w:vAlign w:val="bottom"/>
          </w:tcPr>
          <w:p>
            <w:pPr>
              <w:ind w:left="40"/>
              <w:spacing w:after="0"/>
              <w:rPr>
                <w:sz w:val="20"/>
                <w:szCs w:val="20"/>
                <w:color w:val="auto"/>
              </w:rPr>
            </w:pPr>
            <w:r>
              <w:rPr>
                <w:rFonts w:ascii="Arial" w:cs="Arial" w:eastAsia="Arial" w:hAnsi="Arial"/>
                <w:sz w:val="14"/>
                <w:szCs w:val="14"/>
                <w:b w:val="1"/>
                <w:bCs w:val="1"/>
                <w:color w:val="auto"/>
              </w:rPr>
              <w:t>2020</w:t>
            </w:r>
          </w:p>
        </w:tc>
        <w:tc>
          <w:tcPr>
            <w:tcW w:w="380" w:type="dxa"/>
            <w:vAlign w:val="bottom"/>
          </w:tcPr>
          <w:p>
            <w:pPr>
              <w:spacing w:after="0"/>
              <w:rPr>
                <w:sz w:val="14"/>
                <w:szCs w:val="14"/>
                <w:color w:val="auto"/>
              </w:rPr>
            </w:pPr>
          </w:p>
        </w:tc>
        <w:tc>
          <w:tcPr>
            <w:tcW w:w="360" w:type="dxa"/>
            <w:vAlign w:val="bottom"/>
          </w:tcPr>
          <w:p>
            <w:pPr>
              <w:ind w:left="20"/>
              <w:spacing w:after="0"/>
              <w:rPr>
                <w:sz w:val="20"/>
                <w:szCs w:val="20"/>
                <w:color w:val="auto"/>
              </w:rPr>
            </w:pPr>
            <w:r>
              <w:rPr>
                <w:rFonts w:ascii="Arial" w:cs="Arial" w:eastAsia="Arial" w:hAnsi="Arial"/>
                <w:sz w:val="14"/>
                <w:szCs w:val="14"/>
                <w:b w:val="1"/>
                <w:bCs w:val="1"/>
                <w:color w:val="auto"/>
              </w:rPr>
              <w:t>2019</w:t>
            </w:r>
          </w:p>
        </w:tc>
        <w:tc>
          <w:tcPr>
            <w:tcW w:w="380" w:type="dxa"/>
            <w:vAlign w:val="bottom"/>
          </w:tcPr>
          <w:p>
            <w:pPr>
              <w:spacing w:after="0"/>
              <w:rPr>
                <w:sz w:val="14"/>
                <w:szCs w:val="14"/>
                <w:color w:val="auto"/>
              </w:rPr>
            </w:pPr>
          </w:p>
        </w:tc>
        <w:tc>
          <w:tcPr>
            <w:tcW w:w="380" w:type="dxa"/>
            <w:vAlign w:val="bottom"/>
          </w:tcPr>
          <w:p>
            <w:pPr>
              <w:ind w:left="40"/>
              <w:spacing w:after="0"/>
              <w:rPr>
                <w:sz w:val="20"/>
                <w:szCs w:val="20"/>
                <w:color w:val="auto"/>
              </w:rPr>
            </w:pPr>
            <w:r>
              <w:rPr>
                <w:rFonts w:ascii="Arial" w:cs="Arial" w:eastAsia="Arial" w:hAnsi="Arial"/>
                <w:sz w:val="14"/>
                <w:szCs w:val="14"/>
                <w:b w:val="1"/>
                <w:bCs w:val="1"/>
                <w:color w:val="auto"/>
              </w:rPr>
              <w:t>2018</w:t>
            </w:r>
          </w:p>
        </w:tc>
        <w:tc>
          <w:tcPr>
            <w:tcW w:w="2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7180" w:type="dxa"/>
            <w:vAlign w:val="bottom"/>
            <w:gridSpan w:val="2"/>
            <w:vMerge w:val="restart"/>
            <w:shd w:val="clear" w:color="auto" w:fill="CCEEFF"/>
          </w:tcPr>
          <w:p>
            <w:pPr>
              <w:spacing w:after="0"/>
              <w:rPr>
                <w:sz w:val="20"/>
                <w:szCs w:val="20"/>
                <w:color w:val="auto"/>
              </w:rPr>
            </w:pPr>
            <w:r>
              <w:rPr>
                <w:rFonts w:ascii="Arial" w:cs="Arial" w:eastAsia="Arial" w:hAnsi="Arial"/>
                <w:sz w:val="18"/>
                <w:szCs w:val="18"/>
                <w:color w:val="auto"/>
              </w:rPr>
              <w:t>Switzerland</w:t>
            </w:r>
          </w:p>
        </w:tc>
        <w:tc>
          <w:tcPr>
            <w:tcW w:w="380" w:type="dxa"/>
            <w:vAlign w:val="bottom"/>
            <w:shd w:val="clear" w:color="auto" w:fill="000000"/>
          </w:tcPr>
          <w:p>
            <w:pPr>
              <w:spacing w:after="0" w:line="20" w:lineRule="exact"/>
              <w:rPr>
                <w:sz w:val="1"/>
                <w:szCs w:val="1"/>
                <w:color w:val="auto"/>
              </w:rPr>
            </w:pPr>
          </w:p>
        </w:tc>
        <w:tc>
          <w:tcPr>
            <w:tcW w:w="380" w:type="dxa"/>
            <w:vAlign w:val="bottom"/>
            <w:shd w:val="clear" w:color="auto" w:fill="CCEEFF"/>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380" w:type="dxa"/>
            <w:vAlign w:val="bottom"/>
            <w:shd w:val="clear" w:color="auto" w:fill="CCEEFF"/>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3"/>
        </w:trPr>
        <w:tc>
          <w:tcPr>
            <w:tcW w:w="7180" w:type="dxa"/>
            <w:vAlign w:val="bottom"/>
            <w:gridSpan w:val="2"/>
            <w:vMerge w:val="continue"/>
            <w:shd w:val="clear" w:color="auto" w:fill="CCEEFF"/>
          </w:tcPr>
          <w:p>
            <w:pPr>
              <w:spacing w:after="0"/>
              <w:rPr>
                <w:sz w:val="17"/>
                <w:szCs w:val="17"/>
                <w:color w:val="auto"/>
              </w:rPr>
            </w:pPr>
          </w:p>
        </w:tc>
        <w:tc>
          <w:tcPr>
            <w:tcW w:w="760" w:type="dxa"/>
            <w:vAlign w:val="bottom"/>
            <w:gridSpan w:val="2"/>
            <w:shd w:val="clear" w:color="auto" w:fill="CCEEFF"/>
          </w:tcPr>
          <w:p>
            <w:pPr>
              <w:ind w:left="60"/>
              <w:spacing w:after="0" w:line="203" w:lineRule="exact"/>
              <w:rPr>
                <w:sz w:val="20"/>
                <w:szCs w:val="20"/>
                <w:color w:val="auto"/>
              </w:rPr>
            </w:pPr>
            <w:r>
              <w:rPr>
                <w:rFonts w:ascii="Arial" w:cs="Arial" w:eastAsia="Arial" w:hAnsi="Arial"/>
                <w:sz w:val="18"/>
                <w:szCs w:val="18"/>
                <w:color w:val="auto"/>
              </w:rPr>
              <w:t>20.5%</w:t>
            </w:r>
          </w:p>
        </w:tc>
        <w:tc>
          <w:tcPr>
            <w:tcW w:w="740" w:type="dxa"/>
            <w:vAlign w:val="bottom"/>
            <w:gridSpan w:val="2"/>
            <w:shd w:val="clear" w:color="auto" w:fill="CCEEFF"/>
          </w:tcPr>
          <w:p>
            <w:pPr>
              <w:ind w:left="40"/>
              <w:spacing w:after="0" w:line="203" w:lineRule="exact"/>
              <w:rPr>
                <w:sz w:val="20"/>
                <w:szCs w:val="20"/>
                <w:color w:val="auto"/>
              </w:rPr>
            </w:pPr>
            <w:r>
              <w:rPr>
                <w:rFonts w:ascii="Arial" w:cs="Arial" w:eastAsia="Arial" w:hAnsi="Arial"/>
                <w:sz w:val="18"/>
                <w:szCs w:val="18"/>
                <w:color w:val="auto"/>
              </w:rPr>
              <w:t>13.3%</w:t>
            </w:r>
          </w:p>
        </w:tc>
        <w:tc>
          <w:tcPr>
            <w:tcW w:w="580" w:type="dxa"/>
            <w:vAlign w:val="bottom"/>
            <w:gridSpan w:val="2"/>
            <w:shd w:val="clear" w:color="auto" w:fill="CCEEFF"/>
          </w:tcPr>
          <w:p>
            <w:pPr>
              <w:ind w:left="60"/>
              <w:spacing w:after="0" w:line="203" w:lineRule="exact"/>
              <w:rPr>
                <w:sz w:val="20"/>
                <w:szCs w:val="20"/>
                <w:color w:val="auto"/>
              </w:rPr>
            </w:pPr>
            <w:r>
              <w:rPr>
                <w:rFonts w:ascii="Arial" w:cs="Arial" w:eastAsia="Arial" w:hAnsi="Arial"/>
                <w:sz w:val="18"/>
                <w:szCs w:val="18"/>
                <w:color w:val="auto"/>
                <w:w w:val="97"/>
              </w:rPr>
              <w:t>14.1%</w:t>
            </w:r>
          </w:p>
        </w:tc>
        <w:tc>
          <w:tcPr>
            <w:tcW w:w="0" w:type="dxa"/>
            <w:vAlign w:val="bottom"/>
          </w:tcPr>
          <w:p>
            <w:pPr>
              <w:spacing w:after="0"/>
              <w:rPr>
                <w:sz w:val="1"/>
                <w:szCs w:val="1"/>
                <w:color w:val="auto"/>
              </w:rPr>
            </w:pPr>
          </w:p>
        </w:tc>
      </w:tr>
      <w:tr>
        <w:trPr>
          <w:trHeight w:val="216"/>
        </w:trPr>
        <w:tc>
          <w:tcPr>
            <w:tcW w:w="7180" w:type="dxa"/>
            <w:vAlign w:val="bottom"/>
            <w:gridSpan w:val="2"/>
          </w:tcPr>
          <w:p>
            <w:pPr>
              <w:spacing w:after="0"/>
              <w:rPr>
                <w:sz w:val="20"/>
                <w:szCs w:val="20"/>
                <w:color w:val="auto"/>
              </w:rPr>
            </w:pPr>
            <w:r>
              <w:rPr>
                <w:rFonts w:ascii="Arial" w:cs="Arial" w:eastAsia="Arial" w:hAnsi="Arial"/>
                <w:sz w:val="18"/>
                <w:szCs w:val="18"/>
                <w:color w:val="auto"/>
              </w:rPr>
              <w:t>France</w:t>
            </w:r>
          </w:p>
        </w:tc>
        <w:tc>
          <w:tcPr>
            <w:tcW w:w="760" w:type="dxa"/>
            <w:vAlign w:val="bottom"/>
            <w:gridSpan w:val="2"/>
          </w:tcPr>
          <w:p>
            <w:pPr>
              <w:ind w:left="60"/>
              <w:spacing w:after="0"/>
              <w:rPr>
                <w:sz w:val="20"/>
                <w:szCs w:val="20"/>
                <w:color w:val="auto"/>
              </w:rPr>
            </w:pPr>
            <w:r>
              <w:rPr>
                <w:rFonts w:ascii="Arial" w:cs="Arial" w:eastAsia="Arial" w:hAnsi="Arial"/>
                <w:sz w:val="18"/>
                <w:szCs w:val="18"/>
                <w:color w:val="auto"/>
              </w:rPr>
              <w:t>12.7%</w:t>
            </w:r>
          </w:p>
        </w:tc>
        <w:tc>
          <w:tcPr>
            <w:tcW w:w="740" w:type="dxa"/>
            <w:vAlign w:val="bottom"/>
            <w:gridSpan w:val="2"/>
          </w:tcPr>
          <w:p>
            <w:pPr>
              <w:ind w:left="40"/>
              <w:spacing w:after="0"/>
              <w:rPr>
                <w:sz w:val="20"/>
                <w:szCs w:val="20"/>
                <w:color w:val="auto"/>
              </w:rPr>
            </w:pPr>
            <w:r>
              <w:rPr>
                <w:rFonts w:ascii="Arial" w:cs="Arial" w:eastAsia="Arial" w:hAnsi="Arial"/>
                <w:sz w:val="18"/>
                <w:szCs w:val="18"/>
                <w:color w:val="auto"/>
              </w:rPr>
              <w:t>14.0%</w:t>
            </w:r>
          </w:p>
        </w:tc>
        <w:tc>
          <w:tcPr>
            <w:tcW w:w="580" w:type="dxa"/>
            <w:vAlign w:val="bottom"/>
            <w:gridSpan w:val="2"/>
          </w:tcPr>
          <w:p>
            <w:pPr>
              <w:ind w:left="60"/>
              <w:spacing w:after="0"/>
              <w:rPr>
                <w:sz w:val="20"/>
                <w:szCs w:val="20"/>
                <w:color w:val="auto"/>
              </w:rPr>
            </w:pPr>
            <w:r>
              <w:rPr>
                <w:rFonts w:ascii="Arial" w:cs="Arial" w:eastAsia="Arial" w:hAnsi="Arial"/>
                <w:sz w:val="18"/>
                <w:szCs w:val="18"/>
                <w:color w:val="auto"/>
                <w:w w:val="97"/>
              </w:rPr>
              <w:t>13.8%</w:t>
            </w:r>
          </w:p>
        </w:tc>
        <w:tc>
          <w:tcPr>
            <w:tcW w:w="0" w:type="dxa"/>
            <w:vAlign w:val="bottom"/>
          </w:tcPr>
          <w:p>
            <w:pPr>
              <w:spacing w:after="0"/>
              <w:rPr>
                <w:sz w:val="1"/>
                <w:szCs w:val="1"/>
                <w:color w:val="auto"/>
              </w:rPr>
            </w:pPr>
          </w:p>
        </w:tc>
      </w:tr>
      <w:tr>
        <w:trPr>
          <w:trHeight w:val="216"/>
        </w:trPr>
        <w:tc>
          <w:tcPr>
            <w:tcW w:w="71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Taiwan</w:t>
            </w:r>
          </w:p>
        </w:tc>
        <w:tc>
          <w:tcPr>
            <w:tcW w:w="760" w:type="dxa"/>
            <w:vAlign w:val="bottom"/>
            <w:gridSpan w:val="2"/>
            <w:shd w:val="clear" w:color="auto" w:fill="CCEEFF"/>
          </w:tcPr>
          <w:p>
            <w:pPr>
              <w:ind w:left="60"/>
              <w:spacing w:after="0"/>
              <w:rPr>
                <w:sz w:val="20"/>
                <w:szCs w:val="20"/>
                <w:color w:val="auto"/>
              </w:rPr>
            </w:pPr>
            <w:r>
              <w:rPr>
                <w:rFonts w:ascii="Arial" w:cs="Arial" w:eastAsia="Arial" w:hAnsi="Arial"/>
                <w:sz w:val="18"/>
                <w:szCs w:val="18"/>
                <w:color w:val="auto"/>
              </w:rPr>
              <w:t>12.3%</w:t>
            </w:r>
          </w:p>
        </w:tc>
        <w:tc>
          <w:tcPr>
            <w:tcW w:w="740" w:type="dxa"/>
            <w:vAlign w:val="bottom"/>
            <w:gridSpan w:val="2"/>
            <w:shd w:val="clear" w:color="auto" w:fill="CCEEFF"/>
          </w:tcPr>
          <w:p>
            <w:pPr>
              <w:ind w:left="40"/>
              <w:spacing w:after="0"/>
              <w:rPr>
                <w:sz w:val="20"/>
                <w:szCs w:val="20"/>
                <w:color w:val="auto"/>
              </w:rPr>
            </w:pPr>
            <w:r>
              <w:rPr>
                <w:rFonts w:ascii="Arial" w:cs="Arial" w:eastAsia="Arial" w:hAnsi="Arial"/>
                <w:sz w:val="18"/>
                <w:szCs w:val="18"/>
                <w:color w:val="auto"/>
              </w:rPr>
              <w:t>15.5%</w:t>
            </w:r>
          </w:p>
        </w:tc>
        <w:tc>
          <w:tcPr>
            <w:tcW w:w="580" w:type="dxa"/>
            <w:vAlign w:val="bottom"/>
            <w:gridSpan w:val="2"/>
            <w:shd w:val="clear" w:color="auto" w:fill="CCEEFF"/>
          </w:tcPr>
          <w:p>
            <w:pPr>
              <w:ind w:left="60"/>
              <w:spacing w:after="0"/>
              <w:rPr>
                <w:sz w:val="20"/>
                <w:szCs w:val="20"/>
                <w:color w:val="auto"/>
              </w:rPr>
            </w:pPr>
            <w:r>
              <w:rPr>
                <w:rFonts w:ascii="Arial" w:cs="Arial" w:eastAsia="Arial" w:hAnsi="Arial"/>
                <w:sz w:val="18"/>
                <w:szCs w:val="18"/>
                <w:color w:val="auto"/>
                <w:w w:val="97"/>
              </w:rPr>
              <w:t>14.6%</w:t>
            </w:r>
          </w:p>
        </w:tc>
        <w:tc>
          <w:tcPr>
            <w:tcW w:w="0" w:type="dxa"/>
            <w:vAlign w:val="bottom"/>
          </w:tcPr>
          <w:p>
            <w:pPr>
              <w:spacing w:after="0"/>
              <w:rPr>
                <w:sz w:val="1"/>
                <w:szCs w:val="1"/>
                <w:color w:val="auto"/>
              </w:rPr>
            </w:pPr>
          </w:p>
        </w:tc>
      </w:tr>
      <w:tr>
        <w:trPr>
          <w:trHeight w:val="216"/>
        </w:trPr>
        <w:tc>
          <w:tcPr>
            <w:tcW w:w="7180" w:type="dxa"/>
            <w:vAlign w:val="bottom"/>
            <w:gridSpan w:val="2"/>
          </w:tcPr>
          <w:p>
            <w:pPr>
              <w:spacing w:after="0"/>
              <w:rPr>
                <w:sz w:val="20"/>
                <w:szCs w:val="20"/>
                <w:color w:val="auto"/>
              </w:rPr>
            </w:pPr>
            <w:r>
              <w:rPr>
                <w:rFonts w:ascii="Arial" w:cs="Arial" w:eastAsia="Arial" w:hAnsi="Arial"/>
                <w:sz w:val="18"/>
                <w:szCs w:val="18"/>
                <w:color w:val="auto"/>
              </w:rPr>
              <w:t>People’s Republic of China</w:t>
            </w:r>
          </w:p>
        </w:tc>
        <w:tc>
          <w:tcPr>
            <w:tcW w:w="760" w:type="dxa"/>
            <w:vAlign w:val="bottom"/>
            <w:gridSpan w:val="2"/>
          </w:tcPr>
          <w:p>
            <w:pPr>
              <w:ind w:left="80"/>
              <w:spacing w:after="0"/>
              <w:rPr>
                <w:sz w:val="20"/>
                <w:szCs w:val="20"/>
                <w:color w:val="auto"/>
              </w:rPr>
            </w:pPr>
            <w:r>
              <w:rPr>
                <w:rFonts w:ascii="Arial" w:cs="Arial" w:eastAsia="Arial" w:hAnsi="Arial"/>
                <w:sz w:val="18"/>
                <w:szCs w:val="18"/>
                <w:color w:val="auto"/>
              </w:rPr>
              <w:t>11.8%</w:t>
            </w:r>
          </w:p>
        </w:tc>
        <w:tc>
          <w:tcPr>
            <w:tcW w:w="740" w:type="dxa"/>
            <w:vAlign w:val="bottom"/>
            <w:gridSpan w:val="2"/>
          </w:tcPr>
          <w:p>
            <w:pPr>
              <w:ind w:left="40"/>
              <w:spacing w:after="0"/>
              <w:rPr>
                <w:sz w:val="20"/>
                <w:szCs w:val="20"/>
                <w:color w:val="auto"/>
              </w:rPr>
            </w:pPr>
            <w:r>
              <w:rPr>
                <w:rFonts w:ascii="Arial" w:cs="Arial" w:eastAsia="Arial" w:hAnsi="Arial"/>
                <w:sz w:val="18"/>
                <w:szCs w:val="18"/>
                <w:color w:val="auto"/>
              </w:rPr>
              <w:t>14.1%</w:t>
            </w:r>
          </w:p>
        </w:tc>
        <w:tc>
          <w:tcPr>
            <w:tcW w:w="580" w:type="dxa"/>
            <w:vAlign w:val="bottom"/>
            <w:gridSpan w:val="2"/>
          </w:tcPr>
          <w:p>
            <w:pPr>
              <w:ind w:left="60"/>
              <w:spacing w:after="0"/>
              <w:rPr>
                <w:sz w:val="20"/>
                <w:szCs w:val="20"/>
                <w:color w:val="auto"/>
              </w:rPr>
            </w:pPr>
            <w:r>
              <w:rPr>
                <w:rFonts w:ascii="Arial" w:cs="Arial" w:eastAsia="Arial" w:hAnsi="Arial"/>
                <w:sz w:val="18"/>
                <w:szCs w:val="18"/>
                <w:color w:val="auto"/>
                <w:w w:val="97"/>
              </w:rPr>
              <w:t>15.0%</w:t>
            </w:r>
          </w:p>
        </w:tc>
        <w:tc>
          <w:tcPr>
            <w:tcW w:w="0" w:type="dxa"/>
            <w:vAlign w:val="bottom"/>
          </w:tcPr>
          <w:p>
            <w:pPr>
              <w:spacing w:after="0"/>
              <w:rPr>
                <w:sz w:val="1"/>
                <w:szCs w:val="1"/>
                <w:color w:val="auto"/>
              </w:rPr>
            </w:pPr>
          </w:p>
        </w:tc>
      </w:tr>
      <w:tr>
        <w:trPr>
          <w:trHeight w:val="216"/>
        </w:trPr>
        <w:tc>
          <w:tcPr>
            <w:tcW w:w="71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Singapore</w:t>
            </w:r>
          </w:p>
        </w:tc>
        <w:tc>
          <w:tcPr>
            <w:tcW w:w="760" w:type="dxa"/>
            <w:vAlign w:val="bottom"/>
            <w:gridSpan w:val="2"/>
            <w:shd w:val="clear" w:color="auto" w:fill="CCEEFF"/>
          </w:tcPr>
          <w:p>
            <w:pPr>
              <w:ind w:left="80"/>
              <w:spacing w:after="0"/>
              <w:rPr>
                <w:sz w:val="20"/>
                <w:szCs w:val="20"/>
                <w:color w:val="auto"/>
              </w:rPr>
            </w:pPr>
            <w:r>
              <w:rPr>
                <w:rFonts w:ascii="Arial" w:cs="Arial" w:eastAsia="Arial" w:hAnsi="Arial"/>
                <w:sz w:val="18"/>
                <w:szCs w:val="18"/>
                <w:color w:val="auto"/>
              </w:rPr>
              <w:t>11.0%</w:t>
            </w:r>
          </w:p>
        </w:tc>
        <w:tc>
          <w:tcPr>
            <w:tcW w:w="740" w:type="dxa"/>
            <w:vAlign w:val="bottom"/>
            <w:gridSpan w:val="2"/>
            <w:shd w:val="clear" w:color="auto" w:fill="CCEEFF"/>
          </w:tcPr>
          <w:p>
            <w:pPr>
              <w:ind w:left="60"/>
              <w:spacing w:after="0"/>
              <w:rPr>
                <w:sz w:val="20"/>
                <w:szCs w:val="20"/>
                <w:color w:val="auto"/>
              </w:rPr>
            </w:pPr>
            <w:r>
              <w:rPr>
                <w:rFonts w:ascii="Arial" w:cs="Arial" w:eastAsia="Arial" w:hAnsi="Arial"/>
                <w:sz w:val="18"/>
                <w:szCs w:val="18"/>
                <w:color w:val="auto"/>
              </w:rPr>
              <w:t>11.1%</w:t>
            </w:r>
          </w:p>
        </w:tc>
        <w:tc>
          <w:tcPr>
            <w:tcW w:w="580" w:type="dxa"/>
            <w:vAlign w:val="bottom"/>
            <w:gridSpan w:val="2"/>
            <w:shd w:val="clear" w:color="auto" w:fill="CCEEFF"/>
          </w:tcPr>
          <w:p>
            <w:pPr>
              <w:ind w:left="60"/>
              <w:spacing w:after="0"/>
              <w:rPr>
                <w:sz w:val="20"/>
                <w:szCs w:val="20"/>
                <w:color w:val="auto"/>
              </w:rPr>
            </w:pPr>
            <w:r>
              <w:rPr>
                <w:rFonts w:ascii="Arial" w:cs="Arial" w:eastAsia="Arial" w:hAnsi="Arial"/>
                <w:sz w:val="18"/>
                <w:szCs w:val="18"/>
                <w:color w:val="auto"/>
                <w:w w:val="97"/>
              </w:rPr>
              <w:t>10.5%</w:t>
            </w:r>
          </w:p>
        </w:tc>
        <w:tc>
          <w:tcPr>
            <w:tcW w:w="0" w:type="dxa"/>
            <w:vAlign w:val="bottom"/>
          </w:tcPr>
          <w:p>
            <w:pPr>
              <w:spacing w:after="0"/>
              <w:rPr>
                <w:sz w:val="1"/>
                <w:szCs w:val="1"/>
                <w:color w:val="auto"/>
              </w:rPr>
            </w:pPr>
          </w:p>
        </w:tc>
      </w:tr>
    </w:tbl>
    <w:p>
      <w:pPr>
        <w:spacing w:after="0" w:line="350" w:lineRule="exact"/>
        <w:rPr>
          <w:sz w:val="20"/>
          <w:szCs w:val="20"/>
          <w:color w:val="auto"/>
        </w:rPr>
      </w:pPr>
    </w:p>
    <w:p>
      <w:pPr>
        <w:ind w:left="424" w:hanging="424"/>
        <w:spacing w:after="0"/>
        <w:tabs>
          <w:tab w:leader="none" w:pos="424" w:val="left"/>
        </w:tabs>
        <w:numPr>
          <w:ilvl w:val="0"/>
          <w:numId w:val="108"/>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Derivative Instruments and Hedging</w:t>
      </w:r>
    </w:p>
    <w:p>
      <w:pPr>
        <w:spacing w:after="0" w:line="117" w:lineRule="exact"/>
        <w:rPr>
          <w:sz w:val="20"/>
          <w:szCs w:val="20"/>
          <w:color w:val="auto"/>
        </w:rPr>
      </w:pPr>
    </w:p>
    <w:p>
      <w:pPr>
        <w:ind w:left="4" w:right="260" w:firstLine="440"/>
        <w:spacing w:after="0" w:line="257" w:lineRule="auto"/>
        <w:rPr>
          <w:sz w:val="20"/>
          <w:szCs w:val="20"/>
          <w:color w:val="auto"/>
        </w:rPr>
      </w:pPr>
      <w:r>
        <w:rPr>
          <w:rFonts w:ascii="Arial" w:cs="Arial" w:eastAsia="Arial" w:hAnsi="Arial"/>
          <w:sz w:val="18"/>
          <w:szCs w:val="18"/>
          <w:color w:val="auto"/>
        </w:rPr>
        <w:t>The Company has entered into various interest rate swap and cap agreements to mitigate its exposure associated with its variable rate debt. The swap agreements involve payments by the Company to counterparties at fixed rates in return for receipts based upon variable rates indexed to the London Inter Bank Offered Rate (“LIBOR”). The fair value of the derivative instruments is measured at each balance sheet date and is reflected on a gross basis on the consolidated balance sheets. The Company establishes criteria for both the designation and effectiveness of hedging activities. See Note 9 “Derivative Instruments” for further discussions.</w:t>
      </w:r>
    </w:p>
    <w:p>
      <w:pPr>
        <w:spacing w:after="0" w:line="188" w:lineRule="exact"/>
        <w:rPr>
          <w:sz w:val="20"/>
          <w:szCs w:val="20"/>
          <w:color w:val="auto"/>
        </w:rPr>
      </w:pPr>
    </w:p>
    <w:p>
      <w:pPr>
        <w:ind w:left="4" w:right="100" w:firstLine="440"/>
        <w:spacing w:after="0" w:line="257" w:lineRule="auto"/>
        <w:rPr>
          <w:sz w:val="20"/>
          <w:szCs w:val="20"/>
          <w:color w:val="auto"/>
        </w:rPr>
      </w:pPr>
      <w:r>
        <w:rPr>
          <w:rFonts w:ascii="Arial" w:cs="Arial" w:eastAsia="Arial" w:hAnsi="Arial"/>
          <w:sz w:val="18"/>
          <w:szCs w:val="18"/>
          <w:color w:val="auto"/>
        </w:rPr>
        <w:t>If a derivative meets the definition of a cash flow hedge and is so designated, changes in the fair value of the derivative are recorded as a component of accumulated other comprehensive income, net of a provision for income taxes. Changes in the fair value of these derivatives are subsequently reclassified into earnings in the period that the hedged transaction affects earnings. For derivative instruments that do not meet the criteria for hedge accounting, or contracts for which the Company has not elected hedge accounting, the changes in the fair value are recognized in earnings during the period of change.</w:t>
      </w:r>
    </w:p>
    <w:p>
      <w:pPr>
        <w:spacing w:after="0" w:line="336" w:lineRule="exact"/>
        <w:rPr>
          <w:sz w:val="20"/>
          <w:szCs w:val="20"/>
          <w:color w:val="auto"/>
        </w:rPr>
      </w:pPr>
    </w:p>
    <w:p>
      <w:pPr>
        <w:ind w:left="424" w:hanging="424"/>
        <w:spacing w:after="0"/>
        <w:tabs>
          <w:tab w:leader="none" w:pos="424" w:val="left"/>
        </w:tabs>
        <w:numPr>
          <w:ilvl w:val="0"/>
          <w:numId w:val="109"/>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Share Options and Restricted Share Units</w:t>
      </w:r>
    </w:p>
    <w:p>
      <w:pPr>
        <w:spacing w:after="0" w:line="117" w:lineRule="exact"/>
        <w:rPr>
          <w:sz w:val="20"/>
          <w:szCs w:val="20"/>
          <w:color w:val="auto"/>
        </w:rPr>
      </w:pPr>
    </w:p>
    <w:p>
      <w:pPr>
        <w:ind w:left="4" w:firstLine="440"/>
        <w:spacing w:after="0" w:line="273" w:lineRule="auto"/>
        <w:rPr>
          <w:sz w:val="20"/>
          <w:szCs w:val="20"/>
          <w:color w:val="auto"/>
        </w:rPr>
      </w:pPr>
      <w:r>
        <w:rPr>
          <w:rFonts w:ascii="Arial" w:cs="Arial" w:eastAsia="Arial" w:hAnsi="Arial"/>
          <w:sz w:val="17"/>
          <w:szCs w:val="17"/>
          <w:color w:val="auto"/>
        </w:rPr>
        <w:t>The Company estimates the fair value of all employee share options, restricted share units (“RSU”) and performance restricted share units (“PSU”) awarded under its 2019 Share Incentive Plan (the “2019 Plan”) on the grant date. The Company uses the Black-Scholes-Merton (“Black-Scholes”) option-pricing model to determine the estimated fair value for share options. The Company uses the fair market value of the Company’s common shares on the grant date, discounted for estimated dividends that will not be received by the employees during the vesting period, for determining the estimated fair value for time based RSUs. For PSUs or market based restricted share units that were granted with a market condition, the Company uses the Monte-Carlo simulation valuation model. See Note 12 “Share-Based Compensation” for further discussions.</w:t>
      </w:r>
    </w:p>
    <w:p>
      <w:pPr>
        <w:spacing w:after="0" w:line="110"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F-20</w:t>
      </w:r>
    </w:p>
    <w:p>
      <w:pPr>
        <w:sectPr>
          <w:pgSz w:w="11900" w:h="16838" w:orient="portrait"/>
          <w:cols w:equalWidth="0" w:num="1">
            <w:col w:w="11004"/>
          </w:cols>
          <w:pgMar w:left="436" w:top="274" w:right="459" w:bottom="1440" w:gutter="0" w:footer="0" w:header="0"/>
        </w:sectPr>
      </w:pPr>
    </w:p>
    <w:bookmarkStart w:id="134" w:name="page135"/>
    <w:bookmarkEnd w:id="134"/>
    <w:p>
      <w:pPr>
        <w:jc w:val="both"/>
        <w:ind w:left="4" w:right="60" w:firstLine="440"/>
        <w:spacing w:after="0" w:line="29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Compensation expense for share options and RSUs with only a service condition is recognized on a straight-line basis over the requisite service period, generally the vesting period of the award. Provided that the requisite service period is rendered, compensation expense for PSUs with a market condition is recognized on a straight-line basis even if the market condition is not achieved. Compensation expense is recognized net of forfeitures that are estimated at the time of grant based on the Company’s historical experience and revised in subsequent periods if actual forfeitures differ from those estimates. The expected forfeiture rate was 3.5%, 3.4% and 4.3% as of December 31, 2020, 2019 and 2018, respectively.</w:t>
      </w:r>
    </w:p>
    <w:p>
      <w:pPr>
        <w:spacing w:after="0" w:line="161" w:lineRule="exact"/>
        <w:rPr>
          <w:sz w:val="20"/>
          <w:szCs w:val="20"/>
          <w:color w:val="auto"/>
        </w:rPr>
      </w:pPr>
    </w:p>
    <w:p>
      <w:pPr>
        <w:jc w:val="both"/>
        <w:ind w:left="4" w:right="440" w:firstLine="440"/>
        <w:spacing w:after="0" w:line="311" w:lineRule="auto"/>
        <w:rPr>
          <w:sz w:val="20"/>
          <w:szCs w:val="20"/>
          <w:color w:val="auto"/>
        </w:rPr>
      </w:pPr>
      <w:r>
        <w:rPr>
          <w:rFonts w:ascii="Arial" w:cs="Arial" w:eastAsia="Arial" w:hAnsi="Arial"/>
          <w:sz w:val="16"/>
          <w:szCs w:val="16"/>
          <w:color w:val="auto"/>
        </w:rPr>
        <w:t>Share-based compensation expense of $4,723, $4,388 and $7,355 was recorded during 2020, 2019 and 2018, respectively, of which $4,257, $3,780 and $6,746 was presented as a part of “general and administrative expenses”, and the remaining balance was presented as a part of “direct container expenses – owned fleet” during 2020, 2019 and 2018, respectively in the Company’s consolidated statements of operations.</w:t>
      </w:r>
    </w:p>
    <w:p>
      <w:pPr>
        <w:spacing w:after="0" w:line="297" w:lineRule="exact"/>
        <w:rPr>
          <w:sz w:val="20"/>
          <w:szCs w:val="20"/>
          <w:color w:val="auto"/>
        </w:rPr>
      </w:pPr>
    </w:p>
    <w:p>
      <w:pPr>
        <w:ind w:left="424" w:hanging="424"/>
        <w:spacing w:after="0"/>
        <w:tabs>
          <w:tab w:leader="none" w:pos="424" w:val="left"/>
        </w:tabs>
        <w:numPr>
          <w:ilvl w:val="0"/>
          <w:numId w:val="110"/>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Comprehensive Income</w:t>
      </w:r>
    </w:p>
    <w:p>
      <w:pPr>
        <w:spacing w:after="0" w:line="117" w:lineRule="exact"/>
        <w:rPr>
          <w:sz w:val="20"/>
          <w:szCs w:val="20"/>
          <w:color w:val="auto"/>
        </w:rPr>
      </w:pPr>
    </w:p>
    <w:p>
      <w:pPr>
        <w:ind w:left="4" w:firstLine="440"/>
        <w:spacing w:after="0" w:line="263" w:lineRule="auto"/>
        <w:rPr>
          <w:sz w:val="20"/>
          <w:szCs w:val="20"/>
          <w:color w:val="auto"/>
        </w:rPr>
      </w:pPr>
      <w:r>
        <w:rPr>
          <w:rFonts w:ascii="Arial" w:cs="Arial" w:eastAsia="Arial" w:hAnsi="Arial"/>
          <w:sz w:val="18"/>
          <w:szCs w:val="18"/>
          <w:color w:val="auto"/>
        </w:rPr>
        <w:t>The Company discloses the effect of its foreign currency translation adjustment, change in fair value of cash flow hedging derivative instruments, and reclassification of realized gain or loss on cash flow hedging instruments as components of “other comprehensive income” in the Company’s consolidated statements of comprehensive income.</w:t>
      </w:r>
    </w:p>
    <w:p>
      <w:pPr>
        <w:spacing w:after="0" w:line="332" w:lineRule="exact"/>
        <w:rPr>
          <w:sz w:val="20"/>
          <w:szCs w:val="20"/>
          <w:color w:val="auto"/>
        </w:rPr>
      </w:pPr>
    </w:p>
    <w:p>
      <w:pPr>
        <w:ind w:left="424" w:hanging="424"/>
        <w:spacing w:after="0"/>
        <w:tabs>
          <w:tab w:leader="none" w:pos="424" w:val="left"/>
        </w:tabs>
        <w:numPr>
          <w:ilvl w:val="0"/>
          <w:numId w:val="111"/>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Estimates</w:t>
      </w:r>
    </w:p>
    <w:p>
      <w:pPr>
        <w:spacing w:after="0" w:line="117" w:lineRule="exact"/>
        <w:rPr>
          <w:sz w:val="20"/>
          <w:szCs w:val="20"/>
          <w:color w:val="auto"/>
        </w:rPr>
      </w:pPr>
    </w:p>
    <w:p>
      <w:pPr>
        <w:ind w:left="4" w:right="40" w:firstLine="440"/>
        <w:spacing w:after="0" w:line="257" w:lineRule="auto"/>
        <w:rPr>
          <w:sz w:val="20"/>
          <w:szCs w:val="20"/>
          <w:color w:val="auto"/>
        </w:rPr>
      </w:pPr>
      <w:r>
        <w:rPr>
          <w:rFonts w:ascii="Arial" w:cs="Arial" w:eastAsia="Arial" w:hAnsi="Arial"/>
          <w:sz w:val="18"/>
          <w:szCs w:val="18"/>
          <w:color w:val="auto"/>
        </w:rPr>
        <w:t>The preparation of consolidated financial statements in conformity with accounting principles generally accepted in the United States of America requires the Company’s management to make estimates and assumptions that affect the reported amounts of assets and liabilities and disclosure of contingent assets and liabilities at the date of the consolidated financial statements and the reported amounts of revenues and expenses during the reporting period. The Company’s management evaluates its estimates on an ongoing basis, including those related to the container rental equipment, intangible assets, accounts receivable, income taxes and accruals.</w:t>
      </w:r>
    </w:p>
    <w:p>
      <w:pPr>
        <w:spacing w:after="0" w:line="188" w:lineRule="exact"/>
        <w:rPr>
          <w:sz w:val="20"/>
          <w:szCs w:val="20"/>
          <w:color w:val="auto"/>
        </w:rPr>
      </w:pPr>
    </w:p>
    <w:p>
      <w:pPr>
        <w:jc w:val="both"/>
        <w:ind w:left="4" w:right="120" w:firstLine="440"/>
        <w:spacing w:after="0" w:line="263" w:lineRule="auto"/>
        <w:rPr>
          <w:sz w:val="20"/>
          <w:szCs w:val="20"/>
          <w:color w:val="auto"/>
        </w:rPr>
      </w:pPr>
      <w:r>
        <w:rPr>
          <w:rFonts w:ascii="Arial" w:cs="Arial" w:eastAsia="Arial" w:hAnsi="Arial"/>
          <w:sz w:val="18"/>
          <w:szCs w:val="18"/>
          <w:color w:val="auto"/>
        </w:rPr>
        <w:t>These estimates are based on historical experience and on various other assumptions that are believed to be reasonable under the circumstances, the results of which form the basis for making judgments regarding the carrying values of assets and liabilities. Actual results could differ from those estimates under different assumptions or conditions.</w:t>
      </w:r>
    </w:p>
    <w:p>
      <w:pPr>
        <w:spacing w:after="0" w:line="116" w:lineRule="exact"/>
        <w:rPr>
          <w:sz w:val="20"/>
          <w:szCs w:val="20"/>
          <w:color w:val="auto"/>
        </w:rPr>
      </w:pPr>
    </w:p>
    <w:p>
      <w:pPr>
        <w:jc w:val="center"/>
        <w:ind w:right="-83"/>
        <w:spacing w:after="0"/>
        <w:rPr>
          <w:sz w:val="20"/>
          <w:szCs w:val="20"/>
          <w:color w:val="auto"/>
        </w:rPr>
      </w:pPr>
      <w:r>
        <w:rPr>
          <w:rFonts w:ascii="Arial" w:cs="Arial" w:eastAsia="Arial" w:hAnsi="Arial"/>
          <w:sz w:val="18"/>
          <w:szCs w:val="18"/>
          <w:color w:val="auto"/>
        </w:rPr>
        <w:t>F-21</w:t>
      </w:r>
    </w:p>
    <w:p>
      <w:pPr>
        <w:sectPr>
          <w:pgSz w:w="11900" w:h="16838" w:orient="portrait"/>
          <w:cols w:equalWidth="0" w:num="1">
            <w:col w:w="10924"/>
          </w:cols>
          <w:pgMar w:left="436" w:top="274" w:right="539" w:bottom="1440" w:gutter="0" w:footer="0" w:header="0"/>
        </w:sectPr>
      </w:pPr>
    </w:p>
    <w:bookmarkStart w:id="135" w:name="page136"/>
    <w:bookmarkEnd w:id="135"/>
    <w:p>
      <w:pPr>
        <w:ind w:left="424" w:hanging="424"/>
        <w:spacing w:after="0"/>
        <w:tabs>
          <w:tab w:leader="none" w:pos="424" w:val="left"/>
        </w:tabs>
        <w:numPr>
          <w:ilvl w:val="0"/>
          <w:numId w:val="112"/>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Net Income Attributable to Textainer Group Holdings Limited Common Shareholders Per Share</w:t>
      </w:r>
    </w:p>
    <w:p>
      <w:pPr>
        <w:spacing w:after="0" w:line="117" w:lineRule="exact"/>
        <w:rPr>
          <w:sz w:val="20"/>
          <w:szCs w:val="20"/>
          <w:color w:val="auto"/>
        </w:rPr>
      </w:pPr>
    </w:p>
    <w:p>
      <w:pPr>
        <w:ind w:left="4" w:firstLine="440"/>
        <w:spacing w:after="0" w:line="296" w:lineRule="auto"/>
        <w:rPr>
          <w:sz w:val="20"/>
          <w:szCs w:val="20"/>
          <w:color w:val="auto"/>
        </w:rPr>
      </w:pPr>
      <w:r>
        <w:rPr>
          <w:rFonts w:ascii="Arial" w:cs="Arial" w:eastAsia="Arial" w:hAnsi="Arial"/>
          <w:sz w:val="16"/>
          <w:szCs w:val="16"/>
          <w:color w:val="auto"/>
        </w:rPr>
        <w:t>Basic earnings per share (“EPS”) is computed by dividing net income attributable to Textainer Group Holdings Limited common shareholders by the weighted average number of shares outstanding during the applicable period. Diluted EPS reflects the potential dilution that could occur if all outstanding share options were exercised for, and all outstanding RSUs and PSUs were converted into, common shares. Potentially dilutive share options, RSUs and PSUs that were anti-dilutive under the treasury stock method were excluded from the computation of diluted EPS. A reconciliation of the numerator and denominator of basic EPS with that of diluted EPS during 2020, 2019 and 2018 is presented as follows:</w:t>
      </w:r>
    </w:p>
    <w:p>
      <w:pPr>
        <w:spacing w:after="0" w:line="180" w:lineRule="exact"/>
        <w:rPr>
          <w:sz w:val="20"/>
          <w:szCs w:val="20"/>
          <w:color w:val="auto"/>
        </w:rPr>
      </w:pPr>
    </w:p>
    <w:tbl>
      <w:tblPr>
        <w:tblLayout w:type="fixed"/>
        <w:tblInd w:w="884" w:type="dxa"/>
        <w:tblCellMar>
          <w:top w:w="0" w:type="dxa"/>
          <w:left w:w="0" w:type="dxa"/>
          <w:bottom w:w="0" w:type="dxa"/>
          <w:right w:w="0" w:type="dxa"/>
        </w:tblCellMar>
      </w:tblPr>
      <w:tr>
        <w:trPr>
          <w:trHeight w:val="171"/>
        </w:trPr>
        <w:tc>
          <w:tcPr>
            <w:tcW w:w="6540" w:type="dxa"/>
            <w:vAlign w:val="bottom"/>
            <w:tcBorders>
              <w:bottom w:val="single" w:sz="8" w:color="CCEEFF"/>
            </w:tcBorders>
          </w:tcPr>
          <w:p>
            <w:pPr>
              <w:spacing w:after="0"/>
              <w:rPr>
                <w:sz w:val="20"/>
                <w:szCs w:val="20"/>
                <w:color w:val="auto"/>
              </w:rPr>
            </w:pPr>
            <w:r>
              <w:rPr>
                <w:rFonts w:ascii="Arial" w:cs="Arial" w:eastAsia="Arial" w:hAnsi="Arial"/>
                <w:sz w:val="14"/>
                <w:szCs w:val="14"/>
                <w:i w:val="1"/>
                <w:iCs w:val="1"/>
                <w:color w:val="auto"/>
              </w:rPr>
              <w:t>Share amounts in thousands</w:t>
            </w:r>
          </w:p>
        </w:tc>
        <w:tc>
          <w:tcPr>
            <w:tcW w:w="240" w:type="dxa"/>
            <w:vAlign w:val="bottom"/>
            <w:tcBorders>
              <w:bottom w:val="single" w:sz="8" w:color="CCEEFF"/>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72"/>
              <w:spacing w:after="0"/>
              <w:rPr>
                <w:sz w:val="20"/>
                <w:szCs w:val="20"/>
                <w:color w:val="auto"/>
              </w:rPr>
            </w:pPr>
            <w:r>
              <w:rPr>
                <w:rFonts w:ascii="Arial" w:cs="Arial" w:eastAsia="Arial" w:hAnsi="Arial"/>
                <w:sz w:val="14"/>
                <w:szCs w:val="14"/>
                <w:b w:val="1"/>
                <w:bCs w:val="1"/>
                <w:color w:val="auto"/>
              </w:rPr>
              <w:t>2020</w:t>
            </w:r>
          </w:p>
        </w:tc>
        <w:tc>
          <w:tcPr>
            <w:tcW w:w="32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72"/>
              <w:spacing w:after="0"/>
              <w:rPr>
                <w:sz w:val="20"/>
                <w:szCs w:val="20"/>
                <w:color w:val="auto"/>
              </w:rPr>
            </w:pPr>
            <w:r>
              <w:rPr>
                <w:rFonts w:ascii="Arial" w:cs="Arial" w:eastAsia="Arial" w:hAnsi="Arial"/>
                <w:sz w:val="14"/>
                <w:szCs w:val="14"/>
                <w:b w:val="1"/>
                <w:bCs w:val="1"/>
                <w:color w:val="auto"/>
              </w:rPr>
              <w:t>2019</w:t>
            </w:r>
          </w:p>
        </w:tc>
        <w:tc>
          <w:tcPr>
            <w:tcW w:w="32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72"/>
              <w:spacing w:after="0"/>
              <w:rPr>
                <w:sz w:val="20"/>
                <w:szCs w:val="20"/>
                <w:color w:val="auto"/>
              </w:rPr>
            </w:pPr>
            <w:r>
              <w:rPr>
                <w:rFonts w:ascii="Arial" w:cs="Arial" w:eastAsia="Arial" w:hAnsi="Arial"/>
                <w:sz w:val="14"/>
                <w:szCs w:val="14"/>
                <w:b w:val="1"/>
                <w:bCs w:val="1"/>
                <w:color w:val="auto"/>
              </w:rPr>
              <w:t>2018</w:t>
            </w:r>
          </w:p>
        </w:tc>
        <w:tc>
          <w:tcPr>
            <w:tcW w:w="60" w:type="dxa"/>
            <w:vAlign w:val="bottom"/>
            <w:tcBorders>
              <w:bottom w:val="single" w:sz="8" w:color="CCEEFF"/>
            </w:tcBorders>
          </w:tcPr>
          <w:p>
            <w:pPr>
              <w:spacing w:after="0"/>
              <w:rPr>
                <w:sz w:val="14"/>
                <w:szCs w:val="14"/>
                <w:color w:val="auto"/>
              </w:rPr>
            </w:pPr>
          </w:p>
        </w:tc>
      </w:tr>
      <w:tr>
        <w:trPr>
          <w:trHeight w:val="196"/>
        </w:trPr>
        <w:tc>
          <w:tcPr>
            <w:tcW w:w="6540" w:type="dxa"/>
            <w:vAlign w:val="bottom"/>
            <w:shd w:val="clear" w:color="auto" w:fill="CCEEFF"/>
          </w:tcPr>
          <w:p>
            <w:pPr>
              <w:spacing w:after="0" w:line="196" w:lineRule="exact"/>
              <w:rPr>
                <w:sz w:val="20"/>
                <w:szCs w:val="20"/>
                <w:color w:val="auto"/>
              </w:rPr>
            </w:pPr>
            <w:r>
              <w:rPr>
                <w:rFonts w:ascii="Arial" w:cs="Arial" w:eastAsia="Arial" w:hAnsi="Arial"/>
                <w:sz w:val="18"/>
                <w:szCs w:val="18"/>
                <w:i w:val="1"/>
                <w:iCs w:val="1"/>
                <w:color w:val="auto"/>
              </w:rPr>
              <w:t>Numerator:</w:t>
            </w:r>
          </w:p>
        </w:tc>
        <w:tc>
          <w:tcPr>
            <w:tcW w:w="2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r>
      <w:tr>
        <w:trPr>
          <w:trHeight w:val="216"/>
        </w:trPr>
        <w:tc>
          <w:tcPr>
            <w:tcW w:w="6540" w:type="dxa"/>
            <w:vAlign w:val="bottom"/>
          </w:tcPr>
          <w:p>
            <w:pPr>
              <w:spacing w:after="0"/>
              <w:rPr>
                <w:sz w:val="20"/>
                <w:szCs w:val="20"/>
                <w:color w:val="auto"/>
              </w:rPr>
            </w:pPr>
            <w:r>
              <w:rPr>
                <w:rFonts w:ascii="Arial" w:cs="Arial" w:eastAsia="Arial" w:hAnsi="Arial"/>
                <w:sz w:val="18"/>
                <w:szCs w:val="18"/>
                <w:color w:val="auto"/>
                <w:w w:val="98"/>
              </w:rPr>
              <w:t>Net income attributable to Textainer Group Holdings Limited common shareholders</w:t>
            </w:r>
          </w:p>
        </w:tc>
        <w:tc>
          <w:tcPr>
            <w:tcW w:w="3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500" w:type="dxa"/>
            <w:vAlign w:val="bottom"/>
          </w:tcPr>
          <w:p>
            <w:pPr>
              <w:jc w:val="right"/>
              <w:spacing w:after="0"/>
              <w:rPr>
                <w:sz w:val="20"/>
                <w:szCs w:val="20"/>
                <w:color w:val="auto"/>
              </w:rPr>
            </w:pPr>
            <w:r>
              <w:rPr>
                <w:rFonts w:ascii="Arial" w:cs="Arial" w:eastAsia="Arial" w:hAnsi="Arial"/>
                <w:sz w:val="18"/>
                <w:szCs w:val="18"/>
                <w:color w:val="auto"/>
                <w:w w:val="87"/>
              </w:rPr>
              <w:t>72,822</w:t>
            </w:r>
          </w:p>
        </w:tc>
        <w:tc>
          <w:tcPr>
            <w:tcW w:w="4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500" w:type="dxa"/>
            <w:vAlign w:val="bottom"/>
          </w:tcPr>
          <w:p>
            <w:pPr>
              <w:jc w:val="right"/>
              <w:spacing w:after="0"/>
              <w:rPr>
                <w:sz w:val="20"/>
                <w:szCs w:val="20"/>
                <w:color w:val="auto"/>
              </w:rPr>
            </w:pPr>
            <w:r>
              <w:rPr>
                <w:rFonts w:ascii="Arial" w:cs="Arial" w:eastAsia="Arial" w:hAnsi="Arial"/>
                <w:sz w:val="18"/>
                <w:szCs w:val="18"/>
                <w:color w:val="auto"/>
                <w:w w:val="87"/>
              </w:rPr>
              <w:t>56,724</w:t>
            </w:r>
          </w:p>
        </w:tc>
        <w:tc>
          <w:tcPr>
            <w:tcW w:w="42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500" w:type="dxa"/>
            <w:vAlign w:val="bottom"/>
          </w:tcPr>
          <w:p>
            <w:pPr>
              <w:jc w:val="right"/>
              <w:spacing w:after="0"/>
              <w:rPr>
                <w:sz w:val="20"/>
                <w:szCs w:val="20"/>
                <w:color w:val="auto"/>
              </w:rPr>
            </w:pPr>
            <w:r>
              <w:rPr>
                <w:rFonts w:ascii="Arial" w:cs="Arial" w:eastAsia="Arial" w:hAnsi="Arial"/>
                <w:sz w:val="18"/>
                <w:szCs w:val="18"/>
                <w:color w:val="auto"/>
                <w:w w:val="87"/>
              </w:rPr>
              <w:t>50,378</w:t>
            </w:r>
          </w:p>
        </w:tc>
        <w:tc>
          <w:tcPr>
            <w:tcW w:w="60" w:type="dxa"/>
            <w:vAlign w:val="bottom"/>
          </w:tcPr>
          <w:p>
            <w:pPr>
              <w:spacing w:after="0"/>
              <w:rPr>
                <w:sz w:val="18"/>
                <w:szCs w:val="18"/>
                <w:color w:val="auto"/>
              </w:rPr>
            </w:pPr>
          </w:p>
        </w:tc>
      </w:tr>
      <w:tr>
        <w:trPr>
          <w:trHeight w:val="216"/>
        </w:trPr>
        <w:tc>
          <w:tcPr>
            <w:tcW w:w="6540" w:type="dxa"/>
            <w:vAlign w:val="bottom"/>
            <w:shd w:val="clear" w:color="auto" w:fill="CCEEFF"/>
          </w:tcPr>
          <w:p>
            <w:pPr>
              <w:spacing w:after="0"/>
              <w:rPr>
                <w:sz w:val="20"/>
                <w:szCs w:val="20"/>
                <w:color w:val="auto"/>
              </w:rPr>
            </w:pPr>
            <w:r>
              <w:rPr>
                <w:rFonts w:ascii="Arial" w:cs="Arial" w:eastAsia="Arial" w:hAnsi="Arial"/>
                <w:sz w:val="18"/>
                <w:szCs w:val="18"/>
                <w:i w:val="1"/>
                <w:iCs w:val="1"/>
                <w:color w:val="auto"/>
              </w:rPr>
              <w:t>Denominator:</w:t>
            </w:r>
          </w:p>
        </w:tc>
        <w:tc>
          <w:tcPr>
            <w:tcW w:w="2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r>
      <w:tr>
        <w:trPr>
          <w:trHeight w:val="216"/>
        </w:trPr>
        <w:tc>
          <w:tcPr>
            <w:tcW w:w="6540" w:type="dxa"/>
            <w:vAlign w:val="bottom"/>
          </w:tcPr>
          <w:p>
            <w:pPr>
              <w:spacing w:after="0"/>
              <w:rPr>
                <w:sz w:val="20"/>
                <w:szCs w:val="20"/>
                <w:color w:val="auto"/>
              </w:rPr>
            </w:pPr>
            <w:r>
              <w:rPr>
                <w:rFonts w:ascii="Arial" w:cs="Arial" w:eastAsia="Arial" w:hAnsi="Arial"/>
                <w:sz w:val="18"/>
                <w:szCs w:val="18"/>
                <w:color w:val="auto"/>
              </w:rPr>
              <w:t>Weighted average common shares outstanding — basic</w:t>
            </w:r>
          </w:p>
        </w:tc>
        <w:tc>
          <w:tcPr>
            <w:tcW w:w="2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w w:val="87"/>
              </w:rPr>
              <w:t>53,271</w:t>
            </w:r>
          </w:p>
        </w:tc>
        <w:tc>
          <w:tcPr>
            <w:tcW w:w="3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w w:val="87"/>
              </w:rPr>
              <w:t>57,349</w:t>
            </w:r>
          </w:p>
        </w:tc>
        <w:tc>
          <w:tcPr>
            <w:tcW w:w="3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w w:val="87"/>
              </w:rPr>
              <w:t>57,200</w:t>
            </w:r>
          </w:p>
        </w:tc>
        <w:tc>
          <w:tcPr>
            <w:tcW w:w="60" w:type="dxa"/>
            <w:vAlign w:val="bottom"/>
          </w:tcPr>
          <w:p>
            <w:pPr>
              <w:spacing w:after="0"/>
              <w:rPr>
                <w:sz w:val="18"/>
                <w:szCs w:val="18"/>
                <w:color w:val="auto"/>
              </w:rPr>
            </w:pPr>
          </w:p>
        </w:tc>
      </w:tr>
      <w:tr>
        <w:trPr>
          <w:trHeight w:val="216"/>
        </w:trPr>
        <w:tc>
          <w:tcPr>
            <w:tcW w:w="6540" w:type="dxa"/>
            <w:vAlign w:val="bottom"/>
            <w:shd w:val="clear" w:color="auto" w:fill="CCEEFF"/>
          </w:tcPr>
          <w:p>
            <w:pPr>
              <w:spacing w:after="0"/>
              <w:rPr>
                <w:sz w:val="20"/>
                <w:szCs w:val="20"/>
                <w:color w:val="auto"/>
              </w:rPr>
            </w:pPr>
            <w:r>
              <w:rPr>
                <w:rFonts w:ascii="Arial" w:cs="Arial" w:eastAsia="Arial" w:hAnsi="Arial"/>
                <w:sz w:val="18"/>
                <w:szCs w:val="18"/>
                <w:color w:val="auto"/>
              </w:rPr>
              <w:t>Dilutive share options and RSUs</w:t>
            </w:r>
          </w:p>
        </w:tc>
        <w:tc>
          <w:tcPr>
            <w:tcW w:w="24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5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210</w:t>
            </w:r>
          </w:p>
        </w:tc>
        <w:tc>
          <w:tcPr>
            <w:tcW w:w="32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5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110</w:t>
            </w:r>
          </w:p>
        </w:tc>
        <w:tc>
          <w:tcPr>
            <w:tcW w:w="32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5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287</w:t>
            </w:r>
          </w:p>
        </w:tc>
        <w:tc>
          <w:tcPr>
            <w:tcW w:w="60" w:type="dxa"/>
            <w:vAlign w:val="bottom"/>
            <w:shd w:val="clear" w:color="auto" w:fill="CCEEFF"/>
          </w:tcPr>
          <w:p>
            <w:pPr>
              <w:spacing w:after="0"/>
              <w:rPr>
                <w:sz w:val="18"/>
                <w:szCs w:val="18"/>
                <w:color w:val="auto"/>
              </w:rPr>
            </w:pPr>
          </w:p>
        </w:tc>
      </w:tr>
      <w:tr>
        <w:trPr>
          <w:trHeight w:val="223"/>
        </w:trPr>
        <w:tc>
          <w:tcPr>
            <w:tcW w:w="6540" w:type="dxa"/>
            <w:vAlign w:val="bottom"/>
          </w:tcPr>
          <w:p>
            <w:pPr>
              <w:spacing w:after="0"/>
              <w:rPr>
                <w:sz w:val="20"/>
                <w:szCs w:val="20"/>
                <w:color w:val="auto"/>
              </w:rPr>
            </w:pPr>
            <w:r>
              <w:rPr>
                <w:rFonts w:ascii="Arial" w:cs="Arial" w:eastAsia="Arial" w:hAnsi="Arial"/>
                <w:sz w:val="18"/>
                <w:szCs w:val="18"/>
                <w:color w:val="auto"/>
              </w:rPr>
              <w:t>Weighted average common shares outstanding — diluted</w:t>
            </w:r>
          </w:p>
        </w:tc>
        <w:tc>
          <w:tcPr>
            <w:tcW w:w="240" w:type="dxa"/>
            <w:vAlign w:val="bottom"/>
          </w:tcPr>
          <w:p>
            <w:pPr>
              <w:spacing w:after="0"/>
              <w:rPr>
                <w:sz w:val="19"/>
                <w:szCs w:val="19"/>
                <w:color w:val="auto"/>
              </w:rPr>
            </w:pPr>
          </w:p>
        </w:tc>
        <w:tc>
          <w:tcPr>
            <w:tcW w:w="80" w:type="dxa"/>
            <w:vAlign w:val="bottom"/>
            <w:tcBorders>
              <w:bottom w:val="single" w:sz="8" w:color="auto"/>
            </w:tcBorders>
          </w:tcPr>
          <w:p>
            <w:pPr>
              <w:spacing w:after="0"/>
              <w:rPr>
                <w:sz w:val="19"/>
                <w:szCs w:val="19"/>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7"/>
              </w:rPr>
              <w:t>53,481</w:t>
            </w:r>
          </w:p>
        </w:tc>
        <w:tc>
          <w:tcPr>
            <w:tcW w:w="32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7"/>
              </w:rPr>
              <w:t>57,459</w:t>
            </w:r>
          </w:p>
        </w:tc>
        <w:tc>
          <w:tcPr>
            <w:tcW w:w="32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7"/>
              </w:rPr>
              <w:t>57,487</w:t>
            </w:r>
          </w:p>
        </w:tc>
        <w:tc>
          <w:tcPr>
            <w:tcW w:w="60" w:type="dxa"/>
            <w:vAlign w:val="bottom"/>
          </w:tcPr>
          <w:p>
            <w:pPr>
              <w:spacing w:after="0"/>
              <w:rPr>
                <w:sz w:val="19"/>
                <w:szCs w:val="19"/>
                <w:color w:val="auto"/>
              </w:rPr>
            </w:pPr>
          </w:p>
        </w:tc>
      </w:tr>
      <w:tr>
        <w:trPr>
          <w:trHeight w:val="20"/>
        </w:trPr>
        <w:tc>
          <w:tcPr>
            <w:tcW w:w="65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196"/>
        </w:trPr>
        <w:tc>
          <w:tcPr>
            <w:tcW w:w="6540" w:type="dxa"/>
            <w:vAlign w:val="bottom"/>
            <w:shd w:val="clear" w:color="auto" w:fill="CCEEFF"/>
          </w:tcPr>
          <w:p>
            <w:pPr>
              <w:spacing w:after="0" w:line="195" w:lineRule="exact"/>
              <w:rPr>
                <w:sz w:val="20"/>
                <w:szCs w:val="20"/>
                <w:color w:val="auto"/>
              </w:rPr>
            </w:pPr>
            <w:r>
              <w:rPr>
                <w:rFonts w:ascii="Arial" w:cs="Arial" w:eastAsia="Arial" w:hAnsi="Arial"/>
                <w:sz w:val="18"/>
                <w:szCs w:val="18"/>
                <w:color w:val="auto"/>
                <w:w w:val="94"/>
              </w:rPr>
              <w:t>Net income attributable to Textainer Group Holdings Limited common shareholders per</w:t>
            </w:r>
          </w:p>
        </w:tc>
        <w:tc>
          <w:tcPr>
            <w:tcW w:w="2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r>
      <w:tr>
        <w:trPr>
          <w:trHeight w:val="230"/>
        </w:trPr>
        <w:tc>
          <w:tcPr>
            <w:tcW w:w="6540" w:type="dxa"/>
            <w:vAlign w:val="bottom"/>
            <w:shd w:val="clear" w:color="auto" w:fill="CCEEFF"/>
          </w:tcPr>
          <w:p>
            <w:pPr>
              <w:ind w:left="180"/>
              <w:spacing w:after="0"/>
              <w:rPr>
                <w:sz w:val="20"/>
                <w:szCs w:val="20"/>
                <w:color w:val="auto"/>
              </w:rPr>
            </w:pPr>
            <w:r>
              <w:rPr>
                <w:rFonts w:ascii="Arial" w:cs="Arial" w:eastAsia="Arial" w:hAnsi="Arial"/>
                <w:sz w:val="18"/>
                <w:szCs w:val="18"/>
                <w:color w:val="auto"/>
              </w:rPr>
              <w:t>common share</w:t>
            </w:r>
          </w:p>
        </w:tc>
        <w:tc>
          <w:tcPr>
            <w:tcW w:w="24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500" w:type="dxa"/>
            <w:vAlign w:val="bottom"/>
            <w:shd w:val="clear" w:color="auto" w:fill="CCEEFF"/>
          </w:tcPr>
          <w:p>
            <w:pPr>
              <w:spacing w:after="0"/>
              <w:rPr>
                <w:sz w:val="20"/>
                <w:szCs w:val="20"/>
                <w:color w:val="auto"/>
              </w:rPr>
            </w:pPr>
          </w:p>
        </w:tc>
        <w:tc>
          <w:tcPr>
            <w:tcW w:w="32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500" w:type="dxa"/>
            <w:vAlign w:val="bottom"/>
            <w:shd w:val="clear" w:color="auto" w:fill="CCEEFF"/>
          </w:tcPr>
          <w:p>
            <w:pPr>
              <w:spacing w:after="0"/>
              <w:rPr>
                <w:sz w:val="20"/>
                <w:szCs w:val="20"/>
                <w:color w:val="auto"/>
              </w:rPr>
            </w:pPr>
          </w:p>
        </w:tc>
        <w:tc>
          <w:tcPr>
            <w:tcW w:w="32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500" w:type="dxa"/>
            <w:vAlign w:val="bottom"/>
            <w:shd w:val="clear" w:color="auto" w:fill="CCEEFF"/>
          </w:tcPr>
          <w:p>
            <w:pPr>
              <w:spacing w:after="0"/>
              <w:rPr>
                <w:sz w:val="20"/>
                <w:szCs w:val="20"/>
                <w:color w:val="auto"/>
              </w:rPr>
            </w:pPr>
          </w:p>
        </w:tc>
        <w:tc>
          <w:tcPr>
            <w:tcW w:w="60" w:type="dxa"/>
            <w:vAlign w:val="bottom"/>
            <w:shd w:val="clear" w:color="auto" w:fill="CCEEFF"/>
          </w:tcPr>
          <w:p>
            <w:pPr>
              <w:spacing w:after="0"/>
              <w:rPr>
                <w:sz w:val="20"/>
                <w:szCs w:val="20"/>
                <w:color w:val="auto"/>
              </w:rPr>
            </w:pPr>
          </w:p>
        </w:tc>
      </w:tr>
      <w:tr>
        <w:trPr>
          <w:trHeight w:val="216"/>
        </w:trPr>
        <w:tc>
          <w:tcPr>
            <w:tcW w:w="6540" w:type="dxa"/>
            <w:vAlign w:val="bottom"/>
          </w:tcPr>
          <w:p>
            <w:pPr>
              <w:ind w:left="360"/>
              <w:spacing w:after="0"/>
              <w:rPr>
                <w:sz w:val="20"/>
                <w:szCs w:val="20"/>
                <w:color w:val="auto"/>
              </w:rPr>
            </w:pPr>
            <w:r>
              <w:rPr>
                <w:rFonts w:ascii="Arial" w:cs="Arial" w:eastAsia="Arial" w:hAnsi="Arial"/>
                <w:sz w:val="18"/>
                <w:szCs w:val="18"/>
                <w:color w:val="auto"/>
              </w:rPr>
              <w:t>Basic</w:t>
            </w:r>
          </w:p>
        </w:tc>
        <w:tc>
          <w:tcPr>
            <w:tcW w:w="3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500" w:type="dxa"/>
            <w:vAlign w:val="bottom"/>
          </w:tcPr>
          <w:p>
            <w:pPr>
              <w:jc w:val="right"/>
              <w:spacing w:after="0"/>
              <w:rPr>
                <w:sz w:val="20"/>
                <w:szCs w:val="20"/>
                <w:color w:val="auto"/>
              </w:rPr>
            </w:pPr>
            <w:r>
              <w:rPr>
                <w:rFonts w:ascii="Arial" w:cs="Arial" w:eastAsia="Arial" w:hAnsi="Arial"/>
                <w:sz w:val="18"/>
                <w:szCs w:val="18"/>
                <w:color w:val="auto"/>
              </w:rPr>
              <w:t>1.37</w:t>
            </w:r>
          </w:p>
        </w:tc>
        <w:tc>
          <w:tcPr>
            <w:tcW w:w="4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500" w:type="dxa"/>
            <w:vAlign w:val="bottom"/>
          </w:tcPr>
          <w:p>
            <w:pPr>
              <w:jc w:val="right"/>
              <w:spacing w:after="0"/>
              <w:rPr>
                <w:sz w:val="20"/>
                <w:szCs w:val="20"/>
                <w:color w:val="auto"/>
              </w:rPr>
            </w:pPr>
            <w:r>
              <w:rPr>
                <w:rFonts w:ascii="Arial" w:cs="Arial" w:eastAsia="Arial" w:hAnsi="Arial"/>
                <w:sz w:val="18"/>
                <w:szCs w:val="18"/>
                <w:color w:val="auto"/>
              </w:rPr>
              <w:t>0.99</w:t>
            </w:r>
          </w:p>
        </w:tc>
        <w:tc>
          <w:tcPr>
            <w:tcW w:w="42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500" w:type="dxa"/>
            <w:vAlign w:val="bottom"/>
          </w:tcPr>
          <w:p>
            <w:pPr>
              <w:jc w:val="right"/>
              <w:spacing w:after="0"/>
              <w:rPr>
                <w:sz w:val="20"/>
                <w:szCs w:val="20"/>
                <w:color w:val="auto"/>
              </w:rPr>
            </w:pPr>
            <w:r>
              <w:rPr>
                <w:rFonts w:ascii="Arial" w:cs="Arial" w:eastAsia="Arial" w:hAnsi="Arial"/>
                <w:sz w:val="18"/>
                <w:szCs w:val="18"/>
                <w:color w:val="auto"/>
              </w:rPr>
              <w:t>0.88</w:t>
            </w:r>
          </w:p>
        </w:tc>
        <w:tc>
          <w:tcPr>
            <w:tcW w:w="60" w:type="dxa"/>
            <w:vAlign w:val="bottom"/>
          </w:tcPr>
          <w:p>
            <w:pPr>
              <w:spacing w:after="0"/>
              <w:rPr>
                <w:sz w:val="18"/>
                <w:szCs w:val="18"/>
                <w:color w:val="auto"/>
              </w:rPr>
            </w:pPr>
          </w:p>
        </w:tc>
      </w:tr>
      <w:tr>
        <w:trPr>
          <w:trHeight w:val="216"/>
        </w:trPr>
        <w:tc>
          <w:tcPr>
            <w:tcW w:w="65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Diluted</w:t>
            </w:r>
          </w:p>
        </w:tc>
        <w:tc>
          <w:tcPr>
            <w:tcW w:w="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1.36</w:t>
            </w: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0.99</w:t>
            </w:r>
          </w:p>
        </w:tc>
        <w:tc>
          <w:tcPr>
            <w:tcW w:w="4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0.88</w:t>
            </w:r>
          </w:p>
        </w:tc>
        <w:tc>
          <w:tcPr>
            <w:tcW w:w="60" w:type="dxa"/>
            <w:vAlign w:val="bottom"/>
            <w:shd w:val="clear" w:color="auto" w:fill="CCEEFF"/>
          </w:tcPr>
          <w:p>
            <w:pPr>
              <w:spacing w:after="0"/>
              <w:rPr>
                <w:sz w:val="18"/>
                <w:szCs w:val="18"/>
                <w:color w:val="auto"/>
              </w:rPr>
            </w:pPr>
          </w:p>
        </w:tc>
      </w:tr>
      <w:tr>
        <w:trPr>
          <w:trHeight w:val="310"/>
        </w:trPr>
        <w:tc>
          <w:tcPr>
            <w:tcW w:w="6540" w:type="dxa"/>
            <w:vAlign w:val="bottom"/>
          </w:tcPr>
          <w:p>
            <w:pPr>
              <w:spacing w:after="0"/>
              <w:rPr>
                <w:sz w:val="20"/>
                <w:szCs w:val="20"/>
                <w:color w:val="auto"/>
              </w:rPr>
            </w:pPr>
            <w:r>
              <w:rPr>
                <w:rFonts w:ascii="Arial" w:cs="Arial" w:eastAsia="Arial" w:hAnsi="Arial"/>
                <w:sz w:val="18"/>
                <w:szCs w:val="18"/>
                <w:color w:val="auto"/>
                <w:w w:val="93"/>
              </w:rPr>
              <w:t>Share options, RSUs and PSUs excluded from the computation of diluted EPS because</w:t>
            </w:r>
          </w:p>
        </w:tc>
        <w:tc>
          <w:tcPr>
            <w:tcW w:w="2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60" w:type="dxa"/>
            <w:vAlign w:val="bottom"/>
          </w:tcPr>
          <w:p>
            <w:pPr>
              <w:spacing w:after="0"/>
              <w:rPr>
                <w:sz w:val="24"/>
                <w:szCs w:val="24"/>
                <w:color w:val="auto"/>
              </w:rPr>
            </w:pPr>
          </w:p>
        </w:tc>
      </w:tr>
      <w:tr>
        <w:trPr>
          <w:trHeight w:val="230"/>
        </w:trPr>
        <w:tc>
          <w:tcPr>
            <w:tcW w:w="6540" w:type="dxa"/>
            <w:vAlign w:val="bottom"/>
          </w:tcPr>
          <w:p>
            <w:pPr>
              <w:ind w:left="180"/>
              <w:spacing w:after="0"/>
              <w:rPr>
                <w:sz w:val="20"/>
                <w:szCs w:val="20"/>
                <w:color w:val="auto"/>
              </w:rPr>
            </w:pPr>
            <w:r>
              <w:rPr>
                <w:rFonts w:ascii="Arial" w:cs="Arial" w:eastAsia="Arial" w:hAnsi="Arial"/>
                <w:sz w:val="18"/>
                <w:szCs w:val="18"/>
                <w:color w:val="auto"/>
              </w:rPr>
              <w:t>they were anti-dilutive</w:t>
            </w:r>
          </w:p>
        </w:tc>
        <w:tc>
          <w:tcPr>
            <w:tcW w:w="2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rPr>
              <w:t>1,674</w:t>
            </w:r>
          </w:p>
        </w:tc>
        <w:tc>
          <w:tcPr>
            <w:tcW w:w="3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rPr>
              <w:t>1,805</w:t>
            </w:r>
          </w:p>
        </w:tc>
        <w:tc>
          <w:tcPr>
            <w:tcW w:w="3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rPr>
              <w:t>1,232</w:t>
            </w:r>
          </w:p>
        </w:tc>
        <w:tc>
          <w:tcPr>
            <w:tcW w:w="60" w:type="dxa"/>
            <w:vAlign w:val="bottom"/>
          </w:tcPr>
          <w:p>
            <w:pPr>
              <w:spacing w:after="0"/>
              <w:rPr>
                <w:sz w:val="20"/>
                <w:szCs w:val="20"/>
                <w:color w:val="auto"/>
              </w:rPr>
            </w:pPr>
          </w:p>
        </w:tc>
      </w:tr>
    </w:tbl>
    <w:p>
      <w:pPr>
        <w:spacing w:after="0" w:line="350" w:lineRule="exact"/>
        <w:rPr>
          <w:sz w:val="20"/>
          <w:szCs w:val="20"/>
          <w:color w:val="auto"/>
        </w:rPr>
      </w:pPr>
    </w:p>
    <w:p>
      <w:pPr>
        <w:ind w:left="424" w:hanging="424"/>
        <w:spacing w:after="0"/>
        <w:tabs>
          <w:tab w:leader="none" w:pos="424" w:val="left"/>
        </w:tabs>
        <w:numPr>
          <w:ilvl w:val="0"/>
          <w:numId w:val="113"/>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Fair Value Measurements</w:t>
      </w:r>
    </w:p>
    <w:p>
      <w:pPr>
        <w:spacing w:after="0" w:line="117" w:lineRule="exact"/>
        <w:rPr>
          <w:sz w:val="20"/>
          <w:szCs w:val="20"/>
          <w:color w:val="auto"/>
        </w:rPr>
      </w:pPr>
    </w:p>
    <w:p>
      <w:pPr>
        <w:ind w:left="4" w:right="60" w:firstLine="440"/>
        <w:spacing w:after="0" w:line="263" w:lineRule="auto"/>
        <w:rPr>
          <w:sz w:val="20"/>
          <w:szCs w:val="20"/>
          <w:color w:val="auto"/>
        </w:rPr>
      </w:pPr>
      <w:r>
        <w:rPr>
          <w:rFonts w:ascii="Arial" w:cs="Arial" w:eastAsia="Arial" w:hAnsi="Arial"/>
          <w:sz w:val="18"/>
          <w:szCs w:val="18"/>
          <w:color w:val="auto"/>
        </w:rPr>
        <w:t>Fair value represents the price that would be received to sell the asset or paid to transfer the liability in an orderly transaction between market participants at the measurement date. The Company utilizes a fair value hierarchy that prioritizes the inputs to valuation techniques used to measure fair value into three broad levels. The following is a brief description of those levels:</w:t>
      </w:r>
    </w:p>
    <w:p>
      <w:pPr>
        <w:spacing w:after="0" w:line="89" w:lineRule="exact"/>
        <w:rPr>
          <w:sz w:val="20"/>
          <w:szCs w:val="20"/>
          <w:color w:val="auto"/>
        </w:rPr>
      </w:pPr>
    </w:p>
    <w:p>
      <w:pPr>
        <w:ind w:left="964" w:hanging="532"/>
        <w:spacing w:after="0"/>
        <w:tabs>
          <w:tab w:leader="none" w:pos="964" w:val="left"/>
        </w:tabs>
        <w:numPr>
          <w:ilvl w:val="0"/>
          <w:numId w:val="114"/>
        </w:numPr>
        <w:rPr>
          <w:rFonts w:ascii="Arial" w:cs="Arial" w:eastAsia="Arial" w:hAnsi="Arial"/>
          <w:sz w:val="18"/>
          <w:szCs w:val="18"/>
          <w:color w:val="auto"/>
        </w:rPr>
      </w:pPr>
      <w:r>
        <w:rPr>
          <w:rFonts w:ascii="Arial" w:cs="Arial" w:eastAsia="Arial" w:hAnsi="Arial"/>
          <w:sz w:val="18"/>
          <w:szCs w:val="18"/>
          <w:color w:val="auto"/>
        </w:rPr>
        <w:t>Level 1: Observable inputs such as quoted prices (unadjusted) in active markets for identical assets or liabilities.</w:t>
      </w:r>
    </w:p>
    <w:p>
      <w:pPr>
        <w:spacing w:after="0" w:line="130" w:lineRule="exact"/>
        <w:rPr>
          <w:rFonts w:ascii="Arial" w:cs="Arial" w:eastAsia="Arial" w:hAnsi="Arial"/>
          <w:sz w:val="18"/>
          <w:szCs w:val="18"/>
          <w:color w:val="auto"/>
        </w:rPr>
      </w:pPr>
    </w:p>
    <w:p>
      <w:pPr>
        <w:ind w:left="964" w:right="160" w:hanging="532"/>
        <w:spacing w:after="0" w:line="263" w:lineRule="auto"/>
        <w:tabs>
          <w:tab w:leader="none" w:pos="964" w:val="left"/>
        </w:tabs>
        <w:numPr>
          <w:ilvl w:val="0"/>
          <w:numId w:val="114"/>
        </w:numPr>
        <w:rPr>
          <w:rFonts w:ascii="Arial" w:cs="Arial" w:eastAsia="Arial" w:hAnsi="Arial"/>
          <w:sz w:val="18"/>
          <w:szCs w:val="18"/>
          <w:color w:val="auto"/>
        </w:rPr>
      </w:pPr>
      <w:r>
        <w:rPr>
          <w:rFonts w:ascii="Arial" w:cs="Arial" w:eastAsia="Arial" w:hAnsi="Arial"/>
          <w:sz w:val="18"/>
          <w:szCs w:val="18"/>
          <w:color w:val="auto"/>
        </w:rPr>
        <w:t>Level 2: Inputs other than quoted prices which are observable for the asset or liability, either directly or indirectly. These include quoted prices for similar assets or liabilities in active markets and quoted prices for identical or similar assets or liabilities in markets that are not active.</w:t>
      </w:r>
    </w:p>
    <w:p>
      <w:pPr>
        <w:spacing w:after="0" w:line="89" w:lineRule="exact"/>
        <w:rPr>
          <w:rFonts w:ascii="Arial" w:cs="Arial" w:eastAsia="Arial" w:hAnsi="Arial"/>
          <w:sz w:val="18"/>
          <w:szCs w:val="18"/>
          <w:color w:val="auto"/>
        </w:rPr>
      </w:pPr>
    </w:p>
    <w:p>
      <w:pPr>
        <w:ind w:left="964" w:hanging="532"/>
        <w:spacing w:after="0"/>
        <w:tabs>
          <w:tab w:leader="none" w:pos="964" w:val="left"/>
        </w:tabs>
        <w:numPr>
          <w:ilvl w:val="0"/>
          <w:numId w:val="114"/>
        </w:numPr>
        <w:rPr>
          <w:rFonts w:ascii="Arial" w:cs="Arial" w:eastAsia="Arial" w:hAnsi="Arial"/>
          <w:sz w:val="18"/>
          <w:szCs w:val="18"/>
          <w:color w:val="auto"/>
        </w:rPr>
      </w:pPr>
      <w:r>
        <w:rPr>
          <w:rFonts w:ascii="Arial" w:cs="Arial" w:eastAsia="Arial" w:hAnsi="Arial"/>
          <w:sz w:val="18"/>
          <w:szCs w:val="18"/>
          <w:color w:val="auto"/>
        </w:rPr>
        <w:t>Level 3: Unobservable inputs that reflect the reporting entity’s own assumptions.</w:t>
      </w:r>
    </w:p>
    <w:p>
      <w:pPr>
        <w:spacing w:after="0" w:line="225" w:lineRule="exact"/>
        <w:rPr>
          <w:sz w:val="20"/>
          <w:szCs w:val="20"/>
          <w:color w:val="auto"/>
        </w:rPr>
      </w:pPr>
    </w:p>
    <w:p>
      <w:pPr>
        <w:ind w:left="4" w:right="20" w:firstLine="440"/>
        <w:spacing w:after="0" w:line="286" w:lineRule="auto"/>
        <w:rPr>
          <w:sz w:val="20"/>
          <w:szCs w:val="20"/>
          <w:color w:val="auto"/>
        </w:rPr>
      </w:pPr>
      <w:r>
        <w:rPr>
          <w:rFonts w:ascii="Arial" w:cs="Arial" w:eastAsia="Arial" w:hAnsi="Arial"/>
          <w:sz w:val="17"/>
          <w:szCs w:val="17"/>
          <w:color w:val="auto"/>
        </w:rPr>
        <w:t>As of December 31, 2020 and 2019, the carrying amounts of cash and cash equivalents, restricted cash, accounts receivable and payable, due from affiliates, net, container contracts payable, and due to container investors, net, approximate their fair values due to the short-term nature of these financial instruments. See Note 9 “Derivative Instruments” for further discussions on fair value of derivative instruments.</w:t>
      </w:r>
    </w:p>
    <w:p>
      <w:pPr>
        <w:spacing w:after="0" w:line="98"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F-22</w:t>
      </w:r>
    </w:p>
    <w:p>
      <w:pPr>
        <w:sectPr>
          <w:pgSz w:w="11900" w:h="16838" w:orient="portrait"/>
          <w:cols w:equalWidth="0" w:num="1">
            <w:col w:w="11004"/>
          </w:cols>
          <w:pgMar w:left="436" w:top="274" w:right="459" w:bottom="1440" w:gutter="0" w:footer="0" w:header="0"/>
        </w:sectPr>
      </w:pPr>
    </w:p>
    <w:bookmarkStart w:id="136" w:name="page137"/>
    <w:bookmarkEnd w:id="136"/>
    <w:p>
      <w:pPr>
        <w:ind w:left="444"/>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following table summarizes the Company’s assets measured at fair value on a non-recurring basis as of December 31, 2020 and 2019:</w:t>
      </w:r>
    </w:p>
    <w:p>
      <w:pPr>
        <w:spacing w:after="0" w:line="243" w:lineRule="exact"/>
        <w:rPr>
          <w:sz w:val="20"/>
          <w:szCs w:val="20"/>
          <w:color w:val="auto"/>
        </w:rPr>
      </w:pPr>
    </w:p>
    <w:tbl>
      <w:tblPr>
        <w:tblLayout w:type="fixed"/>
        <w:tblInd w:w="4" w:type="dxa"/>
        <w:tblCellMar>
          <w:top w:w="0" w:type="dxa"/>
          <w:left w:w="0" w:type="dxa"/>
          <w:bottom w:w="0" w:type="dxa"/>
          <w:right w:w="0" w:type="dxa"/>
        </w:tblCellMar>
      </w:tblPr>
      <w:tr>
        <w:trPr>
          <w:trHeight w:val="161"/>
        </w:trPr>
        <w:tc>
          <w:tcPr>
            <w:tcW w:w="88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9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160" w:type="dxa"/>
            <w:vAlign w:val="bottom"/>
            <w:gridSpan w:val="2"/>
          </w:tcPr>
          <w:p>
            <w:pPr>
              <w:jc w:val="center"/>
              <w:spacing w:after="0"/>
              <w:rPr>
                <w:sz w:val="20"/>
                <w:szCs w:val="20"/>
                <w:color w:val="auto"/>
              </w:rPr>
            </w:pPr>
            <w:r>
              <w:rPr>
                <w:rFonts w:ascii="Arial" w:cs="Arial" w:eastAsia="Arial" w:hAnsi="Arial"/>
                <w:sz w:val="14"/>
                <w:szCs w:val="14"/>
                <w:b w:val="1"/>
                <w:bCs w:val="1"/>
                <w:color w:val="auto"/>
                <w:w w:val="91"/>
              </w:rPr>
              <w:t>Quoted Prices in</w:t>
            </w:r>
          </w:p>
        </w:tc>
        <w:tc>
          <w:tcPr>
            <w:tcW w:w="600" w:type="dxa"/>
            <w:vAlign w:val="bottom"/>
          </w:tcPr>
          <w:p>
            <w:pPr>
              <w:spacing w:after="0"/>
              <w:rPr>
                <w:sz w:val="14"/>
                <w:szCs w:val="14"/>
                <w:color w:val="auto"/>
              </w:rPr>
            </w:pPr>
          </w:p>
        </w:tc>
        <w:tc>
          <w:tcPr>
            <w:tcW w:w="1140" w:type="dxa"/>
            <w:vAlign w:val="bottom"/>
            <w:gridSpan w:val="2"/>
            <w:vMerge w:val="restart"/>
          </w:tcPr>
          <w:p>
            <w:pPr>
              <w:jc w:val="center"/>
              <w:spacing w:after="0"/>
              <w:rPr>
                <w:sz w:val="20"/>
                <w:szCs w:val="20"/>
                <w:color w:val="auto"/>
              </w:rPr>
            </w:pPr>
            <w:r>
              <w:rPr>
                <w:rFonts w:ascii="Arial" w:cs="Arial" w:eastAsia="Arial" w:hAnsi="Arial"/>
                <w:sz w:val="14"/>
                <w:szCs w:val="14"/>
                <w:b w:val="1"/>
                <w:bCs w:val="1"/>
                <w:color w:val="auto"/>
                <w:w w:val="95"/>
              </w:rPr>
              <w:t>Significant Other</w:t>
            </w:r>
          </w:p>
        </w:tc>
        <w:tc>
          <w:tcPr>
            <w:tcW w:w="6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60" w:type="dxa"/>
            <w:vAlign w:val="bottom"/>
          </w:tcPr>
          <w:p>
            <w:pPr>
              <w:jc w:val="right"/>
              <w:ind w:right="19"/>
              <w:spacing w:after="0"/>
              <w:rPr>
                <w:sz w:val="20"/>
                <w:szCs w:val="20"/>
                <w:color w:val="auto"/>
              </w:rPr>
            </w:pPr>
            <w:r>
              <w:rPr>
                <w:rFonts w:ascii="Arial" w:cs="Arial" w:eastAsia="Arial" w:hAnsi="Arial"/>
                <w:sz w:val="14"/>
                <w:szCs w:val="14"/>
                <w:b w:val="1"/>
                <w:bCs w:val="1"/>
                <w:color w:val="auto"/>
                <w:w w:val="89"/>
              </w:rPr>
              <w:t>Significant</w:t>
            </w:r>
          </w:p>
        </w:tc>
        <w:tc>
          <w:tcPr>
            <w:tcW w:w="6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4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91"/>
              </w:rPr>
              <w:t>Years Ended</w:t>
            </w:r>
          </w:p>
        </w:tc>
        <w:tc>
          <w:tcPr>
            <w:tcW w:w="0" w:type="dxa"/>
            <w:vAlign w:val="bottom"/>
          </w:tcPr>
          <w:p>
            <w:pPr>
              <w:spacing w:after="0"/>
              <w:rPr>
                <w:sz w:val="1"/>
                <w:szCs w:val="1"/>
                <w:color w:val="auto"/>
              </w:rPr>
            </w:pPr>
          </w:p>
        </w:tc>
      </w:tr>
      <w:tr>
        <w:trPr>
          <w:trHeight w:val="149"/>
        </w:trPr>
        <w:tc>
          <w:tcPr>
            <w:tcW w:w="88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940" w:type="dxa"/>
            <w:vAlign w:val="bottom"/>
          </w:tcPr>
          <w:p>
            <w:pPr>
              <w:spacing w:after="0"/>
              <w:rPr>
                <w:sz w:val="12"/>
                <w:szCs w:val="12"/>
                <w:color w:val="auto"/>
              </w:rPr>
            </w:pPr>
          </w:p>
        </w:tc>
        <w:tc>
          <w:tcPr>
            <w:tcW w:w="1180" w:type="dxa"/>
            <w:vAlign w:val="bottom"/>
            <w:gridSpan w:val="3"/>
          </w:tcPr>
          <w:p>
            <w:pPr>
              <w:spacing w:after="0" w:line="149" w:lineRule="exact"/>
              <w:rPr>
                <w:sz w:val="20"/>
                <w:szCs w:val="20"/>
                <w:color w:val="auto"/>
              </w:rPr>
            </w:pPr>
            <w:r>
              <w:rPr>
                <w:rFonts w:ascii="Arial" w:cs="Arial" w:eastAsia="Arial" w:hAnsi="Arial"/>
                <w:sz w:val="14"/>
                <w:szCs w:val="14"/>
                <w:b w:val="1"/>
                <w:bCs w:val="1"/>
                <w:color w:val="auto"/>
                <w:w w:val="95"/>
              </w:rPr>
              <w:t>Active Markets for</w:t>
            </w:r>
          </w:p>
        </w:tc>
        <w:tc>
          <w:tcPr>
            <w:tcW w:w="600" w:type="dxa"/>
            <w:vAlign w:val="bottom"/>
          </w:tcPr>
          <w:p>
            <w:pPr>
              <w:spacing w:after="0"/>
              <w:rPr>
                <w:sz w:val="12"/>
                <w:szCs w:val="12"/>
                <w:color w:val="auto"/>
              </w:rPr>
            </w:pPr>
          </w:p>
        </w:tc>
        <w:tc>
          <w:tcPr>
            <w:tcW w:w="1140" w:type="dxa"/>
            <w:vAlign w:val="bottom"/>
            <w:gridSpan w:val="2"/>
            <w:vMerge w:val="continue"/>
          </w:tcPr>
          <w:p>
            <w:pPr>
              <w:spacing w:after="0"/>
              <w:rPr>
                <w:sz w:val="12"/>
                <w:szCs w:val="12"/>
                <w:color w:val="auto"/>
              </w:rPr>
            </w:pPr>
          </w:p>
        </w:tc>
        <w:tc>
          <w:tcPr>
            <w:tcW w:w="1440" w:type="dxa"/>
            <w:vAlign w:val="bottom"/>
            <w:gridSpan w:val="3"/>
          </w:tcPr>
          <w:p>
            <w:pPr>
              <w:jc w:val="center"/>
              <w:ind w:left="519"/>
              <w:spacing w:after="0" w:line="149" w:lineRule="exact"/>
              <w:rPr>
                <w:sz w:val="20"/>
                <w:szCs w:val="20"/>
                <w:color w:val="auto"/>
              </w:rPr>
            </w:pPr>
            <w:r>
              <w:rPr>
                <w:rFonts w:ascii="Arial" w:cs="Arial" w:eastAsia="Arial" w:hAnsi="Arial"/>
                <w:sz w:val="14"/>
                <w:szCs w:val="14"/>
                <w:b w:val="1"/>
                <w:bCs w:val="1"/>
                <w:color w:val="auto"/>
                <w:w w:val="90"/>
              </w:rPr>
              <w:t>Unobservable</w:t>
            </w:r>
          </w:p>
        </w:tc>
        <w:tc>
          <w:tcPr>
            <w:tcW w:w="600" w:type="dxa"/>
            <w:vAlign w:val="bottom"/>
          </w:tcPr>
          <w:p>
            <w:pPr>
              <w:spacing w:after="0"/>
              <w:rPr>
                <w:sz w:val="12"/>
                <w:szCs w:val="12"/>
                <w:color w:val="auto"/>
              </w:rPr>
            </w:pPr>
          </w:p>
        </w:tc>
        <w:tc>
          <w:tcPr>
            <w:tcW w:w="1020" w:type="dxa"/>
            <w:vAlign w:val="bottom"/>
            <w:gridSpan w:val="3"/>
          </w:tcPr>
          <w:p>
            <w:pPr>
              <w:jc w:val="center"/>
              <w:ind w:right="60"/>
              <w:spacing w:after="0" w:line="149" w:lineRule="exact"/>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171"/>
        </w:trPr>
        <w:tc>
          <w:tcPr>
            <w:tcW w:w="88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9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80" w:type="dxa"/>
            <w:vAlign w:val="bottom"/>
          </w:tcPr>
          <w:p>
            <w:pPr>
              <w:jc w:val="center"/>
              <w:ind w:right="37"/>
              <w:spacing w:after="0"/>
              <w:rPr>
                <w:sz w:val="20"/>
                <w:szCs w:val="20"/>
                <w:color w:val="auto"/>
              </w:rPr>
            </w:pPr>
            <w:r>
              <w:rPr>
                <w:rFonts w:ascii="Arial" w:cs="Arial" w:eastAsia="Arial" w:hAnsi="Arial"/>
                <w:sz w:val="14"/>
                <w:szCs w:val="14"/>
                <w:b w:val="1"/>
                <w:bCs w:val="1"/>
                <w:color w:val="auto"/>
                <w:w w:val="90"/>
              </w:rPr>
              <w:t>Identical Assets</w:t>
            </w:r>
          </w:p>
        </w:tc>
        <w:tc>
          <w:tcPr>
            <w:tcW w:w="1740" w:type="dxa"/>
            <w:vAlign w:val="bottom"/>
            <w:gridSpan w:val="3"/>
          </w:tcPr>
          <w:p>
            <w:pPr>
              <w:jc w:val="center"/>
              <w:ind w:left="516"/>
              <w:spacing w:after="0"/>
              <w:rPr>
                <w:sz w:val="20"/>
                <w:szCs w:val="20"/>
                <w:color w:val="auto"/>
              </w:rPr>
            </w:pPr>
            <w:r>
              <w:rPr>
                <w:rFonts w:ascii="Arial" w:cs="Arial" w:eastAsia="Arial" w:hAnsi="Arial"/>
                <w:sz w:val="14"/>
                <w:szCs w:val="14"/>
                <w:b w:val="1"/>
                <w:bCs w:val="1"/>
                <w:color w:val="auto"/>
                <w:w w:val="93"/>
              </w:rPr>
              <w:t>Observable Inputs</w:t>
            </w:r>
          </w:p>
        </w:tc>
        <w:tc>
          <w:tcPr>
            <w:tcW w:w="6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60" w:type="dxa"/>
            <w:vAlign w:val="bottom"/>
          </w:tcPr>
          <w:p>
            <w:pPr>
              <w:jc w:val="center"/>
              <w:spacing w:after="0"/>
              <w:rPr>
                <w:sz w:val="20"/>
                <w:szCs w:val="20"/>
                <w:color w:val="auto"/>
              </w:rPr>
            </w:pPr>
            <w:r>
              <w:rPr>
                <w:rFonts w:ascii="Arial" w:cs="Arial" w:eastAsia="Arial" w:hAnsi="Arial"/>
                <w:sz w:val="14"/>
                <w:szCs w:val="14"/>
                <w:b w:val="1"/>
                <w:bCs w:val="1"/>
                <w:color w:val="auto"/>
                <w:w w:val="95"/>
              </w:rPr>
              <w:t>Inputs</w:t>
            </w:r>
          </w:p>
        </w:tc>
        <w:tc>
          <w:tcPr>
            <w:tcW w:w="600" w:type="dxa"/>
            <w:vAlign w:val="bottom"/>
          </w:tcPr>
          <w:p>
            <w:pPr>
              <w:spacing w:after="0"/>
              <w:rPr>
                <w:sz w:val="14"/>
                <w:szCs w:val="14"/>
                <w:color w:val="auto"/>
              </w:rPr>
            </w:pPr>
          </w:p>
        </w:tc>
        <w:tc>
          <w:tcPr>
            <w:tcW w:w="1020" w:type="dxa"/>
            <w:vAlign w:val="bottom"/>
            <w:gridSpan w:val="3"/>
          </w:tcPr>
          <w:p>
            <w:pPr>
              <w:jc w:val="center"/>
              <w:ind w:right="60"/>
              <w:spacing w:after="0"/>
              <w:rPr>
                <w:sz w:val="20"/>
                <w:szCs w:val="20"/>
                <w:color w:val="auto"/>
              </w:rPr>
            </w:pPr>
            <w:r>
              <w:rPr>
                <w:rFonts w:ascii="Arial" w:cs="Arial" w:eastAsia="Arial" w:hAnsi="Arial"/>
                <w:sz w:val="14"/>
                <w:szCs w:val="14"/>
                <w:b w:val="1"/>
                <w:bCs w:val="1"/>
                <w:color w:val="auto"/>
                <w:w w:val="92"/>
              </w:rPr>
              <w:t>2020 and 2019</w:t>
            </w:r>
          </w:p>
        </w:tc>
        <w:tc>
          <w:tcPr>
            <w:tcW w:w="0" w:type="dxa"/>
            <w:vAlign w:val="bottom"/>
          </w:tcPr>
          <w:p>
            <w:pPr>
              <w:spacing w:after="0"/>
              <w:rPr>
                <w:sz w:val="1"/>
                <w:szCs w:val="1"/>
                <w:color w:val="auto"/>
              </w:rPr>
            </w:pPr>
          </w:p>
        </w:tc>
      </w:tr>
      <w:tr>
        <w:trPr>
          <w:trHeight w:val="119"/>
        </w:trPr>
        <w:tc>
          <w:tcPr>
            <w:tcW w:w="88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29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Borders>
              <w:top w:val="single" w:sz="8" w:color="auto"/>
            </w:tcBorders>
          </w:tcPr>
          <w:p>
            <w:pPr>
              <w:spacing w:after="0"/>
              <w:rPr>
                <w:sz w:val="10"/>
                <w:szCs w:val="10"/>
                <w:color w:val="auto"/>
              </w:rPr>
            </w:pPr>
          </w:p>
        </w:tc>
        <w:tc>
          <w:tcPr>
            <w:tcW w:w="1080" w:type="dxa"/>
            <w:vAlign w:val="bottom"/>
            <w:tcBorders>
              <w:top w:val="single" w:sz="8" w:color="auto"/>
            </w:tcBorders>
            <w:vMerge w:val="restart"/>
          </w:tcPr>
          <w:p>
            <w:pPr>
              <w:jc w:val="center"/>
              <w:ind w:right="17"/>
              <w:spacing w:after="0"/>
              <w:rPr>
                <w:sz w:val="20"/>
                <w:szCs w:val="20"/>
                <w:color w:val="auto"/>
              </w:rPr>
            </w:pPr>
            <w:r>
              <w:rPr>
                <w:rFonts w:ascii="Arial" w:cs="Arial" w:eastAsia="Arial" w:hAnsi="Arial"/>
                <w:sz w:val="14"/>
                <w:szCs w:val="14"/>
                <w:b w:val="1"/>
                <w:bCs w:val="1"/>
                <w:color w:val="auto"/>
                <w:w w:val="94"/>
              </w:rPr>
              <w:t>(Level 1)</w:t>
            </w:r>
          </w:p>
        </w:tc>
        <w:tc>
          <w:tcPr>
            <w:tcW w:w="600" w:type="dxa"/>
            <w:vAlign w:val="bottom"/>
          </w:tcPr>
          <w:p>
            <w:pPr>
              <w:spacing w:after="0"/>
              <w:rPr>
                <w:sz w:val="10"/>
                <w:szCs w:val="10"/>
                <w:color w:val="auto"/>
              </w:rPr>
            </w:pPr>
          </w:p>
        </w:tc>
        <w:tc>
          <w:tcPr>
            <w:tcW w:w="180" w:type="dxa"/>
            <w:vAlign w:val="bottom"/>
            <w:tcBorders>
              <w:top w:val="single" w:sz="8" w:color="auto"/>
            </w:tcBorders>
          </w:tcPr>
          <w:p>
            <w:pPr>
              <w:spacing w:after="0"/>
              <w:rPr>
                <w:sz w:val="10"/>
                <w:szCs w:val="10"/>
                <w:color w:val="auto"/>
              </w:rPr>
            </w:pPr>
          </w:p>
        </w:tc>
        <w:tc>
          <w:tcPr>
            <w:tcW w:w="960" w:type="dxa"/>
            <w:vAlign w:val="bottom"/>
            <w:tcBorders>
              <w:top w:val="single" w:sz="8" w:color="auto"/>
            </w:tcBorders>
            <w:vMerge w:val="restart"/>
          </w:tcPr>
          <w:p>
            <w:pPr>
              <w:jc w:val="center"/>
              <w:ind w:right="94"/>
              <w:spacing w:after="0"/>
              <w:rPr>
                <w:sz w:val="20"/>
                <w:szCs w:val="20"/>
                <w:color w:val="auto"/>
              </w:rPr>
            </w:pPr>
            <w:r>
              <w:rPr>
                <w:rFonts w:ascii="Arial" w:cs="Arial" w:eastAsia="Arial" w:hAnsi="Arial"/>
                <w:sz w:val="14"/>
                <w:szCs w:val="14"/>
                <w:b w:val="1"/>
                <w:bCs w:val="1"/>
                <w:color w:val="auto"/>
                <w:w w:val="94"/>
              </w:rPr>
              <w:t>(Level 2)</w:t>
            </w:r>
          </w:p>
        </w:tc>
        <w:tc>
          <w:tcPr>
            <w:tcW w:w="600" w:type="dxa"/>
            <w:vAlign w:val="bottom"/>
          </w:tcPr>
          <w:p>
            <w:pPr>
              <w:spacing w:after="0"/>
              <w:rPr>
                <w:sz w:val="10"/>
                <w:szCs w:val="10"/>
                <w:color w:val="auto"/>
              </w:rPr>
            </w:pPr>
          </w:p>
        </w:tc>
        <w:tc>
          <w:tcPr>
            <w:tcW w:w="80" w:type="dxa"/>
            <w:vAlign w:val="bottom"/>
            <w:tcBorders>
              <w:top w:val="single" w:sz="8" w:color="auto"/>
            </w:tcBorders>
          </w:tcPr>
          <w:p>
            <w:pPr>
              <w:spacing w:after="0"/>
              <w:rPr>
                <w:sz w:val="10"/>
                <w:szCs w:val="10"/>
                <w:color w:val="auto"/>
              </w:rPr>
            </w:pPr>
          </w:p>
        </w:tc>
        <w:tc>
          <w:tcPr>
            <w:tcW w:w="760" w:type="dxa"/>
            <w:vAlign w:val="bottom"/>
            <w:tcBorders>
              <w:top w:val="single" w:sz="8" w:color="auto"/>
            </w:tcBorders>
            <w:vMerge w:val="restart"/>
          </w:tcPr>
          <w:p>
            <w:pPr>
              <w:jc w:val="center"/>
              <w:ind w:right="19"/>
              <w:spacing w:after="0"/>
              <w:rPr>
                <w:sz w:val="20"/>
                <w:szCs w:val="20"/>
                <w:color w:val="auto"/>
              </w:rPr>
            </w:pPr>
            <w:r>
              <w:rPr>
                <w:rFonts w:ascii="Arial" w:cs="Arial" w:eastAsia="Arial" w:hAnsi="Arial"/>
                <w:sz w:val="14"/>
                <w:szCs w:val="14"/>
                <w:b w:val="1"/>
                <w:bCs w:val="1"/>
                <w:color w:val="auto"/>
                <w:w w:val="94"/>
              </w:rPr>
              <w:t>(Level 3)</w:t>
            </w:r>
          </w:p>
        </w:tc>
        <w:tc>
          <w:tcPr>
            <w:tcW w:w="600" w:type="dxa"/>
            <w:vAlign w:val="bottom"/>
          </w:tcPr>
          <w:p>
            <w:pPr>
              <w:spacing w:after="0"/>
              <w:rPr>
                <w:sz w:val="10"/>
                <w:szCs w:val="10"/>
                <w:color w:val="auto"/>
              </w:rPr>
            </w:pPr>
          </w:p>
        </w:tc>
        <w:tc>
          <w:tcPr>
            <w:tcW w:w="80" w:type="dxa"/>
            <w:vAlign w:val="bottom"/>
            <w:tcBorders>
              <w:top w:val="single" w:sz="8" w:color="auto"/>
            </w:tcBorders>
          </w:tcPr>
          <w:p>
            <w:pPr>
              <w:spacing w:after="0"/>
              <w:rPr>
                <w:sz w:val="10"/>
                <w:szCs w:val="10"/>
                <w:color w:val="auto"/>
              </w:rPr>
            </w:pPr>
          </w:p>
        </w:tc>
        <w:tc>
          <w:tcPr>
            <w:tcW w:w="880" w:type="dxa"/>
            <w:vAlign w:val="bottom"/>
            <w:tcBorders>
              <w:top w:val="single" w:sz="8" w:color="auto"/>
            </w:tcBorders>
          </w:tcPr>
          <w:p>
            <w:pPr>
              <w:jc w:val="center"/>
              <w:spacing w:after="0" w:line="119" w:lineRule="exact"/>
              <w:rPr>
                <w:sz w:val="20"/>
                <w:szCs w:val="20"/>
                <w:color w:val="auto"/>
              </w:rPr>
            </w:pPr>
            <w:r>
              <w:rPr>
                <w:rFonts w:ascii="Arial" w:cs="Arial" w:eastAsia="Arial" w:hAnsi="Arial"/>
                <w:sz w:val="13"/>
                <w:szCs w:val="13"/>
                <w:b w:val="1"/>
                <w:bCs w:val="1"/>
                <w:color w:val="auto"/>
              </w:rPr>
              <w:t>Cumulative</w:t>
            </w: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88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9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80" w:type="dxa"/>
            <w:vAlign w:val="bottom"/>
            <w:vMerge w:val="continue"/>
          </w:tcPr>
          <w:p>
            <w:pPr>
              <w:spacing w:after="0"/>
              <w:rPr>
                <w:sz w:val="14"/>
                <w:szCs w:val="14"/>
                <w:color w:val="auto"/>
              </w:rPr>
            </w:pPr>
          </w:p>
        </w:tc>
        <w:tc>
          <w:tcPr>
            <w:tcW w:w="6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960" w:type="dxa"/>
            <w:vAlign w:val="bottom"/>
            <w:vMerge w:val="continue"/>
          </w:tcPr>
          <w:p>
            <w:pPr>
              <w:spacing w:after="0"/>
              <w:rPr>
                <w:sz w:val="14"/>
                <w:szCs w:val="14"/>
                <w:color w:val="auto"/>
              </w:rPr>
            </w:pPr>
          </w:p>
        </w:tc>
        <w:tc>
          <w:tcPr>
            <w:tcW w:w="6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60" w:type="dxa"/>
            <w:vAlign w:val="bottom"/>
            <w:vMerge w:val="continue"/>
          </w:tcPr>
          <w:p>
            <w:pPr>
              <w:spacing w:after="0"/>
              <w:rPr>
                <w:sz w:val="14"/>
                <w:szCs w:val="14"/>
                <w:color w:val="auto"/>
              </w:rPr>
            </w:pPr>
          </w:p>
        </w:tc>
        <w:tc>
          <w:tcPr>
            <w:tcW w:w="1620" w:type="dxa"/>
            <w:vAlign w:val="bottom"/>
            <w:gridSpan w:val="4"/>
          </w:tcPr>
          <w:p>
            <w:pPr>
              <w:ind w:left="600"/>
              <w:spacing w:after="0"/>
              <w:rPr>
                <w:sz w:val="20"/>
                <w:szCs w:val="20"/>
                <w:color w:val="auto"/>
              </w:rPr>
            </w:pPr>
            <w:r>
              <w:rPr>
                <w:rFonts w:ascii="Arial" w:cs="Arial" w:eastAsia="Arial" w:hAnsi="Arial"/>
                <w:sz w:val="14"/>
                <w:szCs w:val="14"/>
                <w:b w:val="1"/>
                <w:bCs w:val="1"/>
                <w:color w:val="auto"/>
              </w:rPr>
              <w:t>Impairment (2)</w:t>
            </w:r>
          </w:p>
        </w:tc>
        <w:tc>
          <w:tcPr>
            <w:tcW w:w="0" w:type="dxa"/>
            <w:vAlign w:val="bottom"/>
          </w:tcPr>
          <w:p>
            <w:pPr>
              <w:spacing w:after="0"/>
              <w:rPr>
                <w:sz w:val="1"/>
                <w:szCs w:val="1"/>
                <w:color w:val="auto"/>
              </w:rPr>
            </w:pPr>
          </w:p>
        </w:tc>
      </w:tr>
      <w:tr>
        <w:trPr>
          <w:trHeight w:val="196"/>
        </w:trPr>
        <w:tc>
          <w:tcPr>
            <w:tcW w:w="880" w:type="dxa"/>
            <w:vAlign w:val="bottom"/>
          </w:tcPr>
          <w:p>
            <w:pPr>
              <w:spacing w:after="0"/>
              <w:rPr>
                <w:sz w:val="17"/>
                <w:szCs w:val="17"/>
                <w:color w:val="auto"/>
              </w:rPr>
            </w:pPr>
          </w:p>
        </w:tc>
        <w:tc>
          <w:tcPr>
            <w:tcW w:w="3280" w:type="dxa"/>
            <w:vAlign w:val="bottom"/>
            <w:tcBorders>
              <w:top w:val="single" w:sz="8" w:color="CCEEFF"/>
            </w:tcBorders>
            <w:gridSpan w:val="2"/>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December 31, 2020</w:t>
            </w:r>
          </w:p>
        </w:tc>
        <w:tc>
          <w:tcPr>
            <w:tcW w:w="2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1080" w:type="dxa"/>
            <w:vAlign w:val="bottom"/>
            <w:tcBorders>
              <w:top w:val="single" w:sz="8" w:color="auto"/>
            </w:tcBorders>
            <w:shd w:val="clear" w:color="auto" w:fill="CCEEFF"/>
          </w:tcPr>
          <w:p>
            <w:pPr>
              <w:spacing w:after="0"/>
              <w:rPr>
                <w:sz w:val="17"/>
                <w:szCs w:val="17"/>
                <w:color w:val="auto"/>
              </w:rPr>
            </w:pPr>
          </w:p>
        </w:tc>
        <w:tc>
          <w:tcPr>
            <w:tcW w:w="60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auto"/>
            </w:tcBorders>
            <w:shd w:val="clear" w:color="auto" w:fill="CCEEFF"/>
          </w:tcPr>
          <w:p>
            <w:pPr>
              <w:spacing w:after="0"/>
              <w:rPr>
                <w:sz w:val="17"/>
                <w:szCs w:val="17"/>
                <w:color w:val="auto"/>
              </w:rPr>
            </w:pPr>
          </w:p>
        </w:tc>
        <w:tc>
          <w:tcPr>
            <w:tcW w:w="960" w:type="dxa"/>
            <w:vAlign w:val="bottom"/>
            <w:tcBorders>
              <w:top w:val="single" w:sz="8" w:color="auto"/>
            </w:tcBorders>
            <w:shd w:val="clear" w:color="auto" w:fill="CCEEFF"/>
          </w:tcPr>
          <w:p>
            <w:pPr>
              <w:spacing w:after="0"/>
              <w:rPr>
                <w:sz w:val="17"/>
                <w:szCs w:val="17"/>
                <w:color w:val="auto"/>
              </w:rPr>
            </w:pPr>
          </w:p>
        </w:tc>
        <w:tc>
          <w:tcPr>
            <w:tcW w:w="60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spacing w:after="0"/>
              <w:rPr>
                <w:sz w:val="17"/>
                <w:szCs w:val="17"/>
                <w:color w:val="auto"/>
              </w:rPr>
            </w:pPr>
          </w:p>
        </w:tc>
        <w:tc>
          <w:tcPr>
            <w:tcW w:w="60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880" w:type="dxa"/>
            <w:vAlign w:val="bottom"/>
          </w:tcPr>
          <w:p>
            <w:pPr>
              <w:spacing w:after="0"/>
              <w:rPr>
                <w:sz w:val="18"/>
                <w:szCs w:val="18"/>
                <w:color w:val="auto"/>
              </w:rPr>
            </w:pPr>
          </w:p>
        </w:tc>
        <w:tc>
          <w:tcPr>
            <w:tcW w:w="3280" w:type="dxa"/>
            <w:vAlign w:val="bottom"/>
            <w:gridSpan w:val="2"/>
          </w:tcPr>
          <w:p>
            <w:pPr>
              <w:spacing w:after="0"/>
              <w:rPr>
                <w:sz w:val="20"/>
                <w:szCs w:val="20"/>
                <w:color w:val="auto"/>
              </w:rPr>
            </w:pPr>
            <w:r>
              <w:rPr>
                <w:rFonts w:ascii="Arial" w:cs="Arial" w:eastAsia="Arial" w:hAnsi="Arial"/>
                <w:sz w:val="18"/>
                <w:szCs w:val="18"/>
                <w:color w:val="auto"/>
              </w:rPr>
              <w:t>Assets</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880" w:type="dxa"/>
            <w:vAlign w:val="bottom"/>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940" w:type="dxa"/>
            <w:vAlign w:val="bottom"/>
            <w:shd w:val="clear" w:color="auto" w:fill="CCEEFF"/>
          </w:tcPr>
          <w:p>
            <w:pPr>
              <w:ind w:left="20"/>
              <w:spacing w:after="0"/>
              <w:rPr>
                <w:sz w:val="20"/>
                <w:szCs w:val="20"/>
                <w:color w:val="auto"/>
              </w:rPr>
            </w:pPr>
            <w:r>
              <w:rPr>
                <w:rFonts w:ascii="Arial" w:cs="Arial" w:eastAsia="Arial" w:hAnsi="Arial"/>
                <w:sz w:val="18"/>
                <w:szCs w:val="18"/>
                <w:color w:val="auto"/>
              </w:rPr>
              <w:t>Containers held for sale (1)</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27"/>
              <w:spacing w:after="0"/>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5,845</w:t>
            </w:r>
          </w:p>
        </w:tc>
        <w:tc>
          <w:tcPr>
            <w:tcW w:w="6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680" w:type="dxa"/>
            <w:vAlign w:val="bottom"/>
            <w:gridSpan w:val="2"/>
            <w:shd w:val="clear" w:color="auto" w:fill="CCEEFF"/>
          </w:tcPr>
          <w:p>
            <w:pPr>
              <w:ind w:left="600"/>
              <w:spacing w:after="0"/>
              <w:rPr>
                <w:sz w:val="20"/>
                <w:szCs w:val="20"/>
                <w:color w:val="auto"/>
              </w:rPr>
            </w:pPr>
            <w:r>
              <w:rPr>
                <w:rFonts w:ascii="Arial" w:cs="Arial" w:eastAsia="Arial" w:hAnsi="Arial"/>
                <w:sz w:val="15"/>
                <w:szCs w:val="15"/>
                <w:color w:val="auto"/>
                <w:w w:val="71"/>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2,118</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88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2940" w:type="dxa"/>
            <w:vAlign w:val="bottom"/>
          </w:tcPr>
          <w:p>
            <w:pPr>
              <w:ind w:left="380"/>
              <w:spacing w:after="0"/>
              <w:rPr>
                <w:sz w:val="20"/>
                <w:szCs w:val="20"/>
                <w:color w:val="auto"/>
              </w:rPr>
            </w:pPr>
            <w:r>
              <w:rPr>
                <w:rFonts w:ascii="Arial" w:cs="Arial" w:eastAsia="Arial" w:hAnsi="Arial"/>
                <w:sz w:val="18"/>
                <w:szCs w:val="18"/>
                <w:color w:val="auto"/>
              </w:rPr>
              <w:t>Total</w:t>
            </w:r>
          </w:p>
        </w:tc>
        <w:tc>
          <w:tcPr>
            <w:tcW w:w="20" w:type="dxa"/>
            <w:vAlign w:val="bottom"/>
          </w:tcPr>
          <w:p>
            <w:pPr>
              <w:spacing w:after="0"/>
              <w:rPr>
                <w:sz w:val="19"/>
                <w:szCs w:val="19"/>
                <w:color w:val="auto"/>
              </w:rPr>
            </w:pPr>
          </w:p>
        </w:tc>
        <w:tc>
          <w:tcPr>
            <w:tcW w:w="80" w:type="dxa"/>
            <w:vAlign w:val="bottom"/>
            <w:tcBorders>
              <w:top w:val="single" w:sz="8" w:color="auto"/>
              <w:bottom w:val="single" w:sz="8" w:color="auto"/>
            </w:tcBorders>
          </w:tcPr>
          <w:p>
            <w:pPr>
              <w:spacing w:after="0"/>
              <w:rPr>
                <w:sz w:val="20"/>
                <w:szCs w:val="20"/>
                <w:color w:val="auto"/>
              </w:rPr>
            </w:pPr>
            <w:r>
              <w:rPr>
                <w:rFonts w:ascii="Arial" w:cs="Arial" w:eastAsia="Arial" w:hAnsi="Arial"/>
                <w:sz w:val="15"/>
                <w:szCs w:val="15"/>
                <w:color w:val="auto"/>
                <w:w w:val="71"/>
              </w:rPr>
              <w:t>$</w:t>
            </w:r>
          </w:p>
        </w:tc>
        <w:tc>
          <w:tcPr>
            <w:tcW w:w="1080" w:type="dxa"/>
            <w:vAlign w:val="bottom"/>
            <w:tcBorders>
              <w:top w:val="single" w:sz="8" w:color="auto"/>
              <w:bottom w:val="single" w:sz="8" w:color="auto"/>
            </w:tcBorders>
          </w:tcPr>
          <w:p>
            <w:pPr>
              <w:ind w:left="800"/>
              <w:spacing w:after="0"/>
              <w:rPr>
                <w:sz w:val="20"/>
                <w:szCs w:val="20"/>
                <w:color w:val="auto"/>
              </w:rPr>
            </w:pPr>
            <w:r>
              <w:rPr>
                <w:rFonts w:ascii="Arial" w:cs="Arial" w:eastAsia="Arial" w:hAnsi="Arial"/>
                <w:sz w:val="18"/>
                <w:szCs w:val="18"/>
                <w:color w:val="auto"/>
              </w:rPr>
              <w:t>—</w:t>
            </w:r>
          </w:p>
        </w:tc>
        <w:tc>
          <w:tcPr>
            <w:tcW w:w="600" w:type="dxa"/>
            <w:vAlign w:val="bottom"/>
          </w:tcPr>
          <w:p>
            <w:pPr>
              <w:spacing w:after="0"/>
              <w:rPr>
                <w:sz w:val="19"/>
                <w:szCs w:val="19"/>
                <w:color w:val="auto"/>
              </w:rPr>
            </w:pPr>
          </w:p>
        </w:tc>
        <w:tc>
          <w:tcPr>
            <w:tcW w:w="180" w:type="dxa"/>
            <w:vAlign w:val="bottom"/>
            <w:tcBorders>
              <w:top w:val="single" w:sz="8" w:color="auto"/>
              <w:bottom w:val="single" w:sz="8" w:color="auto"/>
            </w:tcBorders>
          </w:tcPr>
          <w:p>
            <w:pPr>
              <w:jc w:val="right"/>
              <w:ind w:right="27"/>
              <w:spacing w:after="0"/>
              <w:rPr>
                <w:sz w:val="20"/>
                <w:szCs w:val="20"/>
                <w:color w:val="auto"/>
              </w:rPr>
            </w:pPr>
            <w:r>
              <w:rPr>
                <w:rFonts w:ascii="Arial" w:cs="Arial" w:eastAsia="Arial" w:hAnsi="Arial"/>
                <w:sz w:val="15"/>
                <w:szCs w:val="15"/>
                <w:color w:val="auto"/>
                <w:w w:val="71"/>
              </w:rPr>
              <w:t>$</w:t>
            </w:r>
          </w:p>
        </w:tc>
        <w:tc>
          <w:tcPr>
            <w:tcW w:w="9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5,845</w:t>
            </w:r>
          </w:p>
        </w:tc>
        <w:tc>
          <w:tcPr>
            <w:tcW w:w="600" w:type="dxa"/>
            <w:vAlign w:val="bottom"/>
          </w:tcPr>
          <w:p>
            <w:pPr>
              <w:spacing w:after="0"/>
              <w:rPr>
                <w:sz w:val="19"/>
                <w:szCs w:val="19"/>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spacing w:after="0"/>
              <w:rPr>
                <w:sz w:val="19"/>
                <w:szCs w:val="19"/>
                <w:color w:val="auto"/>
              </w:rPr>
            </w:pPr>
          </w:p>
        </w:tc>
        <w:tc>
          <w:tcPr>
            <w:tcW w:w="80" w:type="dxa"/>
            <w:vAlign w:val="bottom"/>
            <w:tcBorders>
              <w:top w:val="single" w:sz="8" w:color="auto"/>
              <w:bottom w:val="single" w:sz="8" w:color="auto"/>
            </w:tcBorders>
          </w:tcPr>
          <w:p>
            <w:pPr>
              <w:spacing w:after="0"/>
              <w:rPr>
                <w:sz w:val="20"/>
                <w:szCs w:val="20"/>
                <w:color w:val="auto"/>
              </w:rPr>
            </w:pPr>
            <w:r>
              <w:rPr>
                <w:rFonts w:ascii="Arial" w:cs="Arial" w:eastAsia="Arial" w:hAnsi="Arial"/>
                <w:sz w:val="15"/>
                <w:szCs w:val="15"/>
                <w:color w:val="auto"/>
                <w:w w:val="71"/>
              </w:rPr>
              <w:t>$</w:t>
            </w: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2,118</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8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9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880" w:type="dxa"/>
            <w:vAlign w:val="bottom"/>
          </w:tcPr>
          <w:p>
            <w:pPr>
              <w:spacing w:after="0"/>
              <w:rPr>
                <w:sz w:val="18"/>
                <w:szCs w:val="18"/>
                <w:color w:val="auto"/>
              </w:rPr>
            </w:pPr>
          </w:p>
        </w:tc>
        <w:tc>
          <w:tcPr>
            <w:tcW w:w="328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December 31, 2019</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880" w:type="dxa"/>
            <w:vAlign w:val="bottom"/>
          </w:tcPr>
          <w:p>
            <w:pPr>
              <w:spacing w:after="0"/>
              <w:rPr>
                <w:sz w:val="18"/>
                <w:szCs w:val="18"/>
                <w:color w:val="auto"/>
              </w:rPr>
            </w:pPr>
          </w:p>
        </w:tc>
        <w:tc>
          <w:tcPr>
            <w:tcW w:w="3280" w:type="dxa"/>
            <w:vAlign w:val="bottom"/>
            <w:gridSpan w:val="2"/>
          </w:tcPr>
          <w:p>
            <w:pPr>
              <w:spacing w:after="0"/>
              <w:rPr>
                <w:sz w:val="20"/>
                <w:szCs w:val="20"/>
                <w:color w:val="auto"/>
              </w:rPr>
            </w:pPr>
            <w:r>
              <w:rPr>
                <w:rFonts w:ascii="Arial" w:cs="Arial" w:eastAsia="Arial" w:hAnsi="Arial"/>
                <w:sz w:val="18"/>
                <w:szCs w:val="18"/>
                <w:color w:val="auto"/>
              </w:rPr>
              <w:t>Assets</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880" w:type="dxa"/>
            <w:vAlign w:val="bottom"/>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940" w:type="dxa"/>
            <w:vAlign w:val="bottom"/>
            <w:shd w:val="clear" w:color="auto" w:fill="CCEEFF"/>
          </w:tcPr>
          <w:p>
            <w:pPr>
              <w:ind w:left="20"/>
              <w:spacing w:after="0"/>
              <w:rPr>
                <w:sz w:val="20"/>
                <w:szCs w:val="20"/>
                <w:color w:val="auto"/>
              </w:rPr>
            </w:pPr>
            <w:r>
              <w:rPr>
                <w:rFonts w:ascii="Arial" w:cs="Arial" w:eastAsia="Arial" w:hAnsi="Arial"/>
                <w:sz w:val="18"/>
                <w:szCs w:val="18"/>
                <w:color w:val="auto"/>
              </w:rPr>
              <w:t>Containers held for sale (1)</w:t>
            </w:r>
          </w:p>
        </w:tc>
        <w:tc>
          <w:tcPr>
            <w:tcW w:w="10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79"/>
              </w:rPr>
              <w:t>$</w:t>
            </w:r>
          </w:p>
        </w:tc>
        <w:tc>
          <w:tcPr>
            <w:tcW w:w="1080" w:type="dxa"/>
            <w:vAlign w:val="bottom"/>
            <w:shd w:val="clear" w:color="auto" w:fill="CCEEFF"/>
          </w:tcPr>
          <w:p>
            <w:pPr>
              <w:ind w:left="800"/>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27"/>
              <w:spacing w:after="0"/>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22,217</w:t>
            </w: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80" w:type="dxa"/>
            <w:vAlign w:val="bottom"/>
            <w:gridSpan w:val="2"/>
            <w:shd w:val="clear" w:color="auto" w:fill="CCEEFF"/>
          </w:tcPr>
          <w:p>
            <w:pPr>
              <w:ind w:left="600"/>
              <w:spacing w:after="0"/>
              <w:rPr>
                <w:sz w:val="20"/>
                <w:szCs w:val="20"/>
                <w:color w:val="auto"/>
              </w:rPr>
            </w:pPr>
            <w:r>
              <w:rPr>
                <w:rFonts w:ascii="Arial" w:cs="Arial" w:eastAsia="Arial" w:hAnsi="Arial"/>
                <w:sz w:val="15"/>
                <w:szCs w:val="15"/>
                <w:color w:val="auto"/>
                <w:w w:val="71"/>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6,346</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88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2940" w:type="dxa"/>
            <w:vAlign w:val="bottom"/>
          </w:tcPr>
          <w:p>
            <w:pPr>
              <w:ind w:left="380"/>
              <w:spacing w:after="0"/>
              <w:rPr>
                <w:sz w:val="20"/>
                <w:szCs w:val="20"/>
                <w:color w:val="auto"/>
              </w:rPr>
            </w:pPr>
            <w:r>
              <w:rPr>
                <w:rFonts w:ascii="Arial" w:cs="Arial" w:eastAsia="Arial" w:hAnsi="Arial"/>
                <w:sz w:val="18"/>
                <w:szCs w:val="18"/>
                <w:color w:val="auto"/>
              </w:rPr>
              <w:t>Total</w:t>
            </w:r>
          </w:p>
        </w:tc>
        <w:tc>
          <w:tcPr>
            <w:tcW w:w="20" w:type="dxa"/>
            <w:vAlign w:val="bottom"/>
            <w:tcBorders>
              <w:bottom w:val="single" w:sz="8" w:color="auto"/>
            </w:tcBorders>
          </w:tcPr>
          <w:p>
            <w:pPr>
              <w:spacing w:after="0"/>
              <w:rPr>
                <w:sz w:val="19"/>
                <w:szCs w:val="19"/>
                <w:color w:val="auto"/>
              </w:rPr>
            </w:pPr>
          </w:p>
        </w:tc>
        <w:tc>
          <w:tcPr>
            <w:tcW w:w="80" w:type="dxa"/>
            <w:vAlign w:val="bottom"/>
            <w:tcBorders>
              <w:top w:val="single" w:sz="8" w:color="auto"/>
              <w:bottom w:val="single" w:sz="8" w:color="auto"/>
            </w:tcBorders>
          </w:tcPr>
          <w:p>
            <w:pPr>
              <w:spacing w:after="0"/>
              <w:rPr>
                <w:sz w:val="20"/>
                <w:szCs w:val="20"/>
                <w:color w:val="auto"/>
              </w:rPr>
            </w:pPr>
            <w:r>
              <w:rPr>
                <w:rFonts w:ascii="Arial" w:cs="Arial" w:eastAsia="Arial" w:hAnsi="Arial"/>
                <w:sz w:val="15"/>
                <w:szCs w:val="15"/>
                <w:color w:val="auto"/>
                <w:w w:val="71"/>
              </w:rPr>
              <w:t>$</w:t>
            </w:r>
          </w:p>
        </w:tc>
        <w:tc>
          <w:tcPr>
            <w:tcW w:w="1080" w:type="dxa"/>
            <w:vAlign w:val="bottom"/>
            <w:tcBorders>
              <w:top w:val="single" w:sz="8" w:color="auto"/>
              <w:bottom w:val="single" w:sz="8" w:color="auto"/>
            </w:tcBorders>
          </w:tcPr>
          <w:p>
            <w:pPr>
              <w:ind w:left="800"/>
              <w:spacing w:after="0"/>
              <w:rPr>
                <w:sz w:val="20"/>
                <w:szCs w:val="20"/>
                <w:color w:val="auto"/>
              </w:rPr>
            </w:pPr>
            <w:r>
              <w:rPr>
                <w:rFonts w:ascii="Arial" w:cs="Arial" w:eastAsia="Arial" w:hAnsi="Arial"/>
                <w:sz w:val="18"/>
                <w:szCs w:val="18"/>
                <w:color w:val="auto"/>
              </w:rPr>
              <w:t>—</w:t>
            </w:r>
          </w:p>
        </w:tc>
        <w:tc>
          <w:tcPr>
            <w:tcW w:w="600" w:type="dxa"/>
            <w:vAlign w:val="bottom"/>
          </w:tcPr>
          <w:p>
            <w:pPr>
              <w:spacing w:after="0"/>
              <w:rPr>
                <w:sz w:val="19"/>
                <w:szCs w:val="19"/>
                <w:color w:val="auto"/>
              </w:rPr>
            </w:pPr>
          </w:p>
        </w:tc>
        <w:tc>
          <w:tcPr>
            <w:tcW w:w="180" w:type="dxa"/>
            <w:vAlign w:val="bottom"/>
            <w:tcBorders>
              <w:top w:val="single" w:sz="8" w:color="auto"/>
              <w:bottom w:val="single" w:sz="8" w:color="auto"/>
            </w:tcBorders>
          </w:tcPr>
          <w:p>
            <w:pPr>
              <w:jc w:val="right"/>
              <w:ind w:right="27"/>
              <w:spacing w:after="0"/>
              <w:rPr>
                <w:sz w:val="20"/>
                <w:szCs w:val="20"/>
                <w:color w:val="auto"/>
              </w:rPr>
            </w:pPr>
            <w:r>
              <w:rPr>
                <w:rFonts w:ascii="Arial" w:cs="Arial" w:eastAsia="Arial" w:hAnsi="Arial"/>
                <w:sz w:val="15"/>
                <w:szCs w:val="15"/>
                <w:color w:val="auto"/>
                <w:w w:val="71"/>
              </w:rPr>
              <w:t>$</w:t>
            </w:r>
          </w:p>
        </w:tc>
        <w:tc>
          <w:tcPr>
            <w:tcW w:w="9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22,217</w:t>
            </w:r>
          </w:p>
        </w:tc>
        <w:tc>
          <w:tcPr>
            <w:tcW w:w="600" w:type="dxa"/>
            <w:vAlign w:val="bottom"/>
          </w:tcPr>
          <w:p>
            <w:pPr>
              <w:spacing w:after="0"/>
              <w:rPr>
                <w:sz w:val="19"/>
                <w:szCs w:val="19"/>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spacing w:after="0"/>
              <w:rPr>
                <w:sz w:val="19"/>
                <w:szCs w:val="19"/>
                <w:color w:val="auto"/>
              </w:rPr>
            </w:pPr>
          </w:p>
        </w:tc>
        <w:tc>
          <w:tcPr>
            <w:tcW w:w="80" w:type="dxa"/>
            <w:vAlign w:val="bottom"/>
            <w:tcBorders>
              <w:top w:val="single" w:sz="8" w:color="auto"/>
              <w:bottom w:val="single" w:sz="8" w:color="auto"/>
            </w:tcBorders>
          </w:tcPr>
          <w:p>
            <w:pPr>
              <w:spacing w:after="0"/>
              <w:rPr>
                <w:sz w:val="20"/>
                <w:szCs w:val="20"/>
                <w:color w:val="auto"/>
              </w:rPr>
            </w:pPr>
            <w:r>
              <w:rPr>
                <w:rFonts w:ascii="Arial" w:cs="Arial" w:eastAsia="Arial" w:hAnsi="Arial"/>
                <w:sz w:val="15"/>
                <w:szCs w:val="15"/>
                <w:color w:val="auto"/>
                <w:w w:val="71"/>
              </w:rPr>
              <w:t>$</w:t>
            </w: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6,346</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8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9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9"/>
        </w:trPr>
        <w:tc>
          <w:tcPr>
            <w:tcW w:w="880" w:type="dxa"/>
            <w:vAlign w:val="bottom"/>
            <w:tcBorders>
              <w:bottom w:val="single" w:sz="8" w:color="auto"/>
            </w:tcBorders>
          </w:tcPr>
          <w:p>
            <w:pPr>
              <w:spacing w:after="0"/>
              <w:rPr>
                <w:sz w:val="11"/>
                <w:szCs w:val="11"/>
                <w:color w:val="auto"/>
              </w:rPr>
            </w:pPr>
          </w:p>
        </w:tc>
        <w:tc>
          <w:tcPr>
            <w:tcW w:w="340" w:type="dxa"/>
            <w:vAlign w:val="bottom"/>
            <w:tcBorders>
              <w:bottom w:val="single" w:sz="8" w:color="auto"/>
            </w:tcBorders>
          </w:tcPr>
          <w:p>
            <w:pPr>
              <w:spacing w:after="0"/>
              <w:rPr>
                <w:sz w:val="11"/>
                <w:szCs w:val="11"/>
                <w:color w:val="auto"/>
              </w:rPr>
            </w:pPr>
          </w:p>
        </w:tc>
        <w:tc>
          <w:tcPr>
            <w:tcW w:w="29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8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96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26" w:lineRule="exact"/>
        <w:rPr>
          <w:sz w:val="20"/>
          <w:szCs w:val="20"/>
          <w:color w:val="auto"/>
        </w:rPr>
      </w:pPr>
    </w:p>
    <w:p>
      <w:pPr>
        <w:ind w:left="424" w:right="280" w:hanging="424"/>
        <w:spacing w:after="0" w:line="258" w:lineRule="auto"/>
        <w:tabs>
          <w:tab w:leader="none" w:pos="424" w:val="left"/>
        </w:tabs>
        <w:numPr>
          <w:ilvl w:val="0"/>
          <w:numId w:val="115"/>
        </w:numPr>
        <w:rPr>
          <w:rFonts w:ascii="Arial" w:cs="Arial" w:eastAsia="Arial" w:hAnsi="Arial"/>
          <w:sz w:val="18"/>
          <w:szCs w:val="18"/>
          <w:color w:val="auto"/>
        </w:rPr>
      </w:pPr>
      <w:r>
        <w:rPr>
          <w:rFonts w:ascii="Arial" w:cs="Arial" w:eastAsia="Arial" w:hAnsi="Arial"/>
          <w:sz w:val="18"/>
          <w:szCs w:val="18"/>
          <w:color w:val="auto"/>
        </w:rPr>
        <w:t>Represents the carrying value of containers included in “containers held for sale” in the consolidated balance sheets that have been impaired to write down the value of the containers to their estimated fair value less cost to sell.</w:t>
      </w:r>
    </w:p>
    <w:p>
      <w:pPr>
        <w:spacing w:after="0" w:line="1" w:lineRule="exact"/>
        <w:rPr>
          <w:rFonts w:ascii="Arial" w:cs="Arial" w:eastAsia="Arial" w:hAnsi="Arial"/>
          <w:sz w:val="18"/>
          <w:szCs w:val="18"/>
          <w:color w:val="auto"/>
        </w:rPr>
      </w:pPr>
    </w:p>
    <w:p>
      <w:pPr>
        <w:ind w:left="424" w:right="280" w:hanging="424"/>
        <w:spacing w:after="0" w:line="260" w:lineRule="auto"/>
        <w:tabs>
          <w:tab w:leader="none" w:pos="424" w:val="left"/>
        </w:tabs>
        <w:numPr>
          <w:ilvl w:val="0"/>
          <w:numId w:val="115"/>
        </w:numPr>
        <w:rPr>
          <w:rFonts w:ascii="Arial" w:cs="Arial" w:eastAsia="Arial" w:hAnsi="Arial"/>
          <w:sz w:val="18"/>
          <w:szCs w:val="18"/>
          <w:color w:val="auto"/>
        </w:rPr>
      </w:pPr>
      <w:r>
        <w:rPr>
          <w:rFonts w:ascii="Arial" w:cs="Arial" w:eastAsia="Arial" w:hAnsi="Arial"/>
          <w:sz w:val="18"/>
          <w:szCs w:val="18"/>
          <w:color w:val="auto"/>
        </w:rPr>
        <w:t>Represents the cumulative net impairment charges recognized on equipment held for sale from the date of designated held for sale status to the indicated period end date.</w:t>
      </w:r>
    </w:p>
    <w:p>
      <w:pPr>
        <w:spacing w:after="0" w:line="293" w:lineRule="exact"/>
        <w:rPr>
          <w:sz w:val="20"/>
          <w:szCs w:val="20"/>
          <w:color w:val="auto"/>
        </w:rPr>
      </w:pPr>
    </w:p>
    <w:p>
      <w:pPr>
        <w:ind w:left="4"/>
        <w:spacing w:after="0"/>
        <w:rPr>
          <w:sz w:val="20"/>
          <w:szCs w:val="20"/>
          <w:color w:val="auto"/>
        </w:rPr>
      </w:pPr>
      <w:r>
        <w:rPr>
          <w:rFonts w:ascii="Arial" w:cs="Arial" w:eastAsia="Arial" w:hAnsi="Arial"/>
          <w:sz w:val="18"/>
          <w:szCs w:val="18"/>
          <w:i w:val="1"/>
          <w:iCs w:val="1"/>
          <w:color w:val="auto"/>
        </w:rPr>
        <w:t>Fair Value of Containers Held for Sale</w:t>
      </w:r>
    </w:p>
    <w:p>
      <w:pPr>
        <w:spacing w:after="0" w:line="117" w:lineRule="exact"/>
        <w:rPr>
          <w:sz w:val="20"/>
          <w:szCs w:val="20"/>
          <w:color w:val="auto"/>
        </w:rPr>
      </w:pPr>
    </w:p>
    <w:p>
      <w:pPr>
        <w:ind w:left="4" w:right="20" w:firstLine="440"/>
        <w:spacing w:after="0" w:line="259" w:lineRule="auto"/>
        <w:rPr>
          <w:sz w:val="20"/>
          <w:szCs w:val="20"/>
          <w:color w:val="auto"/>
        </w:rPr>
      </w:pPr>
      <w:r>
        <w:rPr>
          <w:rFonts w:ascii="Arial" w:cs="Arial" w:eastAsia="Arial" w:hAnsi="Arial"/>
          <w:sz w:val="18"/>
          <w:szCs w:val="18"/>
          <w:color w:val="auto"/>
        </w:rPr>
        <w:t>The Company recorded impairments to write down the value of containers identified for sale to their estimated fair value less cost to sell under a Level 2 input. The Company relies on its recent sales proceeds for sales of similar types of containers in the locations in which the containers are stored. Subsequent additions or reductions to the fair values of these written down assets are recorded as adjustments to the carrying value of the equipment held for sale.</w:t>
      </w:r>
    </w:p>
    <w:p>
      <w:pPr>
        <w:spacing w:after="0" w:line="295" w:lineRule="exact"/>
        <w:rPr>
          <w:sz w:val="20"/>
          <w:szCs w:val="20"/>
          <w:color w:val="auto"/>
        </w:rPr>
      </w:pPr>
    </w:p>
    <w:p>
      <w:pPr>
        <w:ind w:left="4"/>
        <w:spacing w:after="0"/>
        <w:rPr>
          <w:sz w:val="20"/>
          <w:szCs w:val="20"/>
          <w:color w:val="auto"/>
        </w:rPr>
      </w:pPr>
      <w:r>
        <w:rPr>
          <w:rFonts w:ascii="Arial" w:cs="Arial" w:eastAsia="Arial" w:hAnsi="Arial"/>
          <w:sz w:val="18"/>
          <w:szCs w:val="18"/>
          <w:i w:val="1"/>
          <w:iCs w:val="1"/>
          <w:color w:val="auto"/>
        </w:rPr>
        <w:t>Fair Value of Other Assets and Liabilities</w:t>
      </w:r>
    </w:p>
    <w:p>
      <w:pPr>
        <w:spacing w:after="0" w:line="117" w:lineRule="exact"/>
        <w:rPr>
          <w:sz w:val="20"/>
          <w:szCs w:val="20"/>
          <w:color w:val="auto"/>
        </w:rPr>
      </w:pPr>
    </w:p>
    <w:p>
      <w:pPr>
        <w:ind w:left="4" w:firstLine="440"/>
        <w:spacing w:after="0" w:line="254" w:lineRule="auto"/>
        <w:rPr>
          <w:sz w:val="20"/>
          <w:szCs w:val="20"/>
          <w:color w:val="auto"/>
        </w:rPr>
      </w:pPr>
      <w:r>
        <w:rPr>
          <w:rFonts w:ascii="Arial" w:cs="Arial" w:eastAsia="Arial" w:hAnsi="Arial"/>
          <w:sz w:val="18"/>
          <w:szCs w:val="18"/>
          <w:color w:val="auto"/>
        </w:rPr>
        <w:t>At December 31, 2020 and 2019, the fair value of net investment in finance leases (including the short-term balance) was approximately $856,392 and $299,275 at December 31, 2020 and 2019, respectively, compared to book values of $879,960 and $295,303 at December 31, 2020 and 2019, respectively. The fair value of container leaseback financing receivable (including the short-term balance) was approximately $363,774 and $267,551 at December 31, 2020 and 2019, respectively, compared to book values of $363,868 and $271,658 at December 31, 2020 and 2019, respectively. The fair value of long-term debt (including current maturities) based on the borrowing rates available to the Company was approximately $4,144,332 and $3,798,683 at December 31, 2020 and 2019, respectively, compared to book values of $4,115,344 and $3,797,729 at December 31, 2020 and 2019, respectively.</w:t>
      </w:r>
    </w:p>
    <w:p>
      <w:pPr>
        <w:spacing w:after="0" w:line="343" w:lineRule="exact"/>
        <w:rPr>
          <w:sz w:val="20"/>
          <w:szCs w:val="20"/>
          <w:color w:val="auto"/>
        </w:rPr>
      </w:pPr>
    </w:p>
    <w:p>
      <w:pPr>
        <w:ind w:left="424" w:hanging="424"/>
        <w:spacing w:after="0"/>
        <w:tabs>
          <w:tab w:leader="none" w:pos="424" w:val="left"/>
        </w:tabs>
        <w:numPr>
          <w:ilvl w:val="0"/>
          <w:numId w:val="116"/>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Leases</w:t>
      </w:r>
    </w:p>
    <w:p>
      <w:pPr>
        <w:spacing w:after="0" w:line="117" w:lineRule="exact"/>
        <w:rPr>
          <w:sz w:val="20"/>
          <w:szCs w:val="20"/>
          <w:color w:val="auto"/>
        </w:rPr>
      </w:pPr>
    </w:p>
    <w:p>
      <w:pPr>
        <w:ind w:left="4" w:right="100" w:firstLine="440"/>
        <w:spacing w:after="0" w:line="301" w:lineRule="auto"/>
        <w:rPr>
          <w:sz w:val="20"/>
          <w:szCs w:val="20"/>
          <w:color w:val="auto"/>
        </w:rPr>
      </w:pPr>
      <w:r>
        <w:rPr>
          <w:rFonts w:ascii="Arial" w:cs="Arial" w:eastAsia="Arial" w:hAnsi="Arial"/>
          <w:sz w:val="16"/>
          <w:szCs w:val="16"/>
          <w:color w:val="auto"/>
        </w:rPr>
        <w:t>The Company adopted FASB Accounting Standards Update No. 2016-02, Leases (“ASU 2016-02”) on the effective date of January 1, 2019 by using the effective date transition method and by electing the “package of practical expedients.” As a result of the adoption of the new lease accounting guidance, the Company (as a lessee) recognized a right-of-use asset and lease liability in the consolidated balance sheets for all existing office space leases on January 1, 2019, with the exception for short-term leases and leases that commence at or near the end of the underlying asset’s economic life.</w:t>
      </w:r>
    </w:p>
    <w:p>
      <w:pPr>
        <w:spacing w:after="0" w:line="157" w:lineRule="exact"/>
        <w:rPr>
          <w:sz w:val="20"/>
          <w:szCs w:val="20"/>
          <w:color w:val="auto"/>
        </w:rPr>
      </w:pPr>
    </w:p>
    <w:p>
      <w:pPr>
        <w:ind w:left="4" w:right="140" w:firstLine="440"/>
        <w:spacing w:after="0" w:line="257" w:lineRule="auto"/>
        <w:rPr>
          <w:sz w:val="20"/>
          <w:szCs w:val="20"/>
          <w:color w:val="auto"/>
        </w:rPr>
      </w:pPr>
      <w:r>
        <w:rPr>
          <w:rFonts w:ascii="Arial" w:cs="Arial" w:eastAsia="Arial" w:hAnsi="Arial"/>
          <w:sz w:val="18"/>
          <w:szCs w:val="18"/>
          <w:color w:val="auto"/>
        </w:rPr>
        <w:t>As a result of the adoption of the new lease accounting guidance, the Company’s accounting (as a lessor) for finance leases and operating leases remained substantially unchanged and did not have an impact on the timing of revenue recognition relating to lease rental income in its consolidated statements of operations. The Company’s consolidated statements of cash flows report all cash receipts from leases, including principal payments received from finance leases within operating activities instead of investing activities as a result of the adoption of ASU 2016-02. See Note 5 “Leases” for further discussion.</w:t>
      </w:r>
    </w:p>
    <w:p>
      <w:pPr>
        <w:spacing w:after="0" w:line="120"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F-23</w:t>
      </w:r>
    </w:p>
    <w:p>
      <w:pPr>
        <w:sectPr>
          <w:pgSz w:w="11900" w:h="16838" w:orient="portrait"/>
          <w:cols w:equalWidth="0" w:num="1">
            <w:col w:w="10984"/>
          </w:cols>
          <w:pgMar w:left="436" w:top="274" w:right="479" w:bottom="1440" w:gutter="0" w:footer="0" w:header="0"/>
        </w:sectPr>
      </w:pPr>
    </w:p>
    <w:bookmarkStart w:id="137" w:name="page138"/>
    <w:bookmarkEnd w:id="137"/>
    <w:p>
      <w:pPr>
        <w:ind w:left="424" w:hanging="424"/>
        <w:spacing w:after="0"/>
        <w:tabs>
          <w:tab w:leader="none" w:pos="424" w:val="left"/>
        </w:tabs>
        <w:numPr>
          <w:ilvl w:val="0"/>
          <w:numId w:val="117"/>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Recently Issued Accounting Standards and Pronouncements</w:t>
      </w:r>
    </w:p>
    <w:p>
      <w:pPr>
        <w:spacing w:after="0" w:line="117" w:lineRule="exact"/>
        <w:rPr>
          <w:sz w:val="20"/>
          <w:szCs w:val="20"/>
          <w:color w:val="auto"/>
        </w:rPr>
      </w:pPr>
    </w:p>
    <w:p>
      <w:pPr>
        <w:ind w:left="4" w:right="20" w:firstLine="440"/>
        <w:spacing w:after="0" w:line="289" w:lineRule="auto"/>
        <w:rPr>
          <w:sz w:val="20"/>
          <w:szCs w:val="20"/>
          <w:color w:val="auto"/>
        </w:rPr>
      </w:pPr>
      <w:r>
        <w:rPr>
          <w:rFonts w:ascii="Arial" w:cs="Arial" w:eastAsia="Arial" w:hAnsi="Arial"/>
          <w:sz w:val="16"/>
          <w:szCs w:val="16"/>
          <w:color w:val="auto"/>
        </w:rPr>
        <w:t xml:space="preserve">In March 2020, the FASB issued Accounting Standards Update No. 2020-04, </w:t>
      </w:r>
      <w:r>
        <w:rPr>
          <w:rFonts w:ascii="Arial" w:cs="Arial" w:eastAsia="Arial" w:hAnsi="Arial"/>
          <w:sz w:val="16"/>
          <w:szCs w:val="16"/>
          <w:i w:val="1"/>
          <w:iCs w:val="1"/>
          <w:color w:val="auto"/>
        </w:rPr>
        <w:t>Reference Rate Reform (“Topic 848”)</w:t>
      </w:r>
      <w:r>
        <w:rPr>
          <w:rFonts w:ascii="Arial" w:cs="Arial" w:eastAsia="Arial" w:hAnsi="Arial"/>
          <w:sz w:val="16"/>
          <w:szCs w:val="16"/>
          <w:color w:val="auto"/>
        </w:rPr>
        <w:t>: Facilitation of the Effects of Reference Rate Reform on Financial Reporting (“ASU 2020-04”). In January 2021, the FASB also issued Accounting Standards Update No 2021-01</w:t>
      </w:r>
      <w:r>
        <w:rPr>
          <w:rFonts w:ascii="Arial" w:cs="Arial" w:eastAsia="Arial" w:hAnsi="Arial"/>
          <w:sz w:val="16"/>
          <w:szCs w:val="16"/>
          <w:i w:val="1"/>
          <w:iCs w:val="1"/>
          <w:color w:val="auto"/>
        </w:rPr>
        <w:t>,</w:t>
      </w:r>
      <w:r>
        <w:rPr>
          <w:rFonts w:ascii="Arial" w:cs="Arial" w:eastAsia="Arial" w:hAnsi="Arial"/>
          <w:sz w:val="16"/>
          <w:szCs w:val="16"/>
          <w:color w:val="auto"/>
        </w:rPr>
        <w:t xml:space="preserve"> </w:t>
      </w:r>
      <w:r>
        <w:rPr>
          <w:rFonts w:ascii="Arial" w:cs="Arial" w:eastAsia="Arial" w:hAnsi="Arial"/>
          <w:sz w:val="16"/>
          <w:szCs w:val="16"/>
          <w:i w:val="1"/>
          <w:iCs w:val="1"/>
          <w:color w:val="auto"/>
        </w:rPr>
        <w:t xml:space="preserve">Reference Rate Reform: Scope </w:t>
      </w:r>
      <w:r>
        <w:rPr>
          <w:rFonts w:ascii="Arial" w:cs="Arial" w:eastAsia="Arial" w:hAnsi="Arial"/>
          <w:sz w:val="16"/>
          <w:szCs w:val="16"/>
          <w:color w:val="auto"/>
        </w:rPr>
        <w:t>(“ASU 2021-01”), which expands the scope of Topic 848</w:t>
      </w:r>
      <w:r>
        <w:rPr>
          <w:rFonts w:ascii="Arial" w:cs="Arial" w:eastAsia="Arial" w:hAnsi="Arial"/>
          <w:sz w:val="16"/>
          <w:szCs w:val="16"/>
          <w:i w:val="1"/>
          <w:iCs w:val="1"/>
          <w:color w:val="auto"/>
        </w:rPr>
        <w:t xml:space="preserve">. </w:t>
      </w:r>
      <w:r>
        <w:rPr>
          <w:rFonts w:ascii="Arial" w:cs="Arial" w:eastAsia="Arial" w:hAnsi="Arial"/>
          <w:sz w:val="16"/>
          <w:szCs w:val="16"/>
          <w:color w:val="auto"/>
        </w:rPr>
        <w:t>The amendments provide optional guidance for a limited time</w:t>
      </w:r>
      <w:r>
        <w:rPr>
          <w:rFonts w:ascii="Arial" w:cs="Arial" w:eastAsia="Arial" w:hAnsi="Arial"/>
          <w:sz w:val="16"/>
          <w:szCs w:val="16"/>
          <w:i w:val="1"/>
          <w:iCs w:val="1"/>
          <w:color w:val="auto"/>
        </w:rPr>
        <w:t xml:space="preserve"> </w:t>
      </w:r>
      <w:r>
        <w:rPr>
          <w:rFonts w:ascii="Arial" w:cs="Arial" w:eastAsia="Arial" w:hAnsi="Arial"/>
          <w:sz w:val="16"/>
          <w:szCs w:val="16"/>
          <w:color w:val="auto"/>
        </w:rPr>
        <w:t>to ease the potential burden in accounting for reference rate reform. The new guidance provides optional expedients and exceptions for applying U.S. GAAP to contracts, hedging relationships and other transactions affected by the reference rate reform if certain criteria are met, that reference LIBOR or another rate that is expected to be discontinued due to reference rate reform. The amendments in ASU 2020-04 are effective immediately and may be applied prospectively to contract modifications made and hedging relationships entered into or evaluated on or before December 31, 2022. The Company will continue its review of the debt and derivative agreements during the transition period until the USD LIBOR cessation by the end of June 2023. The Company expects the adoption of this guidance will not have a material impact on the Company’s consolidated financial statements.</w:t>
      </w:r>
    </w:p>
    <w:p>
      <w:pPr>
        <w:spacing w:after="0" w:line="166" w:lineRule="exact"/>
        <w:rPr>
          <w:sz w:val="20"/>
          <w:szCs w:val="20"/>
          <w:color w:val="auto"/>
        </w:rPr>
      </w:pPr>
    </w:p>
    <w:p>
      <w:pPr>
        <w:ind w:left="4" w:right="220" w:firstLine="440"/>
        <w:spacing w:after="0" w:line="270" w:lineRule="auto"/>
        <w:rPr>
          <w:sz w:val="20"/>
          <w:szCs w:val="20"/>
          <w:color w:val="auto"/>
        </w:rPr>
      </w:pPr>
      <w:r>
        <w:rPr>
          <w:rFonts w:ascii="Arial" w:cs="Arial" w:eastAsia="Arial" w:hAnsi="Arial"/>
          <w:sz w:val="17"/>
          <w:szCs w:val="17"/>
          <w:color w:val="auto"/>
        </w:rPr>
        <w:t>On April 10, 2020, the FASB issued a question-and-answer document regarding accounting for lease concessions and other effects of the coronavirus disease pandemic (“COVID-19”). The document clarifies that entities may elect to not evaluate whether lease-related relief that lessors provide to mitigate the economic effects of COVID-19 on lessees is a lease modification under Leases ASC 842. Instead, an entity that elects not to evaluate whether a concession is a modification can then elect whether to apply the modification guidance (i.e. assume the relief was always contemplated by the contract or assume the relief was not contemplated by the contract). Both lessees and lessors may make this election only when concessions related to the effects of COVID-19 do not result in a substantial increase in the rights of the lessor or the obligations of the lessee. Upon issuance of this document, the Company made the election to apply the practical expedient method to account for any concessions as if they were contemplated as part of our existing leases and will apply this election consistently for all leases. There were no concessions related to the COVID-19 that were granted (as a lessor) or received (as a lessee) as of December 31, 2020.</w:t>
      </w:r>
    </w:p>
    <w:p>
      <w:pPr>
        <w:spacing w:after="0" w:line="181" w:lineRule="exact"/>
        <w:rPr>
          <w:sz w:val="20"/>
          <w:szCs w:val="20"/>
          <w:color w:val="auto"/>
        </w:rPr>
      </w:pPr>
    </w:p>
    <w:p>
      <w:pPr>
        <w:ind w:left="4" w:right="140" w:firstLine="440"/>
        <w:spacing w:after="0" w:line="273" w:lineRule="auto"/>
        <w:rPr>
          <w:sz w:val="20"/>
          <w:szCs w:val="20"/>
          <w:color w:val="auto"/>
        </w:rPr>
      </w:pPr>
      <w:r>
        <w:rPr>
          <w:rFonts w:ascii="Arial" w:cs="Arial" w:eastAsia="Arial" w:hAnsi="Arial"/>
          <w:sz w:val="17"/>
          <w:szCs w:val="17"/>
          <w:color w:val="auto"/>
        </w:rPr>
        <w:t xml:space="preserve">In October 2020, the FASB issued Accounting Standards Update No. 2020-10, </w:t>
      </w:r>
      <w:r>
        <w:rPr>
          <w:rFonts w:ascii="Arial" w:cs="Arial" w:eastAsia="Arial" w:hAnsi="Arial"/>
          <w:sz w:val="17"/>
          <w:szCs w:val="17"/>
          <w:i w:val="1"/>
          <w:iCs w:val="1"/>
          <w:color w:val="auto"/>
        </w:rPr>
        <w:t>Codification Improvements – Disclosures</w:t>
      </w:r>
      <w:r>
        <w:rPr>
          <w:rFonts w:ascii="Arial" w:cs="Arial" w:eastAsia="Arial" w:hAnsi="Arial"/>
          <w:sz w:val="17"/>
          <w:szCs w:val="17"/>
          <w:color w:val="auto"/>
        </w:rPr>
        <w:t xml:space="preserve"> (“ASU 2020-10”) to align with the SEC’s regulations. This ASU improves consistency by amending the codification to include all disclosure guidance in the appropriate disclosure sections and clarifies application of various provisions in the Codification by amending and adding new headings, cross referencing to other guidance, and refining or correcting terminology. The Company will adopt ASU 2020-10 as of the reporting period beginning January 1, 2021. This ASU will not affect the Company’s results of operations, cash flows or financial position and the Company does not expect the adoption to have a material impact on the disclosures to the consolidated financial statements.</w:t>
      </w:r>
    </w:p>
    <w:p>
      <w:pPr>
        <w:spacing w:after="0" w:line="282"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(2) Insurance Receivable and Impairment</w:t>
      </w:r>
    </w:p>
    <w:p>
      <w:pPr>
        <w:spacing w:after="0" w:line="121" w:lineRule="exact"/>
        <w:rPr>
          <w:sz w:val="20"/>
          <w:szCs w:val="20"/>
          <w:color w:val="auto"/>
        </w:rPr>
      </w:pPr>
    </w:p>
    <w:p>
      <w:pPr>
        <w:ind w:left="444"/>
        <w:spacing w:after="0"/>
        <w:rPr>
          <w:sz w:val="20"/>
          <w:szCs w:val="20"/>
          <w:color w:val="auto"/>
        </w:rPr>
      </w:pPr>
      <w:r>
        <w:rPr>
          <w:rFonts w:ascii="Arial" w:cs="Arial" w:eastAsia="Arial" w:hAnsi="Arial"/>
          <w:sz w:val="16"/>
          <w:szCs w:val="16"/>
          <w:color w:val="auto"/>
        </w:rPr>
        <w:t>In 2019, one of the Company’s customers became insolvent and the total net book value of its owned containers to this insolvent customer was</w:t>
      </w:r>
    </w:p>
    <w:p>
      <w:pPr>
        <w:spacing w:after="0" w:line="46" w:lineRule="exact"/>
        <w:rPr>
          <w:sz w:val="20"/>
          <w:szCs w:val="20"/>
          <w:color w:val="auto"/>
        </w:rPr>
      </w:pPr>
    </w:p>
    <w:p>
      <w:pPr>
        <w:ind w:left="4"/>
        <w:spacing w:after="0"/>
        <w:rPr>
          <w:sz w:val="20"/>
          <w:szCs w:val="20"/>
          <w:color w:val="auto"/>
        </w:rPr>
      </w:pPr>
      <w:r>
        <w:rPr>
          <w:rFonts w:ascii="Arial" w:cs="Arial" w:eastAsia="Arial" w:hAnsi="Arial"/>
          <w:sz w:val="16"/>
          <w:szCs w:val="16"/>
          <w:color w:val="auto"/>
        </w:rPr>
        <w:t>$63,120. The Company maintains insurance that covers a portion of the exposure related to the value of containers that are unlikely to be recovered from</w:t>
      </w:r>
    </w:p>
    <w:p>
      <w:pPr>
        <w:spacing w:after="0" w:line="32" w:lineRule="exact"/>
        <w:rPr>
          <w:sz w:val="20"/>
          <w:szCs w:val="20"/>
          <w:color w:val="auto"/>
        </w:rPr>
      </w:pPr>
    </w:p>
    <w:p>
      <w:pPr>
        <w:ind w:left="4"/>
        <w:spacing w:after="0"/>
        <w:rPr>
          <w:sz w:val="20"/>
          <w:szCs w:val="20"/>
          <w:color w:val="auto"/>
        </w:rPr>
      </w:pPr>
      <w:r>
        <w:rPr>
          <w:rFonts w:ascii="Arial" w:cs="Arial" w:eastAsia="Arial" w:hAnsi="Arial"/>
          <w:sz w:val="16"/>
          <w:szCs w:val="16"/>
          <w:color w:val="auto"/>
        </w:rPr>
        <w:t>its customers, the cost to recover containers and up to 183 days of lost lease rental income. Based on prior recovery experience, the Company estimated</w:t>
      </w:r>
    </w:p>
    <w:p>
      <w:pPr>
        <w:spacing w:after="0" w:line="32" w:lineRule="exact"/>
        <w:rPr>
          <w:sz w:val="20"/>
          <w:szCs w:val="20"/>
          <w:color w:val="auto"/>
        </w:rPr>
      </w:pPr>
    </w:p>
    <w:p>
      <w:pPr>
        <w:ind w:left="4"/>
        <w:spacing w:after="0"/>
        <w:rPr>
          <w:sz w:val="20"/>
          <w:szCs w:val="20"/>
          <w:color w:val="auto"/>
        </w:rPr>
      </w:pPr>
      <w:r>
        <w:rPr>
          <w:rFonts w:ascii="Arial" w:cs="Arial" w:eastAsia="Arial" w:hAnsi="Arial"/>
          <w:sz w:val="17"/>
          <w:szCs w:val="17"/>
          <w:color w:val="auto"/>
        </w:rPr>
        <w:t>that containers with a book value of $9,468 would not be recovered from this insolvent customer. Accordingly, the Company recorded impairment</w:t>
      </w:r>
    </w:p>
    <w:p>
      <w:pPr>
        <w:spacing w:after="0" w:line="21" w:lineRule="exact"/>
        <w:rPr>
          <w:sz w:val="20"/>
          <w:szCs w:val="20"/>
          <w:color w:val="auto"/>
        </w:rPr>
      </w:pPr>
    </w:p>
    <w:p>
      <w:pPr>
        <w:ind w:left="4"/>
        <w:spacing w:after="0"/>
        <w:rPr>
          <w:sz w:val="20"/>
          <w:szCs w:val="20"/>
          <w:color w:val="auto"/>
        </w:rPr>
      </w:pPr>
      <w:r>
        <w:rPr>
          <w:rFonts w:ascii="Arial" w:cs="Arial" w:eastAsia="Arial" w:hAnsi="Arial"/>
          <w:sz w:val="17"/>
          <w:szCs w:val="17"/>
          <w:color w:val="auto"/>
        </w:rPr>
        <w:t>charges of $9,059 included in “container lessee default (recovery) expense, net” in the consolidated statements of operations for the year ended</w:t>
      </w:r>
    </w:p>
    <w:p>
      <w:pPr>
        <w:spacing w:after="0" w:line="21" w:lineRule="exact"/>
        <w:rPr>
          <w:sz w:val="20"/>
          <w:szCs w:val="20"/>
          <w:color w:val="auto"/>
        </w:rPr>
      </w:pPr>
    </w:p>
    <w:p>
      <w:pPr>
        <w:ind w:left="4"/>
        <w:spacing w:after="0"/>
        <w:rPr>
          <w:sz w:val="20"/>
          <w:szCs w:val="20"/>
          <w:color w:val="auto"/>
        </w:rPr>
      </w:pPr>
      <w:r>
        <w:rPr>
          <w:rFonts w:ascii="Arial" w:cs="Arial" w:eastAsia="Arial" w:hAnsi="Arial"/>
          <w:sz w:val="17"/>
          <w:szCs w:val="17"/>
          <w:color w:val="auto"/>
        </w:rPr>
        <w:t>December 31, 2019. The Company also recorded bad debt expense of $2,921 in the consolidated statements of operations during the year ended</w:t>
      </w:r>
    </w:p>
    <w:p>
      <w:pPr>
        <w:spacing w:after="0" w:line="21" w:lineRule="exact"/>
        <w:rPr>
          <w:sz w:val="20"/>
          <w:szCs w:val="20"/>
          <w:color w:val="auto"/>
        </w:rPr>
      </w:pPr>
    </w:p>
    <w:p>
      <w:pPr>
        <w:ind w:left="4"/>
        <w:spacing w:after="0"/>
        <w:rPr>
          <w:sz w:val="20"/>
          <w:szCs w:val="20"/>
          <w:color w:val="auto"/>
        </w:rPr>
      </w:pPr>
      <w:r>
        <w:rPr>
          <w:rFonts w:ascii="Arial" w:cs="Arial" w:eastAsia="Arial" w:hAnsi="Arial"/>
          <w:sz w:val="18"/>
          <w:szCs w:val="18"/>
          <w:color w:val="auto"/>
        </w:rPr>
        <w:t>December 31, 2019 to fully reserve for this insolvent customer’s outstanding accounts receivable.</w:t>
      </w:r>
    </w:p>
    <w:p>
      <w:pPr>
        <w:spacing w:after="0" w:line="211" w:lineRule="exact"/>
        <w:rPr>
          <w:sz w:val="20"/>
          <w:szCs w:val="20"/>
          <w:color w:val="auto"/>
        </w:rPr>
      </w:pPr>
    </w:p>
    <w:p>
      <w:pPr>
        <w:ind w:left="4" w:right="80" w:firstLine="440"/>
        <w:spacing w:after="0" w:line="277" w:lineRule="auto"/>
        <w:rPr>
          <w:sz w:val="20"/>
          <w:szCs w:val="20"/>
          <w:color w:val="auto"/>
        </w:rPr>
      </w:pPr>
      <w:r>
        <w:rPr>
          <w:rFonts w:ascii="Arial" w:cs="Arial" w:eastAsia="Arial" w:hAnsi="Arial"/>
          <w:sz w:val="18"/>
          <w:szCs w:val="18"/>
          <w:color w:val="auto"/>
        </w:rPr>
        <w:t>During the year ended December 31, 2020, the Company received $3,091 of cash collection from this insolvent customer, including payments for previously reserved outstanding accounts receivable. An insurance</w:t>
      </w:r>
    </w:p>
    <w:p>
      <w:pPr>
        <w:spacing w:after="0" w:line="10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F-24</w:t>
      </w:r>
    </w:p>
    <w:p>
      <w:pPr>
        <w:sectPr>
          <w:pgSz w:w="11900" w:h="16838" w:orient="portrait"/>
          <w:cols w:equalWidth="0" w:num="1">
            <w:col w:w="11004"/>
          </w:cols>
          <w:pgMar w:left="436" w:top="274" w:right="459" w:bottom="1440" w:gutter="0" w:footer="0" w:header="0"/>
        </w:sectPr>
      </w:pPr>
    </w:p>
    <w:bookmarkStart w:id="138" w:name="page139"/>
    <w:bookmarkEnd w:id="138"/>
    <w:p>
      <w:pPr>
        <w:ind w:right="20"/>
        <w:spacing w:after="0" w:line="27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receivable of $2,106 and $1,792, net of insurance deductible was recorded in the “prepaid expenses and other current assets” in the consolidated balance sheets as of December 31, 2020 and 2019, respectively. As of December 31, 2020, the Company had not yet submitted a final insurance claim which is pending the results of its review of the insolvent customer’s restructuring plan. The restructuring plan was approved by the bankruptcy court on November 4, 2020. As of December 31, 2020, the bankruptcy settlement amount is not determinable and realizable.</w:t>
      </w:r>
    </w:p>
    <w:p>
      <w:pPr>
        <w:spacing w:after="0" w:line="171" w:lineRule="exact"/>
        <w:rPr>
          <w:sz w:val="20"/>
          <w:szCs w:val="20"/>
          <w:color w:val="auto"/>
        </w:rPr>
      </w:pPr>
    </w:p>
    <w:tbl>
      <w:tblPr>
        <w:tblLayout w:type="fixed"/>
        <w:tblInd w:w="440" w:type="dxa"/>
        <w:tblCellMar>
          <w:top w:w="0" w:type="dxa"/>
          <w:left w:w="0" w:type="dxa"/>
          <w:bottom w:w="0" w:type="dxa"/>
          <w:right w:w="0" w:type="dxa"/>
        </w:tblCellMar>
      </w:tblPr>
      <w:tr>
        <w:trPr>
          <w:trHeight w:val="230"/>
        </w:trPr>
        <w:tc>
          <w:tcPr>
            <w:tcW w:w="8240" w:type="dxa"/>
            <w:vAlign w:val="bottom"/>
            <w:gridSpan w:val="2"/>
          </w:tcPr>
          <w:p>
            <w:pPr>
              <w:spacing w:after="0"/>
              <w:rPr>
                <w:sz w:val="20"/>
                <w:szCs w:val="20"/>
                <w:color w:val="auto"/>
              </w:rPr>
            </w:pPr>
            <w:r>
              <w:rPr>
                <w:rFonts w:ascii="Arial" w:cs="Arial" w:eastAsia="Arial" w:hAnsi="Arial"/>
                <w:sz w:val="18"/>
                <w:szCs w:val="18"/>
                <w:color w:val="auto"/>
                <w:w w:val="93"/>
              </w:rPr>
              <w:t>Insurance receivable recorded on the Company’s owned fleet related to this insolvent customer are as follows:</w:t>
            </w:r>
          </w:p>
        </w:tc>
        <w:tc>
          <w:tcPr>
            <w:tcW w:w="10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43"/>
        </w:trPr>
        <w:tc>
          <w:tcPr>
            <w:tcW w:w="1320" w:type="dxa"/>
            <w:vAlign w:val="bottom"/>
            <w:vMerge w:val="restart"/>
          </w:tcPr>
          <w:p>
            <w:pPr>
              <w:spacing w:after="0"/>
              <w:rPr>
                <w:sz w:val="21"/>
                <w:szCs w:val="21"/>
                <w:color w:val="auto"/>
              </w:rPr>
            </w:pPr>
          </w:p>
        </w:tc>
        <w:tc>
          <w:tcPr>
            <w:tcW w:w="69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40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1320" w:type="dxa"/>
            <w:vAlign w:val="bottom"/>
            <w:vMerge w:val="continue"/>
          </w:tcPr>
          <w:p>
            <w:pPr>
              <w:spacing w:after="0"/>
              <w:rPr>
                <w:sz w:val="18"/>
                <w:szCs w:val="18"/>
                <w:color w:val="auto"/>
              </w:rPr>
            </w:pPr>
          </w:p>
        </w:tc>
        <w:tc>
          <w:tcPr>
            <w:tcW w:w="6920" w:type="dxa"/>
            <w:vAlign w:val="bottom"/>
            <w:shd w:val="clear" w:color="auto" w:fill="CCEEFF"/>
          </w:tcPr>
          <w:p>
            <w:pPr>
              <w:spacing w:after="0"/>
              <w:rPr>
                <w:sz w:val="20"/>
                <w:szCs w:val="20"/>
                <w:color w:val="auto"/>
              </w:rPr>
            </w:pPr>
            <w:r>
              <w:rPr>
                <w:rFonts w:ascii="Arial" w:cs="Arial" w:eastAsia="Arial" w:hAnsi="Arial"/>
                <w:sz w:val="18"/>
                <w:szCs w:val="18"/>
                <w:color w:val="auto"/>
              </w:rPr>
              <w:t>Estimated unrecovered containers, net of insurance deductible</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4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409</w:t>
            </w:r>
          </w:p>
        </w:tc>
        <w:tc>
          <w:tcPr>
            <w:tcW w:w="0" w:type="dxa"/>
            <w:vAlign w:val="bottom"/>
          </w:tcPr>
          <w:p>
            <w:pPr>
              <w:spacing w:after="0"/>
              <w:rPr>
                <w:sz w:val="1"/>
                <w:szCs w:val="1"/>
                <w:color w:val="auto"/>
              </w:rPr>
            </w:pPr>
          </w:p>
        </w:tc>
      </w:tr>
      <w:tr>
        <w:trPr>
          <w:trHeight w:val="216"/>
        </w:trPr>
        <w:tc>
          <w:tcPr>
            <w:tcW w:w="1320" w:type="dxa"/>
            <w:vAlign w:val="bottom"/>
          </w:tcPr>
          <w:p>
            <w:pPr>
              <w:spacing w:after="0"/>
              <w:rPr>
                <w:sz w:val="18"/>
                <w:szCs w:val="18"/>
                <w:color w:val="auto"/>
              </w:rPr>
            </w:pPr>
          </w:p>
        </w:tc>
        <w:tc>
          <w:tcPr>
            <w:tcW w:w="6920" w:type="dxa"/>
            <w:vAlign w:val="bottom"/>
          </w:tcPr>
          <w:p>
            <w:pPr>
              <w:spacing w:after="0"/>
              <w:rPr>
                <w:sz w:val="20"/>
                <w:szCs w:val="20"/>
                <w:color w:val="auto"/>
              </w:rPr>
            </w:pPr>
            <w:r>
              <w:rPr>
                <w:rFonts w:ascii="Arial" w:cs="Arial" w:eastAsia="Arial" w:hAnsi="Arial"/>
                <w:sz w:val="18"/>
                <w:szCs w:val="18"/>
                <w:color w:val="auto"/>
              </w:rPr>
              <w:t>Recovery costs</w:t>
            </w:r>
          </w:p>
        </w:tc>
        <w:tc>
          <w:tcPr>
            <w:tcW w:w="100" w:type="dxa"/>
            <w:vAlign w:val="bottom"/>
          </w:tcPr>
          <w:p>
            <w:pPr>
              <w:spacing w:after="0"/>
              <w:rPr>
                <w:sz w:val="18"/>
                <w:szCs w:val="18"/>
                <w:color w:val="auto"/>
              </w:rPr>
            </w:pPr>
          </w:p>
        </w:tc>
        <w:tc>
          <w:tcPr>
            <w:tcW w:w="460" w:type="dxa"/>
            <w:vAlign w:val="bottom"/>
            <w:gridSpan w:val="2"/>
          </w:tcPr>
          <w:p>
            <w:pPr>
              <w:jc w:val="right"/>
              <w:ind w:right="60"/>
              <w:spacing w:after="0"/>
              <w:rPr>
                <w:sz w:val="20"/>
                <w:szCs w:val="20"/>
                <w:color w:val="auto"/>
              </w:rPr>
            </w:pPr>
            <w:r>
              <w:rPr>
                <w:rFonts w:ascii="Arial" w:cs="Arial" w:eastAsia="Arial" w:hAnsi="Arial"/>
                <w:sz w:val="18"/>
                <w:szCs w:val="18"/>
                <w:color w:val="auto"/>
                <w:w w:val="84"/>
              </w:rPr>
              <w:t>1,383</w:t>
            </w:r>
          </w:p>
        </w:tc>
        <w:tc>
          <w:tcPr>
            <w:tcW w:w="0" w:type="dxa"/>
            <w:vAlign w:val="bottom"/>
          </w:tcPr>
          <w:p>
            <w:pPr>
              <w:spacing w:after="0"/>
              <w:rPr>
                <w:sz w:val="1"/>
                <w:szCs w:val="1"/>
                <w:color w:val="auto"/>
              </w:rPr>
            </w:pPr>
          </w:p>
        </w:tc>
      </w:tr>
      <w:tr>
        <w:trPr>
          <w:trHeight w:val="27"/>
        </w:trPr>
        <w:tc>
          <w:tcPr>
            <w:tcW w:w="1320" w:type="dxa"/>
            <w:vAlign w:val="bottom"/>
            <w:vMerge w:val="restart"/>
          </w:tcPr>
          <w:p>
            <w:pPr>
              <w:spacing w:after="0"/>
              <w:rPr>
                <w:sz w:val="2"/>
                <w:szCs w:val="2"/>
                <w:color w:val="auto"/>
              </w:rPr>
            </w:pPr>
          </w:p>
        </w:tc>
        <w:tc>
          <w:tcPr>
            <w:tcW w:w="69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1320" w:type="dxa"/>
            <w:vAlign w:val="bottom"/>
            <w:vMerge w:val="continue"/>
          </w:tcPr>
          <w:p>
            <w:pPr>
              <w:spacing w:after="0"/>
              <w:rPr>
                <w:sz w:val="18"/>
                <w:szCs w:val="18"/>
                <w:color w:val="auto"/>
              </w:rPr>
            </w:pPr>
          </w:p>
        </w:tc>
        <w:tc>
          <w:tcPr>
            <w:tcW w:w="6920" w:type="dxa"/>
            <w:vAlign w:val="bottom"/>
            <w:shd w:val="clear" w:color="auto" w:fill="CCEEFF"/>
          </w:tcPr>
          <w:p>
            <w:pPr>
              <w:spacing w:after="0"/>
              <w:rPr>
                <w:sz w:val="20"/>
                <w:szCs w:val="20"/>
                <w:color w:val="auto"/>
              </w:rPr>
            </w:pPr>
            <w:r>
              <w:rPr>
                <w:rFonts w:ascii="Arial" w:cs="Arial" w:eastAsia="Arial" w:hAnsi="Arial"/>
                <w:sz w:val="18"/>
                <w:szCs w:val="18"/>
                <w:color w:val="auto"/>
              </w:rPr>
              <w:t>Insurance receivable related to this insolvent customer as of December 31, 2019</w:t>
            </w:r>
          </w:p>
        </w:tc>
        <w:tc>
          <w:tcPr>
            <w:tcW w:w="100" w:type="dxa"/>
            <w:vAlign w:val="bottom"/>
            <w:shd w:val="clear" w:color="auto" w:fill="CCEEFF"/>
          </w:tcPr>
          <w:p>
            <w:pPr>
              <w:spacing w:after="0"/>
              <w:rPr>
                <w:sz w:val="18"/>
                <w:szCs w:val="18"/>
                <w:color w:val="auto"/>
              </w:rPr>
            </w:pPr>
          </w:p>
        </w:tc>
        <w:tc>
          <w:tcPr>
            <w:tcW w:w="4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84"/>
              </w:rPr>
              <w:t>1,792</w:t>
            </w:r>
          </w:p>
        </w:tc>
        <w:tc>
          <w:tcPr>
            <w:tcW w:w="0" w:type="dxa"/>
            <w:vAlign w:val="bottom"/>
          </w:tcPr>
          <w:p>
            <w:pPr>
              <w:spacing w:after="0"/>
              <w:rPr>
                <w:sz w:val="1"/>
                <w:szCs w:val="1"/>
                <w:color w:val="auto"/>
              </w:rPr>
            </w:pPr>
          </w:p>
        </w:tc>
      </w:tr>
      <w:tr>
        <w:trPr>
          <w:trHeight w:val="216"/>
        </w:trPr>
        <w:tc>
          <w:tcPr>
            <w:tcW w:w="1320" w:type="dxa"/>
            <w:vAlign w:val="bottom"/>
          </w:tcPr>
          <w:p>
            <w:pPr>
              <w:spacing w:after="0"/>
              <w:rPr>
                <w:sz w:val="18"/>
                <w:szCs w:val="18"/>
                <w:color w:val="auto"/>
              </w:rPr>
            </w:pPr>
          </w:p>
        </w:tc>
        <w:tc>
          <w:tcPr>
            <w:tcW w:w="6920" w:type="dxa"/>
            <w:vAlign w:val="bottom"/>
          </w:tcPr>
          <w:p>
            <w:pPr>
              <w:spacing w:after="0"/>
              <w:rPr>
                <w:sz w:val="20"/>
                <w:szCs w:val="20"/>
                <w:color w:val="auto"/>
              </w:rPr>
            </w:pPr>
            <w:r>
              <w:rPr>
                <w:rFonts w:ascii="Arial" w:cs="Arial" w:eastAsia="Arial" w:hAnsi="Arial"/>
                <w:sz w:val="18"/>
                <w:szCs w:val="18"/>
                <w:color w:val="auto"/>
              </w:rPr>
              <w:t>Recovery costs</w:t>
            </w:r>
          </w:p>
        </w:tc>
        <w:tc>
          <w:tcPr>
            <w:tcW w:w="100" w:type="dxa"/>
            <w:vAlign w:val="bottom"/>
          </w:tcPr>
          <w:p>
            <w:pPr>
              <w:spacing w:after="0"/>
              <w:rPr>
                <w:sz w:val="18"/>
                <w:szCs w:val="18"/>
                <w:color w:val="auto"/>
              </w:rPr>
            </w:pPr>
          </w:p>
        </w:tc>
        <w:tc>
          <w:tcPr>
            <w:tcW w:w="460" w:type="dxa"/>
            <w:vAlign w:val="bottom"/>
            <w:gridSpan w:val="2"/>
          </w:tcPr>
          <w:p>
            <w:pPr>
              <w:jc w:val="right"/>
              <w:ind w:right="60"/>
              <w:spacing w:after="0"/>
              <w:rPr>
                <w:sz w:val="20"/>
                <w:szCs w:val="20"/>
                <w:color w:val="auto"/>
              </w:rPr>
            </w:pPr>
            <w:r>
              <w:rPr>
                <w:rFonts w:ascii="Arial" w:cs="Arial" w:eastAsia="Arial" w:hAnsi="Arial"/>
                <w:sz w:val="18"/>
                <w:szCs w:val="18"/>
                <w:color w:val="auto"/>
              </w:rPr>
              <w:t>314</w:t>
            </w:r>
          </w:p>
        </w:tc>
        <w:tc>
          <w:tcPr>
            <w:tcW w:w="0" w:type="dxa"/>
            <w:vAlign w:val="bottom"/>
          </w:tcPr>
          <w:p>
            <w:pPr>
              <w:spacing w:after="0"/>
              <w:rPr>
                <w:sz w:val="1"/>
                <w:szCs w:val="1"/>
                <w:color w:val="auto"/>
              </w:rPr>
            </w:pPr>
          </w:p>
        </w:tc>
      </w:tr>
      <w:tr>
        <w:trPr>
          <w:trHeight w:val="27"/>
        </w:trPr>
        <w:tc>
          <w:tcPr>
            <w:tcW w:w="1320" w:type="dxa"/>
            <w:vAlign w:val="bottom"/>
            <w:vMerge w:val="restart"/>
          </w:tcPr>
          <w:p>
            <w:pPr>
              <w:spacing w:after="0"/>
              <w:rPr>
                <w:sz w:val="2"/>
                <w:szCs w:val="2"/>
                <w:color w:val="auto"/>
              </w:rPr>
            </w:pPr>
          </w:p>
        </w:tc>
        <w:tc>
          <w:tcPr>
            <w:tcW w:w="69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1320" w:type="dxa"/>
            <w:vAlign w:val="bottom"/>
            <w:vMerge w:val="continue"/>
          </w:tcPr>
          <w:p>
            <w:pPr>
              <w:spacing w:after="0"/>
              <w:rPr>
                <w:sz w:val="18"/>
                <w:szCs w:val="18"/>
                <w:color w:val="auto"/>
              </w:rPr>
            </w:pPr>
          </w:p>
        </w:tc>
        <w:tc>
          <w:tcPr>
            <w:tcW w:w="6920" w:type="dxa"/>
            <w:vAlign w:val="bottom"/>
            <w:shd w:val="clear" w:color="auto" w:fill="CCEEFF"/>
          </w:tcPr>
          <w:p>
            <w:pPr>
              <w:spacing w:after="0"/>
              <w:rPr>
                <w:sz w:val="20"/>
                <w:szCs w:val="20"/>
                <w:color w:val="auto"/>
              </w:rPr>
            </w:pPr>
            <w:r>
              <w:rPr>
                <w:rFonts w:ascii="Arial" w:cs="Arial" w:eastAsia="Arial" w:hAnsi="Arial"/>
                <w:sz w:val="18"/>
                <w:szCs w:val="18"/>
                <w:color w:val="auto"/>
              </w:rPr>
              <w:t>Insurance receivable related to this insolvent customer as of December 31, 2020</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4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84"/>
              </w:rPr>
              <w:t>2,106</w:t>
            </w:r>
          </w:p>
        </w:tc>
        <w:tc>
          <w:tcPr>
            <w:tcW w:w="0" w:type="dxa"/>
            <w:vAlign w:val="bottom"/>
          </w:tcPr>
          <w:p>
            <w:pPr>
              <w:spacing w:after="0"/>
              <w:rPr>
                <w:sz w:val="1"/>
                <w:szCs w:val="1"/>
                <w:color w:val="auto"/>
              </w:rPr>
            </w:pPr>
          </w:p>
        </w:tc>
      </w:tr>
      <w:tr>
        <w:trPr>
          <w:trHeight w:val="20"/>
        </w:trPr>
        <w:tc>
          <w:tcPr>
            <w:tcW w:w="1320" w:type="dxa"/>
            <w:vAlign w:val="bottom"/>
          </w:tcPr>
          <w:p>
            <w:pPr>
              <w:spacing w:after="0" w:line="20" w:lineRule="exact"/>
              <w:rPr>
                <w:sz w:val="1"/>
                <w:szCs w:val="1"/>
                <w:color w:val="auto"/>
              </w:rPr>
            </w:pPr>
          </w:p>
        </w:tc>
        <w:tc>
          <w:tcPr>
            <w:tcW w:w="69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firstLine="440"/>
        <w:spacing w:after="0" w:line="291" w:lineRule="auto"/>
        <w:rPr>
          <w:sz w:val="20"/>
          <w:szCs w:val="20"/>
          <w:color w:val="auto"/>
        </w:rPr>
      </w:pPr>
      <w:r>
        <w:rPr>
          <w:rFonts w:ascii="Arial" w:cs="Arial" w:eastAsia="Arial" w:hAnsi="Arial"/>
          <w:sz w:val="16"/>
          <w:szCs w:val="16"/>
          <w:color w:val="auto"/>
        </w:rPr>
        <w:t>In 2018, four of the Company’s customers became insolvent and the total net book value of its owned containers to these insolvent customers were $23,044. The Company recorded impairment charges of $12,543 on the unrecoverable containers for these insolvent customers and container recovery costs of $4,864, both included in container lessee default expense in the consolidated statements of operations during 2018. The Company also recorded bad debt expense of $2,049 in the consolidated statements of operations to fully reserve for these insolvent customers’ outstanding accounts receivable during 2018. Due to a better than expected recovery, the Company recorded a gain on container recovery of $1,644 and $1,488 included in “container lessee default (recovery) expense, net” in the consolidated statements of operations during the years ended December 31, 2020 and 2019, respectively. There is no insurance receivable associated with these insolvent customers as respective losses are below the insurance deductible.</w:t>
      </w:r>
    </w:p>
    <w:p>
      <w:pPr>
        <w:spacing w:after="0" w:line="166" w:lineRule="exact"/>
        <w:rPr>
          <w:sz w:val="20"/>
          <w:szCs w:val="20"/>
          <w:color w:val="auto"/>
        </w:rPr>
      </w:pPr>
    </w:p>
    <w:p>
      <w:pPr>
        <w:ind w:right="20" w:firstLine="440"/>
        <w:spacing w:after="0" w:line="271" w:lineRule="auto"/>
        <w:rPr>
          <w:sz w:val="20"/>
          <w:szCs w:val="20"/>
          <w:color w:val="auto"/>
        </w:rPr>
      </w:pPr>
      <w:r>
        <w:rPr>
          <w:rFonts w:ascii="Arial" w:cs="Arial" w:eastAsia="Arial" w:hAnsi="Arial"/>
          <w:sz w:val="17"/>
          <w:szCs w:val="17"/>
          <w:color w:val="auto"/>
        </w:rPr>
        <w:t>In 2016, one of the Company’s customers filed for bankruptcy. The Company maintains insurance that covers a portion of the exposure related to the value of containers that are unlikely to be recovered from this customer, the cost to recover containers and up to 183 days of lost lease rental income. The Company entered into a final agreement with the insurance companies on December 31, 2018 and the total remaining payments of $9,814 for the Company’s owned fleet were received in 2019. Accordingly, the Company recorded a $8,692 gain on insurance recovery and legal settlement in the consolidated statements of operations during the year ended December 31, 2018, which related to the final insurance settlement for insurable costs including primarily unrecovered containers and incurred container recovery costs, net of the insurance deductible. In 2019, the Company recorded a $14,881 gain on insurance recovery and legal settlement in the consolidated statements of operations on a net cash distribution from the bankruptcy estate for its owned fleet received during the year.</w:t>
      </w:r>
    </w:p>
    <w:p>
      <w:pPr>
        <w:spacing w:after="0" w:line="28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(3) Managed Container Fleet</w:t>
      </w:r>
    </w:p>
    <w:p>
      <w:pPr>
        <w:spacing w:after="0" w:line="121" w:lineRule="exact"/>
        <w:rPr>
          <w:sz w:val="20"/>
          <w:szCs w:val="20"/>
          <w:color w:val="auto"/>
        </w:rPr>
      </w:pPr>
    </w:p>
    <w:p>
      <w:pPr>
        <w:ind w:firstLine="440"/>
        <w:spacing w:after="0" w:line="273" w:lineRule="auto"/>
        <w:rPr>
          <w:sz w:val="20"/>
          <w:szCs w:val="20"/>
          <w:color w:val="auto"/>
        </w:rPr>
      </w:pPr>
      <w:r>
        <w:rPr>
          <w:rFonts w:ascii="Arial" w:cs="Arial" w:eastAsia="Arial" w:hAnsi="Arial"/>
          <w:sz w:val="17"/>
          <w:szCs w:val="17"/>
          <w:color w:val="auto"/>
        </w:rPr>
        <w:t>As part of the Company’s on-going business operation, the Company from time to time purchases containers on behalf of Container Investors. The Company enters into management agreements with the Container Investors whereby the Company, as agent for the Container Investors, purchases and leases out these containers and manages all of the Container Investors’ rights and obligations in respect of such containers and leases. The acquisition of these containers is funded entirely by the Container Investors and all risks and rewards of ownership of these containers vest and remain exclusively with the Container Investors. The Container Investors have no rights or recourse against the Company in the event of physical loss or damage, failure to lease out, any lessee default or any other risk in respect of the containers.</w:t>
      </w:r>
    </w:p>
    <w:p>
      <w:pPr>
        <w:spacing w:after="0" w:line="1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F-25</w:t>
      </w:r>
    </w:p>
    <w:p>
      <w:pPr>
        <w:sectPr>
          <w:pgSz w:w="11900" w:h="16838" w:orient="portrait"/>
          <w:cols w:equalWidth="0" w:num="1">
            <w:col w:w="11000"/>
          </w:cols>
          <w:pgMar w:left="440" w:top="274" w:right="459" w:bottom="1440" w:gutter="0" w:footer="0" w:header="0"/>
        </w:sectPr>
      </w:pPr>
    </w:p>
    <w:bookmarkStart w:id="139" w:name="page140"/>
    <w:bookmarkEnd w:id="139"/>
    <w:p>
      <w:pPr>
        <w:ind w:right="540" w:firstLine="440"/>
        <w:spacing w:after="0" w:line="34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Container Investors pay the Company an acquisition fee for acquiring containers on their behalf at the time of acquisition and a fee for management services, including services associated with ultimately disposing of the containers on behalf of the Container Investors.</w:t>
      </w:r>
    </w:p>
    <w:p>
      <w:pPr>
        <w:spacing w:after="0" w:line="12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Lease rental income and expenses from the managed fleet owned by Container Investors are presented on a gross basis.</w:t>
      </w:r>
    </w:p>
    <w:p>
      <w:pPr>
        <w:spacing w:after="0" w:line="225" w:lineRule="exact"/>
        <w:rPr>
          <w:sz w:val="20"/>
          <w:szCs w:val="20"/>
          <w:color w:val="auto"/>
        </w:rPr>
      </w:pPr>
    </w:p>
    <w:p>
      <w:pPr>
        <w:ind w:right="200" w:firstLine="440"/>
        <w:spacing w:after="0" w:line="277" w:lineRule="auto"/>
        <w:rPr>
          <w:sz w:val="20"/>
          <w:szCs w:val="20"/>
          <w:color w:val="auto"/>
        </w:rPr>
      </w:pPr>
      <w:r>
        <w:rPr>
          <w:rFonts w:ascii="Arial" w:cs="Arial" w:eastAsia="Arial" w:hAnsi="Arial"/>
          <w:sz w:val="18"/>
          <w:szCs w:val="18"/>
          <w:color w:val="auto"/>
        </w:rPr>
        <w:t>Lease rental income – managed fleet represents rental charges billed to the ultimate lessee for the managed fleet, including charges for handling fees, drop-off charges, pick-up charges, and charges for a damage protection plan that is set forth in the leases.</w:t>
      </w:r>
    </w:p>
    <w:p>
      <w:pPr>
        <w:spacing w:after="0" w:line="170" w:lineRule="exact"/>
        <w:rPr>
          <w:sz w:val="20"/>
          <w:szCs w:val="20"/>
          <w:color w:val="auto"/>
        </w:rPr>
      </w:pPr>
    </w:p>
    <w:p>
      <w:pPr>
        <w:ind w:right="60" w:firstLine="440"/>
        <w:spacing w:after="0" w:line="263" w:lineRule="auto"/>
        <w:rPr>
          <w:sz w:val="20"/>
          <w:szCs w:val="20"/>
          <w:color w:val="auto"/>
        </w:rPr>
      </w:pPr>
      <w:r>
        <w:rPr>
          <w:rFonts w:ascii="Arial" w:cs="Arial" w:eastAsia="Arial" w:hAnsi="Arial"/>
          <w:sz w:val="18"/>
          <w:szCs w:val="18"/>
          <w:color w:val="auto"/>
        </w:rPr>
        <w:t>Management fees from non-leasing services are earned for acquiring new managed containers and sales commissions are earned from sales of the managed containers on behalf of the Container Investors, which are generally calculated as a fixed percentage of the cost of the managed containers purchased and the proceeds from the sale of the managed containers, respectively.</w:t>
      </w:r>
    </w:p>
    <w:p>
      <w:pPr>
        <w:spacing w:after="0" w:line="184" w:lineRule="exact"/>
        <w:rPr>
          <w:sz w:val="20"/>
          <w:szCs w:val="20"/>
          <w:color w:val="auto"/>
        </w:rPr>
      </w:pPr>
    </w:p>
    <w:p>
      <w:pPr>
        <w:ind w:firstLine="440"/>
        <w:spacing w:after="0" w:line="263" w:lineRule="auto"/>
        <w:rPr>
          <w:sz w:val="20"/>
          <w:szCs w:val="20"/>
          <w:color w:val="auto"/>
        </w:rPr>
      </w:pPr>
      <w:r>
        <w:rPr>
          <w:rFonts w:ascii="Arial" w:cs="Arial" w:eastAsia="Arial" w:hAnsi="Arial"/>
          <w:sz w:val="18"/>
          <w:szCs w:val="18"/>
          <w:color w:val="auto"/>
        </w:rPr>
        <w:t>Acquisition fees from purchases of containers for the managed fleet are deferred and recognized as earned on a straight-line basis over the deemed lease term. As of December 31, 2020 and 2019, deferred revenue from acquisition fees amounted to $1,049 and $3,109, respectively, which were reported as “accounts payable and accrued expenses” in the consolidated balance sheets.</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See Note 1 (e) “Accounting Policies and Recent Accounting Pronouncements – Revenue Recognition” for further information.</w:t>
      </w:r>
    </w:p>
    <w:p>
      <w:pPr>
        <w:spacing w:after="0" w:line="158" w:lineRule="exact"/>
        <w:rPr>
          <w:sz w:val="20"/>
          <w:szCs w:val="20"/>
          <w:color w:val="auto"/>
        </w:rPr>
      </w:pPr>
    </w:p>
    <w:p>
      <w:pPr>
        <w:ind w:left="5340"/>
        <w:spacing w:after="0"/>
        <w:rPr>
          <w:sz w:val="20"/>
          <w:szCs w:val="20"/>
          <w:color w:val="auto"/>
        </w:rPr>
      </w:pPr>
      <w:r>
        <w:rPr>
          <w:rFonts w:ascii="Arial" w:cs="Arial" w:eastAsia="Arial" w:hAnsi="Arial"/>
          <w:sz w:val="18"/>
          <w:szCs w:val="18"/>
          <w:color w:val="auto"/>
        </w:rPr>
        <w:t>F-26</w:t>
      </w:r>
    </w:p>
    <w:p>
      <w:pPr>
        <w:sectPr>
          <w:pgSz w:w="11900" w:h="16838" w:orient="portrait"/>
          <w:cols w:equalWidth="0" w:num="1">
            <w:col w:w="10980"/>
          </w:cols>
          <w:pgMar w:left="440" w:top="274" w:right="479" w:bottom="1440" w:gutter="0" w:footer="0" w:header="0"/>
        </w:sectPr>
      </w:pPr>
    </w:p>
    <w:bookmarkStart w:id="140" w:name="page141"/>
    <w:bookmarkEnd w:id="140"/>
    <w:p>
      <w:pPr>
        <w:spacing w:after="0"/>
        <w:rPr>
          <w:sz w:val="20"/>
          <w:szCs w:val="20"/>
          <w:color w:val="auto"/>
        </w:rPr>
      </w:pPr>
      <w:r>
        <w:rPr>
          <w:rFonts w:ascii="Arial" w:cs="Arial" w:eastAsia="Arial" w:hAnsi="Arial"/>
          <w:sz w:val="18"/>
          <w:szCs w:val="18"/>
          <w:i w:val="1"/>
          <w:i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Containers - December 31, 2018 and Prior</w:t>
      </w:r>
    </w:p>
    <w:p>
      <w:pPr>
        <w:spacing w:after="0" w:line="117" w:lineRule="exact"/>
        <w:rPr>
          <w:sz w:val="20"/>
          <w:szCs w:val="20"/>
          <w:color w:val="auto"/>
        </w:rPr>
      </w:pPr>
    </w:p>
    <w:p>
      <w:pPr>
        <w:ind w:right="640" w:firstLine="440"/>
        <w:spacing w:after="0" w:line="308" w:lineRule="auto"/>
        <w:rPr>
          <w:sz w:val="20"/>
          <w:szCs w:val="20"/>
          <w:color w:val="auto"/>
        </w:rPr>
      </w:pPr>
      <w:r>
        <w:rPr>
          <w:rFonts w:ascii="Arial" w:cs="Arial" w:eastAsia="Arial" w:hAnsi="Arial"/>
          <w:sz w:val="17"/>
          <w:szCs w:val="17"/>
          <w:color w:val="auto"/>
        </w:rPr>
        <w:t>Distribution expense to managed fleet container investors represents direct container expenses of the managed containers and the amounts distributed to the Container Investors, reduced by associated lease management fees earned and retained by the Company.</w:t>
      </w:r>
    </w:p>
    <w:p>
      <w:pPr>
        <w:spacing w:after="0" w:line="146" w:lineRule="exact"/>
        <w:rPr>
          <w:sz w:val="20"/>
          <w:szCs w:val="20"/>
          <w:color w:val="auto"/>
        </w:rPr>
      </w:pPr>
    </w:p>
    <w:p>
      <w:pPr>
        <w:ind w:right="580" w:firstLine="440"/>
        <w:spacing w:after="0" w:line="277" w:lineRule="auto"/>
        <w:rPr>
          <w:sz w:val="20"/>
          <w:szCs w:val="20"/>
          <w:color w:val="auto"/>
        </w:rPr>
      </w:pPr>
      <w:r>
        <w:rPr>
          <w:rFonts w:ascii="Arial" w:cs="Arial" w:eastAsia="Arial" w:hAnsi="Arial"/>
          <w:sz w:val="18"/>
          <w:szCs w:val="18"/>
          <w:color w:val="auto"/>
        </w:rPr>
        <w:t>Managed containers in the Company’s managed fleet on or before December 31, 2018 are not included in the Company’s container leasing equipment in the Company’s consolidated balance sheet as of December 31, 2020 and 2019.</w:t>
      </w:r>
    </w:p>
    <w:p>
      <w:pPr>
        <w:spacing w:after="0" w:line="278"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Container Purchases On or After January 1, 2019</w:t>
      </w:r>
    </w:p>
    <w:p>
      <w:pPr>
        <w:spacing w:after="0" w:line="11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Distribution expense to managed fleet container investors represents direct container expenses of the managed containers.</w:t>
      </w:r>
    </w:p>
    <w:p>
      <w:pPr>
        <w:spacing w:after="0" w:line="225" w:lineRule="exact"/>
        <w:rPr>
          <w:sz w:val="20"/>
          <w:szCs w:val="20"/>
          <w:color w:val="auto"/>
        </w:rPr>
      </w:pPr>
    </w:p>
    <w:p>
      <w:pPr>
        <w:ind w:right="80" w:firstLine="440"/>
        <w:spacing w:after="0" w:line="311" w:lineRule="auto"/>
        <w:rPr>
          <w:sz w:val="20"/>
          <w:szCs w:val="20"/>
          <w:color w:val="auto"/>
        </w:rPr>
      </w:pPr>
      <w:r>
        <w:rPr>
          <w:rFonts w:ascii="Arial" w:cs="Arial" w:eastAsia="Arial" w:hAnsi="Arial"/>
          <w:sz w:val="16"/>
          <w:szCs w:val="16"/>
          <w:color w:val="auto"/>
        </w:rPr>
        <w:t>From an accounting perspective, in accordance with Topic 842 which is effective January 1, 2019 for the Company and under the above management arrangements, the Company is deemed to control the containers owned by the Container Investors before they are leased out. Furthermore, the deemed leaseback is considered a sales-type lease under Topic 842, with the Company as lessee and the Container Investors as lessors.</w:t>
      </w:r>
    </w:p>
    <w:p>
      <w:pPr>
        <w:spacing w:after="0" w:line="149" w:lineRule="exact"/>
        <w:rPr>
          <w:sz w:val="20"/>
          <w:szCs w:val="20"/>
          <w:color w:val="auto"/>
        </w:rPr>
      </w:pPr>
    </w:p>
    <w:p>
      <w:pPr>
        <w:ind w:right="120" w:firstLine="440"/>
        <w:spacing w:after="0" w:line="289" w:lineRule="auto"/>
        <w:rPr>
          <w:sz w:val="20"/>
          <w:szCs w:val="20"/>
          <w:color w:val="auto"/>
        </w:rPr>
      </w:pPr>
      <w:r>
        <w:rPr>
          <w:rFonts w:ascii="Arial" w:cs="Arial" w:eastAsia="Arial" w:hAnsi="Arial"/>
          <w:sz w:val="16"/>
          <w:szCs w:val="16"/>
          <w:color w:val="auto"/>
        </w:rPr>
        <w:t>For accounting purposes, the Company is deemed to own the managed containers purchased by the Company on or after January 1, 2019 for and on behalf of Container Investors, notwithstanding the contractual management relationship which the Company has with the Container Investors. Accordingly, such managed containers are included in the Company’s container leasing equipment in the Company’s consolidated balance sheet as of December 31, 2020 and 2019 and depreciated using the straight-line method over their estimated useful lives to an estimated dollar residual value per the Company’s depreciation policy (see Note 1 (k) “Accounting Policies and Recent Accounting Pronouncements – Containers”). The purchase consideration paid by the Container Investors for such containers is reported as a deemed financial liability of the Company. Subsequent net operating income distributions made by the Company to the Container Investors are recorded as a reduction to the financial liability and as interest expense using the effective interest method. The net book value for these managed containers and the associated financial liability will reduce over time and will be removed upon container sale, irrespective of the amount realized in such sale.</w:t>
      </w:r>
    </w:p>
    <w:p>
      <w:pPr>
        <w:spacing w:after="0" w:line="166" w:lineRule="exact"/>
        <w:rPr>
          <w:sz w:val="20"/>
          <w:szCs w:val="20"/>
          <w:color w:val="auto"/>
        </w:rPr>
      </w:pPr>
    </w:p>
    <w:p>
      <w:pPr>
        <w:ind w:right="60" w:firstLine="440"/>
        <w:spacing w:after="0" w:line="263" w:lineRule="auto"/>
        <w:rPr>
          <w:sz w:val="20"/>
          <w:szCs w:val="20"/>
          <w:color w:val="auto"/>
        </w:rPr>
      </w:pPr>
      <w:r>
        <w:rPr>
          <w:rFonts w:ascii="Arial" w:cs="Arial" w:eastAsia="Arial" w:hAnsi="Arial"/>
          <w:sz w:val="18"/>
          <w:szCs w:val="18"/>
          <w:color w:val="auto"/>
        </w:rPr>
        <w:t>During the year ended December 31, 2020, the Company paid $12,515 in cash to purchase the previously managed containers from a Container Investor which resulted in the extinguishment of the deemed financial liability. As a result of the settlement of the container leaseback financial liability, the management agreement between the Company and the Container Investor was terminated.</w:t>
      </w:r>
    </w:p>
    <w:p>
      <w:pPr>
        <w:spacing w:after="0" w:line="184" w:lineRule="exact"/>
        <w:rPr>
          <w:sz w:val="20"/>
          <w:szCs w:val="20"/>
          <w:color w:val="auto"/>
        </w:rPr>
      </w:pPr>
    </w:p>
    <w:p>
      <w:pPr>
        <w:ind w:right="120" w:firstLine="440"/>
        <w:spacing w:after="0" w:line="277" w:lineRule="auto"/>
        <w:rPr>
          <w:sz w:val="20"/>
          <w:szCs w:val="20"/>
          <w:color w:val="auto"/>
        </w:rPr>
      </w:pPr>
      <w:r>
        <w:rPr>
          <w:rFonts w:ascii="Arial" w:cs="Arial" w:eastAsia="Arial" w:hAnsi="Arial"/>
          <w:sz w:val="18"/>
          <w:szCs w:val="18"/>
          <w:color w:val="auto"/>
        </w:rPr>
        <w:t>As of December 31, 2020 and 2019, the Company’s deemed container leaseback financial liability to the Container Investors amounted to $4,762 and $17,449, respectively, which were reported as “other liabilities” in the consolidated balance sheet.</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Company’s container leasing equipment for the owned and managed fleet as of December 31, 2020 and 2019, were as follows:</w:t>
      </w:r>
    </w:p>
    <w:p>
      <w:pPr>
        <w:spacing w:after="0" w:line="244"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3240" w:type="dxa"/>
            <w:vAlign w:val="bottom"/>
          </w:tcPr>
          <w:p>
            <w:pPr>
              <w:spacing w:after="0"/>
              <w:rPr>
                <w:sz w:val="14"/>
                <w:szCs w:val="14"/>
                <w:color w:val="auto"/>
              </w:rPr>
            </w:pPr>
          </w:p>
        </w:tc>
        <w:tc>
          <w:tcPr>
            <w:tcW w:w="1280" w:type="dxa"/>
            <w:vAlign w:val="bottom"/>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000" w:type="dxa"/>
            <w:vAlign w:val="bottom"/>
            <w:tcBorders>
              <w:bottom w:val="single" w:sz="8" w:color="auto"/>
            </w:tcBorders>
            <w:gridSpan w:val="2"/>
          </w:tcPr>
          <w:p>
            <w:pPr>
              <w:jc w:val="right"/>
              <w:ind w:right="204"/>
              <w:spacing w:after="0"/>
              <w:rPr>
                <w:sz w:val="20"/>
                <w:szCs w:val="20"/>
                <w:color w:val="auto"/>
              </w:rPr>
            </w:pPr>
            <w:r>
              <w:rPr>
                <w:rFonts w:ascii="Arial" w:cs="Arial" w:eastAsia="Arial" w:hAnsi="Arial"/>
                <w:sz w:val="14"/>
                <w:szCs w:val="14"/>
                <w:b w:val="1"/>
                <w:bCs w:val="1"/>
                <w:color w:val="auto"/>
              </w:rPr>
              <w:t>2020</w:t>
            </w:r>
          </w:p>
        </w:tc>
        <w:tc>
          <w:tcPr>
            <w:tcW w:w="18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000" w:type="dxa"/>
            <w:vAlign w:val="bottom"/>
            <w:tcBorders>
              <w:bottom w:val="single" w:sz="8" w:color="auto"/>
            </w:tcBorders>
            <w:gridSpan w:val="2"/>
          </w:tcPr>
          <w:p>
            <w:pPr>
              <w:jc w:val="right"/>
              <w:ind w:right="184"/>
              <w:spacing w:after="0"/>
              <w:rPr>
                <w:sz w:val="20"/>
                <w:szCs w:val="20"/>
                <w:color w:val="auto"/>
              </w:rPr>
            </w:pPr>
            <w:r>
              <w:rPr>
                <w:rFonts w:ascii="Arial" w:cs="Arial" w:eastAsia="Arial" w:hAnsi="Arial"/>
                <w:sz w:val="14"/>
                <w:szCs w:val="14"/>
                <w:b w:val="1"/>
                <w:bCs w:val="1"/>
                <w:color w:val="auto"/>
              </w:rPr>
              <w:t>2019</w:t>
            </w:r>
          </w:p>
        </w:tc>
        <w:tc>
          <w:tcPr>
            <w:tcW w:w="18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3240" w:type="dxa"/>
            <w:vAlign w:val="bottom"/>
          </w:tcPr>
          <w:p>
            <w:pPr>
              <w:spacing w:after="0"/>
              <w:rPr>
                <w:sz w:val="10"/>
                <w:szCs w:val="10"/>
                <w:color w:val="auto"/>
              </w:rPr>
            </w:pPr>
          </w:p>
        </w:tc>
        <w:tc>
          <w:tcPr>
            <w:tcW w:w="1280" w:type="dxa"/>
            <w:vAlign w:val="bottom"/>
          </w:tcPr>
          <w:p>
            <w:pPr>
              <w:spacing w:after="0"/>
              <w:rPr>
                <w:sz w:val="10"/>
                <w:szCs w:val="10"/>
                <w:color w:val="auto"/>
              </w:rPr>
            </w:pPr>
          </w:p>
        </w:tc>
        <w:tc>
          <w:tcPr>
            <w:tcW w:w="960" w:type="dxa"/>
            <w:vAlign w:val="bottom"/>
            <w:gridSpan w:val="2"/>
            <w:vMerge w:val="restart"/>
          </w:tcPr>
          <w:p>
            <w:pPr>
              <w:jc w:val="right"/>
              <w:ind w:right="400"/>
              <w:spacing w:after="0"/>
              <w:rPr>
                <w:sz w:val="20"/>
                <w:szCs w:val="20"/>
                <w:color w:val="auto"/>
              </w:rPr>
            </w:pPr>
            <w:r>
              <w:rPr>
                <w:rFonts w:ascii="Arial" w:cs="Arial" w:eastAsia="Arial" w:hAnsi="Arial"/>
                <w:sz w:val="14"/>
                <w:szCs w:val="14"/>
                <w:b w:val="1"/>
                <w:bCs w:val="1"/>
                <w:color w:val="auto"/>
              </w:rPr>
              <w:t>Cost</w:t>
            </w:r>
          </w:p>
        </w:tc>
        <w:tc>
          <w:tcPr>
            <w:tcW w:w="120" w:type="dxa"/>
            <w:vAlign w:val="bottom"/>
          </w:tcPr>
          <w:p>
            <w:pPr>
              <w:spacing w:after="0"/>
              <w:rPr>
                <w:sz w:val="10"/>
                <w:szCs w:val="10"/>
                <w:color w:val="auto"/>
              </w:rPr>
            </w:pPr>
          </w:p>
        </w:tc>
        <w:tc>
          <w:tcPr>
            <w:tcW w:w="1060" w:type="dxa"/>
            <w:vAlign w:val="bottom"/>
            <w:gridSpan w:val="2"/>
          </w:tcPr>
          <w:p>
            <w:pPr>
              <w:jc w:val="right"/>
              <w:ind w:right="220"/>
              <w:spacing w:after="0" w:line="119" w:lineRule="exact"/>
              <w:rPr>
                <w:sz w:val="20"/>
                <w:szCs w:val="20"/>
                <w:color w:val="auto"/>
              </w:rPr>
            </w:pPr>
            <w:r>
              <w:rPr>
                <w:rFonts w:ascii="Arial" w:cs="Arial" w:eastAsia="Arial" w:hAnsi="Arial"/>
                <w:sz w:val="13"/>
                <w:szCs w:val="13"/>
                <w:b w:val="1"/>
                <w:bCs w:val="1"/>
                <w:color w:val="auto"/>
              </w:rPr>
              <w:t>Accumulated</w:t>
            </w:r>
          </w:p>
        </w:tc>
        <w:tc>
          <w:tcPr>
            <w:tcW w:w="120" w:type="dxa"/>
            <w:vAlign w:val="bottom"/>
          </w:tcPr>
          <w:p>
            <w:pPr>
              <w:spacing w:after="0"/>
              <w:rPr>
                <w:sz w:val="10"/>
                <w:szCs w:val="10"/>
                <w:color w:val="auto"/>
              </w:rPr>
            </w:pPr>
          </w:p>
        </w:tc>
        <w:tc>
          <w:tcPr>
            <w:tcW w:w="820" w:type="dxa"/>
            <w:vAlign w:val="bottom"/>
          </w:tcPr>
          <w:p>
            <w:pPr>
              <w:jc w:val="center"/>
              <w:spacing w:after="0" w:line="119" w:lineRule="exact"/>
              <w:rPr>
                <w:sz w:val="20"/>
                <w:szCs w:val="20"/>
                <w:color w:val="auto"/>
              </w:rPr>
            </w:pPr>
            <w:r>
              <w:rPr>
                <w:rFonts w:ascii="Arial" w:cs="Arial" w:eastAsia="Arial" w:hAnsi="Arial"/>
                <w:sz w:val="13"/>
                <w:szCs w:val="13"/>
                <w:b w:val="1"/>
                <w:bCs w:val="1"/>
                <w:color w:val="auto"/>
                <w:w w:val="98"/>
              </w:rPr>
              <w:t>Net Book</w:t>
            </w:r>
          </w:p>
        </w:tc>
        <w:tc>
          <w:tcPr>
            <w:tcW w:w="1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960" w:type="dxa"/>
            <w:vAlign w:val="bottom"/>
            <w:gridSpan w:val="2"/>
            <w:vMerge w:val="restart"/>
          </w:tcPr>
          <w:p>
            <w:pPr>
              <w:jc w:val="center"/>
              <w:ind w:right="120"/>
              <w:spacing w:after="0"/>
              <w:rPr>
                <w:sz w:val="20"/>
                <w:szCs w:val="20"/>
                <w:color w:val="auto"/>
              </w:rPr>
            </w:pPr>
            <w:r>
              <w:rPr>
                <w:rFonts w:ascii="Arial" w:cs="Arial" w:eastAsia="Arial" w:hAnsi="Arial"/>
                <w:sz w:val="14"/>
                <w:szCs w:val="14"/>
                <w:b w:val="1"/>
                <w:bCs w:val="1"/>
                <w:color w:val="auto"/>
                <w:w w:val="89"/>
              </w:rPr>
              <w:t>Cost</w:t>
            </w:r>
          </w:p>
        </w:tc>
        <w:tc>
          <w:tcPr>
            <w:tcW w:w="120" w:type="dxa"/>
            <w:vAlign w:val="bottom"/>
          </w:tcPr>
          <w:p>
            <w:pPr>
              <w:spacing w:after="0"/>
              <w:rPr>
                <w:sz w:val="10"/>
                <w:szCs w:val="10"/>
                <w:color w:val="auto"/>
              </w:rPr>
            </w:pPr>
          </w:p>
        </w:tc>
        <w:tc>
          <w:tcPr>
            <w:tcW w:w="1060" w:type="dxa"/>
            <w:vAlign w:val="bottom"/>
            <w:gridSpan w:val="2"/>
          </w:tcPr>
          <w:p>
            <w:pPr>
              <w:jc w:val="right"/>
              <w:ind w:right="200"/>
              <w:spacing w:after="0" w:line="119" w:lineRule="exact"/>
              <w:rPr>
                <w:sz w:val="20"/>
                <w:szCs w:val="20"/>
                <w:color w:val="auto"/>
              </w:rPr>
            </w:pPr>
            <w:r>
              <w:rPr>
                <w:rFonts w:ascii="Arial" w:cs="Arial" w:eastAsia="Arial" w:hAnsi="Arial"/>
                <w:sz w:val="13"/>
                <w:szCs w:val="13"/>
                <w:b w:val="1"/>
                <w:bCs w:val="1"/>
                <w:color w:val="auto"/>
              </w:rPr>
              <w:t>Accumulated</w:t>
            </w:r>
          </w:p>
        </w:tc>
        <w:tc>
          <w:tcPr>
            <w:tcW w:w="140" w:type="dxa"/>
            <w:vAlign w:val="bottom"/>
          </w:tcPr>
          <w:p>
            <w:pPr>
              <w:spacing w:after="0"/>
              <w:rPr>
                <w:sz w:val="10"/>
                <w:szCs w:val="10"/>
                <w:color w:val="auto"/>
              </w:rPr>
            </w:pPr>
          </w:p>
        </w:tc>
        <w:tc>
          <w:tcPr>
            <w:tcW w:w="820" w:type="dxa"/>
            <w:vAlign w:val="bottom"/>
          </w:tcPr>
          <w:p>
            <w:pPr>
              <w:jc w:val="center"/>
              <w:spacing w:after="0" w:line="119" w:lineRule="exact"/>
              <w:rPr>
                <w:sz w:val="20"/>
                <w:szCs w:val="20"/>
                <w:color w:val="auto"/>
              </w:rPr>
            </w:pPr>
            <w:r>
              <w:rPr>
                <w:rFonts w:ascii="Arial" w:cs="Arial" w:eastAsia="Arial" w:hAnsi="Arial"/>
                <w:sz w:val="13"/>
                <w:szCs w:val="13"/>
                <w:b w:val="1"/>
                <w:bCs w:val="1"/>
                <w:color w:val="auto"/>
              </w:rPr>
              <w:t>Net Book</w:t>
            </w: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3240" w:type="dxa"/>
            <w:vAlign w:val="bottom"/>
          </w:tcPr>
          <w:p>
            <w:pPr>
              <w:spacing w:after="0"/>
              <w:rPr>
                <w:sz w:val="14"/>
                <w:szCs w:val="14"/>
                <w:color w:val="auto"/>
              </w:rPr>
            </w:pPr>
          </w:p>
        </w:tc>
        <w:tc>
          <w:tcPr>
            <w:tcW w:w="1280" w:type="dxa"/>
            <w:vAlign w:val="bottom"/>
          </w:tcPr>
          <w:p>
            <w:pPr>
              <w:spacing w:after="0"/>
              <w:rPr>
                <w:sz w:val="14"/>
                <w:szCs w:val="14"/>
                <w:color w:val="auto"/>
              </w:rPr>
            </w:pPr>
          </w:p>
        </w:tc>
        <w:tc>
          <w:tcPr>
            <w:tcW w:w="960" w:type="dxa"/>
            <w:vAlign w:val="bottom"/>
            <w:gridSpan w:val="2"/>
            <w:vMerge w:val="continue"/>
          </w:tcPr>
          <w:p>
            <w:pPr>
              <w:spacing w:after="0"/>
              <w:rPr>
                <w:sz w:val="14"/>
                <w:szCs w:val="14"/>
                <w:color w:val="auto"/>
              </w:rPr>
            </w:pPr>
          </w:p>
        </w:tc>
        <w:tc>
          <w:tcPr>
            <w:tcW w:w="120" w:type="dxa"/>
            <w:vAlign w:val="bottom"/>
          </w:tcPr>
          <w:p>
            <w:pPr>
              <w:spacing w:after="0"/>
              <w:rPr>
                <w:sz w:val="14"/>
                <w:szCs w:val="14"/>
                <w:color w:val="auto"/>
              </w:rPr>
            </w:pPr>
          </w:p>
        </w:tc>
        <w:tc>
          <w:tcPr>
            <w:tcW w:w="1060" w:type="dxa"/>
            <w:vAlign w:val="bottom"/>
            <w:gridSpan w:val="2"/>
          </w:tcPr>
          <w:p>
            <w:pPr>
              <w:jc w:val="right"/>
              <w:ind w:right="220"/>
              <w:spacing w:after="0"/>
              <w:rPr>
                <w:sz w:val="20"/>
                <w:szCs w:val="20"/>
                <w:color w:val="auto"/>
              </w:rPr>
            </w:pPr>
            <w:r>
              <w:rPr>
                <w:rFonts w:ascii="Arial" w:cs="Arial" w:eastAsia="Arial" w:hAnsi="Arial"/>
                <w:sz w:val="14"/>
                <w:szCs w:val="14"/>
                <w:b w:val="1"/>
                <w:bCs w:val="1"/>
                <w:color w:val="auto"/>
                <w:w w:val="96"/>
              </w:rPr>
              <w:t>Depreciation</w:t>
            </w:r>
          </w:p>
        </w:tc>
        <w:tc>
          <w:tcPr>
            <w:tcW w:w="120" w:type="dxa"/>
            <w:vAlign w:val="bottom"/>
          </w:tcPr>
          <w:p>
            <w:pPr>
              <w:spacing w:after="0"/>
              <w:rPr>
                <w:sz w:val="14"/>
                <w:szCs w:val="14"/>
                <w:color w:val="auto"/>
              </w:rPr>
            </w:pPr>
          </w:p>
        </w:tc>
        <w:tc>
          <w:tcPr>
            <w:tcW w:w="960" w:type="dxa"/>
            <w:vAlign w:val="bottom"/>
            <w:gridSpan w:val="2"/>
          </w:tcPr>
          <w:p>
            <w:pPr>
              <w:jc w:val="center"/>
              <w:ind w:right="120"/>
              <w:spacing w:after="0"/>
              <w:rPr>
                <w:sz w:val="20"/>
                <w:szCs w:val="20"/>
                <w:color w:val="auto"/>
              </w:rPr>
            </w:pPr>
            <w:r>
              <w:rPr>
                <w:rFonts w:ascii="Arial" w:cs="Arial" w:eastAsia="Arial" w:hAnsi="Arial"/>
                <w:sz w:val="14"/>
                <w:szCs w:val="14"/>
                <w:b w:val="1"/>
                <w:bCs w:val="1"/>
                <w:color w:val="auto"/>
                <w:w w:val="96"/>
              </w:rPr>
              <w:t>Value</w:t>
            </w:r>
          </w:p>
        </w:tc>
        <w:tc>
          <w:tcPr>
            <w:tcW w:w="120" w:type="dxa"/>
            <w:vAlign w:val="bottom"/>
          </w:tcPr>
          <w:p>
            <w:pPr>
              <w:spacing w:after="0"/>
              <w:rPr>
                <w:sz w:val="14"/>
                <w:szCs w:val="14"/>
                <w:color w:val="auto"/>
              </w:rPr>
            </w:pPr>
          </w:p>
        </w:tc>
        <w:tc>
          <w:tcPr>
            <w:tcW w:w="960" w:type="dxa"/>
            <w:vAlign w:val="bottom"/>
            <w:gridSpan w:val="2"/>
            <w:vMerge w:val="continue"/>
          </w:tcPr>
          <w:p>
            <w:pPr>
              <w:spacing w:after="0"/>
              <w:rPr>
                <w:sz w:val="14"/>
                <w:szCs w:val="14"/>
                <w:color w:val="auto"/>
              </w:rPr>
            </w:pPr>
          </w:p>
        </w:tc>
        <w:tc>
          <w:tcPr>
            <w:tcW w:w="120" w:type="dxa"/>
            <w:vAlign w:val="bottom"/>
          </w:tcPr>
          <w:p>
            <w:pPr>
              <w:spacing w:after="0"/>
              <w:rPr>
                <w:sz w:val="14"/>
                <w:szCs w:val="14"/>
                <w:color w:val="auto"/>
              </w:rPr>
            </w:pPr>
          </w:p>
        </w:tc>
        <w:tc>
          <w:tcPr>
            <w:tcW w:w="1060" w:type="dxa"/>
            <w:vAlign w:val="bottom"/>
            <w:gridSpan w:val="2"/>
          </w:tcPr>
          <w:p>
            <w:pPr>
              <w:jc w:val="right"/>
              <w:ind w:right="220"/>
              <w:spacing w:after="0"/>
              <w:rPr>
                <w:sz w:val="20"/>
                <w:szCs w:val="20"/>
                <w:color w:val="auto"/>
              </w:rPr>
            </w:pPr>
            <w:r>
              <w:rPr>
                <w:rFonts w:ascii="Arial" w:cs="Arial" w:eastAsia="Arial" w:hAnsi="Arial"/>
                <w:sz w:val="14"/>
                <w:szCs w:val="14"/>
                <w:b w:val="1"/>
                <w:bCs w:val="1"/>
                <w:color w:val="auto"/>
                <w:w w:val="96"/>
              </w:rPr>
              <w:t>Depreciation</w:t>
            </w:r>
          </w:p>
        </w:tc>
        <w:tc>
          <w:tcPr>
            <w:tcW w:w="140" w:type="dxa"/>
            <w:vAlign w:val="bottom"/>
          </w:tcPr>
          <w:p>
            <w:pPr>
              <w:spacing w:after="0"/>
              <w:rPr>
                <w:sz w:val="14"/>
                <w:szCs w:val="14"/>
                <w:color w:val="auto"/>
              </w:rPr>
            </w:pPr>
          </w:p>
        </w:tc>
        <w:tc>
          <w:tcPr>
            <w:tcW w:w="880" w:type="dxa"/>
            <w:vAlign w:val="bottom"/>
            <w:gridSpan w:val="2"/>
          </w:tcPr>
          <w:p>
            <w:pPr>
              <w:jc w:val="center"/>
              <w:ind w:right="60"/>
              <w:spacing w:after="0"/>
              <w:rPr>
                <w:sz w:val="20"/>
                <w:szCs w:val="20"/>
                <w:color w:val="auto"/>
              </w:rPr>
            </w:pPr>
            <w:r>
              <w:rPr>
                <w:rFonts w:ascii="Arial" w:cs="Arial" w:eastAsia="Arial" w:hAnsi="Arial"/>
                <w:sz w:val="14"/>
                <w:szCs w:val="14"/>
                <w:b w:val="1"/>
                <w:bCs w:val="1"/>
                <w:color w:val="auto"/>
                <w:w w:val="90"/>
              </w:rPr>
              <w:t>Value</w:t>
            </w:r>
          </w:p>
        </w:tc>
        <w:tc>
          <w:tcPr>
            <w:tcW w:w="0" w:type="dxa"/>
            <w:vAlign w:val="bottom"/>
          </w:tcPr>
          <w:p>
            <w:pPr>
              <w:spacing w:after="0"/>
              <w:rPr>
                <w:sz w:val="1"/>
                <w:szCs w:val="1"/>
                <w:color w:val="auto"/>
              </w:rPr>
            </w:pPr>
          </w:p>
        </w:tc>
      </w:tr>
      <w:tr>
        <w:trPr>
          <w:trHeight w:val="210"/>
        </w:trPr>
        <w:tc>
          <w:tcPr>
            <w:tcW w:w="324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Containers - owned fleet</w:t>
            </w:r>
          </w:p>
        </w:tc>
        <w:tc>
          <w:tcPr>
            <w:tcW w:w="1280" w:type="dxa"/>
            <w:vAlign w:val="bottom"/>
            <w:tcBorders>
              <w:top w:val="single" w:sz="8" w:color="CCEEFF"/>
            </w:tcBorders>
            <w:shd w:val="clear" w:color="auto" w:fill="CCEEFF"/>
          </w:tcPr>
          <w:p>
            <w:pPr>
              <w:spacing w:after="0"/>
              <w:rPr>
                <w:sz w:val="18"/>
                <w:szCs w:val="18"/>
                <w:color w:val="auto"/>
              </w:rPr>
            </w:pPr>
          </w:p>
        </w:tc>
        <w:tc>
          <w:tcPr>
            <w:tcW w:w="8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8"/>
              </w:rPr>
              <w:t>$5,740,717</w:t>
            </w:r>
          </w:p>
        </w:tc>
        <w:tc>
          <w:tcPr>
            <w:tcW w:w="14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CCEEFF"/>
            </w:tcBorders>
            <w:shd w:val="clear" w:color="auto" w:fill="CCEEFF"/>
          </w:tcPr>
          <w:p>
            <w:pPr>
              <w:spacing w:after="0"/>
              <w:rPr>
                <w:sz w:val="18"/>
                <w:szCs w:val="18"/>
                <w:color w:val="auto"/>
              </w:rPr>
            </w:pPr>
          </w:p>
        </w:tc>
        <w:tc>
          <w:tcPr>
            <w:tcW w:w="8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4"/>
              </w:rPr>
              <w:t>$(1,619,304)</w:t>
            </w:r>
          </w:p>
        </w:tc>
        <w:tc>
          <w:tcPr>
            <w:tcW w:w="18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CCEEFF"/>
            </w:tcBorders>
            <w:shd w:val="clear" w:color="auto" w:fill="CCEEFF"/>
          </w:tcPr>
          <w:p>
            <w:pPr>
              <w:spacing w:after="0"/>
              <w:rPr>
                <w:sz w:val="18"/>
                <w:szCs w:val="18"/>
                <w:color w:val="auto"/>
              </w:rPr>
            </w:pPr>
          </w:p>
        </w:tc>
        <w:tc>
          <w:tcPr>
            <w:tcW w:w="82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w w:val="90"/>
              </w:rPr>
              <w:t>$4,121,413</w:t>
            </w:r>
          </w:p>
        </w:tc>
        <w:tc>
          <w:tcPr>
            <w:tcW w:w="14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CCEEFF"/>
            </w:tcBorders>
            <w:shd w:val="clear" w:color="auto" w:fill="CCEEFF"/>
          </w:tcPr>
          <w:p>
            <w:pPr>
              <w:spacing w:after="0"/>
              <w:rPr>
                <w:sz w:val="18"/>
                <w:szCs w:val="18"/>
                <w:color w:val="auto"/>
              </w:rPr>
            </w:pPr>
          </w:p>
        </w:tc>
        <w:tc>
          <w:tcPr>
            <w:tcW w:w="8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8"/>
              </w:rPr>
              <w:t>$5,582,986</w:t>
            </w:r>
          </w:p>
        </w:tc>
        <w:tc>
          <w:tcPr>
            <w:tcW w:w="14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CCEEFF"/>
            </w:tcBorders>
            <w:shd w:val="clear" w:color="auto" w:fill="CCEEFF"/>
          </w:tcPr>
          <w:p>
            <w:pPr>
              <w:spacing w:after="0"/>
              <w:rPr>
                <w:sz w:val="18"/>
                <w:szCs w:val="18"/>
                <w:color w:val="auto"/>
              </w:rPr>
            </w:pPr>
          </w:p>
        </w:tc>
        <w:tc>
          <w:tcPr>
            <w:tcW w:w="8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4"/>
              </w:rPr>
              <w:t>$(1,442,986)</w:t>
            </w:r>
          </w:p>
        </w:tc>
        <w:tc>
          <w:tcPr>
            <w:tcW w:w="180" w:type="dxa"/>
            <w:vAlign w:val="bottom"/>
            <w:tcBorders>
              <w:top w:val="single" w:sz="8" w:color="CCEEFF"/>
            </w:tcBorders>
            <w:shd w:val="clear" w:color="auto" w:fill="CCEEFF"/>
          </w:tcPr>
          <w:p>
            <w:pPr>
              <w:spacing w:after="0"/>
              <w:rPr>
                <w:sz w:val="18"/>
                <w:szCs w:val="18"/>
                <w:color w:val="auto"/>
              </w:rPr>
            </w:pPr>
          </w:p>
        </w:tc>
        <w:tc>
          <w:tcPr>
            <w:tcW w:w="140" w:type="dxa"/>
            <w:vAlign w:val="bottom"/>
            <w:tcBorders>
              <w:top w:val="single" w:sz="8" w:color="CCEEFF"/>
            </w:tcBorders>
            <w:shd w:val="clear" w:color="auto" w:fill="CCEEFF"/>
          </w:tcPr>
          <w:p>
            <w:pPr>
              <w:spacing w:after="0"/>
              <w:rPr>
                <w:sz w:val="18"/>
                <w:szCs w:val="18"/>
                <w:color w:val="auto"/>
              </w:rPr>
            </w:pPr>
          </w:p>
        </w:tc>
        <w:tc>
          <w:tcPr>
            <w:tcW w:w="8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8"/>
              </w:rPr>
              <w:t>$4,140,000</w:t>
            </w:r>
          </w:p>
        </w:tc>
        <w:tc>
          <w:tcPr>
            <w:tcW w:w="6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240" w:type="dxa"/>
            <w:vAlign w:val="bottom"/>
          </w:tcPr>
          <w:p>
            <w:pPr>
              <w:spacing w:after="0"/>
              <w:rPr>
                <w:sz w:val="20"/>
                <w:szCs w:val="20"/>
                <w:color w:val="auto"/>
              </w:rPr>
            </w:pPr>
            <w:r>
              <w:rPr>
                <w:rFonts w:ascii="Arial" w:cs="Arial" w:eastAsia="Arial" w:hAnsi="Arial"/>
                <w:sz w:val="18"/>
                <w:szCs w:val="18"/>
                <w:color w:val="auto"/>
              </w:rPr>
              <w:t>Containers – managed fleet</w:t>
            </w:r>
          </w:p>
        </w:tc>
        <w:tc>
          <w:tcPr>
            <w:tcW w:w="1280" w:type="dxa"/>
            <w:vAlign w:val="bottom"/>
          </w:tcPr>
          <w:p>
            <w:pPr>
              <w:spacing w:after="0"/>
              <w:rPr>
                <w:sz w:val="18"/>
                <w:szCs w:val="18"/>
                <w:color w:val="auto"/>
              </w:rPr>
            </w:pPr>
          </w:p>
        </w:tc>
        <w:tc>
          <w:tcPr>
            <w:tcW w:w="960" w:type="dxa"/>
            <w:vAlign w:val="bottom"/>
            <w:gridSpan w:val="2"/>
          </w:tcPr>
          <w:p>
            <w:pPr>
              <w:jc w:val="right"/>
              <w:ind w:right="140"/>
              <w:spacing w:after="0"/>
              <w:rPr>
                <w:sz w:val="20"/>
                <w:szCs w:val="20"/>
                <w:color w:val="auto"/>
              </w:rPr>
            </w:pPr>
            <w:r>
              <w:rPr>
                <w:rFonts w:ascii="Arial" w:cs="Arial" w:eastAsia="Arial" w:hAnsi="Arial"/>
                <w:sz w:val="18"/>
                <w:szCs w:val="18"/>
                <w:color w:val="auto"/>
              </w:rPr>
              <w:t>3,926</w:t>
            </w:r>
          </w:p>
        </w:tc>
        <w:tc>
          <w:tcPr>
            <w:tcW w:w="1180" w:type="dxa"/>
            <w:vAlign w:val="bottom"/>
            <w:gridSpan w:val="3"/>
          </w:tcPr>
          <w:p>
            <w:pPr>
              <w:jc w:val="right"/>
              <w:ind w:right="120"/>
              <w:spacing w:after="0"/>
              <w:rPr>
                <w:sz w:val="20"/>
                <w:szCs w:val="20"/>
                <w:color w:val="auto"/>
              </w:rPr>
            </w:pPr>
            <w:r>
              <w:rPr>
                <w:rFonts w:ascii="Arial" w:cs="Arial" w:eastAsia="Arial" w:hAnsi="Arial"/>
                <w:sz w:val="18"/>
                <w:szCs w:val="18"/>
                <w:color w:val="auto"/>
              </w:rPr>
              <w:t>(287)</w:t>
            </w:r>
          </w:p>
        </w:tc>
        <w:tc>
          <w:tcPr>
            <w:tcW w:w="1080" w:type="dxa"/>
            <w:vAlign w:val="bottom"/>
            <w:gridSpan w:val="3"/>
          </w:tcPr>
          <w:p>
            <w:pPr>
              <w:jc w:val="right"/>
              <w:ind w:right="120"/>
              <w:spacing w:after="0"/>
              <w:rPr>
                <w:sz w:val="20"/>
                <w:szCs w:val="20"/>
                <w:color w:val="auto"/>
              </w:rPr>
            </w:pPr>
            <w:r>
              <w:rPr>
                <w:rFonts w:ascii="Arial" w:cs="Arial" w:eastAsia="Arial" w:hAnsi="Arial"/>
                <w:sz w:val="18"/>
                <w:szCs w:val="18"/>
                <w:color w:val="auto"/>
              </w:rPr>
              <w:t>3,639</w:t>
            </w:r>
          </w:p>
        </w:tc>
        <w:tc>
          <w:tcPr>
            <w:tcW w:w="1080" w:type="dxa"/>
            <w:vAlign w:val="bottom"/>
            <w:gridSpan w:val="3"/>
          </w:tcPr>
          <w:p>
            <w:pPr>
              <w:jc w:val="right"/>
              <w:ind w:right="120"/>
              <w:spacing w:after="0"/>
              <w:rPr>
                <w:sz w:val="20"/>
                <w:szCs w:val="20"/>
                <w:color w:val="auto"/>
              </w:rPr>
            </w:pPr>
            <w:r>
              <w:rPr>
                <w:rFonts w:ascii="Arial" w:cs="Arial" w:eastAsia="Arial" w:hAnsi="Arial"/>
                <w:sz w:val="18"/>
                <w:szCs w:val="18"/>
                <w:color w:val="auto"/>
              </w:rPr>
              <w:t>16,332</w:t>
            </w:r>
          </w:p>
        </w:tc>
        <w:tc>
          <w:tcPr>
            <w:tcW w:w="1180" w:type="dxa"/>
            <w:vAlign w:val="bottom"/>
            <w:gridSpan w:val="3"/>
          </w:tcPr>
          <w:p>
            <w:pPr>
              <w:jc w:val="right"/>
              <w:ind w:right="120"/>
              <w:spacing w:after="0"/>
              <w:rPr>
                <w:sz w:val="20"/>
                <w:szCs w:val="20"/>
                <w:color w:val="auto"/>
              </w:rPr>
            </w:pPr>
            <w:r>
              <w:rPr>
                <w:rFonts w:ascii="Arial" w:cs="Arial" w:eastAsia="Arial" w:hAnsi="Arial"/>
                <w:sz w:val="18"/>
                <w:szCs w:val="18"/>
                <w:color w:val="auto"/>
              </w:rPr>
              <w:t>(181)</w:t>
            </w:r>
          </w:p>
        </w:tc>
        <w:tc>
          <w:tcPr>
            <w:tcW w:w="1020" w:type="dxa"/>
            <w:vAlign w:val="bottom"/>
            <w:gridSpan w:val="3"/>
          </w:tcPr>
          <w:p>
            <w:pPr>
              <w:jc w:val="right"/>
              <w:ind w:right="60"/>
              <w:spacing w:after="0"/>
              <w:rPr>
                <w:sz w:val="20"/>
                <w:szCs w:val="20"/>
                <w:color w:val="auto"/>
              </w:rPr>
            </w:pPr>
            <w:r>
              <w:rPr>
                <w:rFonts w:ascii="Arial" w:cs="Arial" w:eastAsia="Arial" w:hAnsi="Arial"/>
                <w:sz w:val="18"/>
                <w:szCs w:val="18"/>
                <w:color w:val="auto"/>
              </w:rPr>
              <w:t>16,151</w:t>
            </w:r>
          </w:p>
        </w:tc>
        <w:tc>
          <w:tcPr>
            <w:tcW w:w="0" w:type="dxa"/>
            <w:vAlign w:val="bottom"/>
          </w:tcPr>
          <w:p>
            <w:pPr>
              <w:spacing w:after="0"/>
              <w:rPr>
                <w:sz w:val="1"/>
                <w:szCs w:val="1"/>
                <w:color w:val="auto"/>
              </w:rPr>
            </w:pPr>
          </w:p>
        </w:tc>
      </w:tr>
      <w:tr>
        <w:trPr>
          <w:trHeight w:val="27"/>
        </w:trPr>
        <w:tc>
          <w:tcPr>
            <w:tcW w:w="3240" w:type="dxa"/>
            <w:vAlign w:val="bottom"/>
          </w:tcPr>
          <w:p>
            <w:pPr>
              <w:spacing w:after="0"/>
              <w:rPr>
                <w:sz w:val="2"/>
                <w:szCs w:val="2"/>
                <w:color w:val="auto"/>
              </w:rPr>
            </w:pPr>
          </w:p>
        </w:tc>
        <w:tc>
          <w:tcPr>
            <w:tcW w:w="1280" w:type="dxa"/>
            <w:vAlign w:val="bottom"/>
          </w:tcPr>
          <w:p>
            <w:pPr>
              <w:spacing w:after="0"/>
              <w:rPr>
                <w:sz w:val="2"/>
                <w:szCs w:val="2"/>
                <w:color w:val="auto"/>
              </w:rPr>
            </w:pPr>
          </w:p>
        </w:tc>
        <w:tc>
          <w:tcPr>
            <w:tcW w:w="82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120" w:type="dxa"/>
            <w:vAlign w:val="bottom"/>
          </w:tcPr>
          <w:p>
            <w:pPr>
              <w:spacing w:after="0"/>
              <w:rPr>
                <w:sz w:val="2"/>
                <w:szCs w:val="2"/>
                <w:color w:val="auto"/>
              </w:rPr>
            </w:pPr>
          </w:p>
        </w:tc>
        <w:tc>
          <w:tcPr>
            <w:tcW w:w="88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120" w:type="dxa"/>
            <w:vAlign w:val="bottom"/>
          </w:tcPr>
          <w:p>
            <w:pPr>
              <w:spacing w:after="0"/>
              <w:rPr>
                <w:sz w:val="2"/>
                <w:szCs w:val="2"/>
                <w:color w:val="auto"/>
              </w:rPr>
            </w:pPr>
          </w:p>
        </w:tc>
        <w:tc>
          <w:tcPr>
            <w:tcW w:w="82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120" w:type="dxa"/>
            <w:vAlign w:val="bottom"/>
          </w:tcPr>
          <w:p>
            <w:pPr>
              <w:spacing w:after="0"/>
              <w:rPr>
                <w:sz w:val="2"/>
                <w:szCs w:val="2"/>
                <w:color w:val="auto"/>
              </w:rPr>
            </w:pPr>
          </w:p>
        </w:tc>
        <w:tc>
          <w:tcPr>
            <w:tcW w:w="82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120" w:type="dxa"/>
            <w:vAlign w:val="bottom"/>
          </w:tcPr>
          <w:p>
            <w:pPr>
              <w:spacing w:after="0"/>
              <w:rPr>
                <w:sz w:val="2"/>
                <w:szCs w:val="2"/>
                <w:color w:val="auto"/>
              </w:rPr>
            </w:pPr>
          </w:p>
        </w:tc>
        <w:tc>
          <w:tcPr>
            <w:tcW w:w="88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140" w:type="dxa"/>
            <w:vAlign w:val="bottom"/>
          </w:tcPr>
          <w:p>
            <w:pPr>
              <w:spacing w:after="0"/>
              <w:rPr>
                <w:sz w:val="2"/>
                <w:szCs w:val="2"/>
                <w:color w:val="auto"/>
              </w:rPr>
            </w:pPr>
          </w:p>
        </w:tc>
        <w:tc>
          <w:tcPr>
            <w:tcW w:w="82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32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 containers</w:t>
            </w:r>
          </w:p>
        </w:tc>
        <w:tc>
          <w:tcPr>
            <w:tcW w:w="224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5,744,643</w:t>
            </w:r>
          </w:p>
        </w:tc>
        <w:tc>
          <w:tcPr>
            <w:tcW w:w="11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(1,619,591)</w:t>
            </w:r>
          </w:p>
        </w:tc>
        <w:tc>
          <w:tcPr>
            <w:tcW w:w="10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4,125,052</w:t>
            </w:r>
          </w:p>
        </w:tc>
        <w:tc>
          <w:tcPr>
            <w:tcW w:w="10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5,599,318</w:t>
            </w:r>
          </w:p>
        </w:tc>
        <w:tc>
          <w:tcPr>
            <w:tcW w:w="11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(1,443,167)</w:t>
            </w:r>
          </w:p>
        </w:tc>
        <w:tc>
          <w:tcPr>
            <w:tcW w:w="10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4,156,151</w:t>
            </w:r>
          </w:p>
        </w:tc>
        <w:tc>
          <w:tcPr>
            <w:tcW w:w="0" w:type="dxa"/>
            <w:vAlign w:val="bottom"/>
          </w:tcPr>
          <w:p>
            <w:pPr>
              <w:spacing w:after="0"/>
              <w:rPr>
                <w:sz w:val="1"/>
                <w:szCs w:val="1"/>
                <w:color w:val="auto"/>
              </w:rPr>
            </w:pPr>
          </w:p>
        </w:tc>
      </w:tr>
      <w:tr>
        <w:trPr>
          <w:trHeight w:val="20"/>
        </w:trPr>
        <w:tc>
          <w:tcPr>
            <w:tcW w:w="324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gridSpan w:val="2"/>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8"/>
        </w:trPr>
        <w:tc>
          <w:tcPr>
            <w:tcW w:w="324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2140" w:type="dxa"/>
            <w:vAlign w:val="bottom"/>
            <w:gridSpan w:val="5"/>
          </w:tcPr>
          <w:p>
            <w:pPr>
              <w:jc w:val="right"/>
              <w:ind w:right="980"/>
              <w:spacing w:after="0"/>
              <w:rPr>
                <w:sz w:val="20"/>
                <w:szCs w:val="20"/>
                <w:color w:val="auto"/>
              </w:rPr>
            </w:pPr>
            <w:r>
              <w:rPr>
                <w:rFonts w:ascii="Arial" w:cs="Arial" w:eastAsia="Arial" w:hAnsi="Arial"/>
                <w:sz w:val="18"/>
                <w:szCs w:val="18"/>
                <w:color w:val="auto"/>
              </w:rPr>
              <w:t>F-27</w:t>
            </w:r>
          </w:p>
        </w:tc>
        <w:tc>
          <w:tcPr>
            <w:tcW w:w="12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020"/>
          </w:cols>
          <w:pgMar w:left="440" w:top="274" w:right="439" w:bottom="1440" w:gutter="0" w:footer="0" w:header="0"/>
        </w:sectPr>
      </w:pPr>
    </w:p>
    <w:bookmarkStart w:id="141" w:name="page142"/>
    <w:bookmarkEnd w:id="141"/>
    <w:p>
      <w:pPr>
        <w:ind w:right="320"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Total management fee income from the managed fleet, including management fees earned from acquisition fees and sales commissions during 2020, 2019 and 2018 were as follows (also, see Note 4 “Transactions with Affiliates and Container Investors”):</w:t>
      </w:r>
    </w:p>
    <w:p>
      <w:pPr>
        <w:spacing w:after="0" w:line="189" w:lineRule="exact"/>
        <w:rPr>
          <w:sz w:val="20"/>
          <w:szCs w:val="20"/>
          <w:color w:val="auto"/>
        </w:rPr>
      </w:pPr>
    </w:p>
    <w:tbl>
      <w:tblPr>
        <w:tblLayout w:type="fixed"/>
        <w:tblInd w:w="880" w:type="dxa"/>
        <w:tblCellMar>
          <w:top w:w="0" w:type="dxa"/>
          <w:left w:w="0" w:type="dxa"/>
          <w:bottom w:w="0" w:type="dxa"/>
          <w:right w:w="0" w:type="dxa"/>
        </w:tblCellMar>
      </w:tblPr>
      <w:tr>
        <w:trPr>
          <w:trHeight w:val="171"/>
        </w:trPr>
        <w:tc>
          <w:tcPr>
            <w:tcW w:w="6340" w:type="dxa"/>
            <w:vAlign w:val="bottom"/>
            <w:tcBorders>
              <w:bottom w:val="single" w:sz="8" w:color="CCEEFF"/>
            </w:tcBorders>
          </w:tcPr>
          <w:p>
            <w:pPr>
              <w:spacing w:after="0"/>
              <w:rPr>
                <w:sz w:val="14"/>
                <w:szCs w:val="14"/>
                <w:color w:val="auto"/>
              </w:rPr>
            </w:pPr>
          </w:p>
        </w:tc>
        <w:tc>
          <w:tcPr>
            <w:tcW w:w="20" w:type="dxa"/>
            <w:vAlign w:val="bottom"/>
            <w:tcBorders>
              <w:bottom w:val="single" w:sz="8" w:color="CCEEFF"/>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jc w:val="right"/>
              <w:ind w:right="93"/>
              <w:spacing w:after="0"/>
              <w:rPr>
                <w:sz w:val="20"/>
                <w:szCs w:val="20"/>
                <w:color w:val="auto"/>
              </w:rPr>
            </w:pPr>
            <w:r>
              <w:rPr>
                <w:rFonts w:ascii="Arial" w:cs="Arial" w:eastAsia="Arial" w:hAnsi="Arial"/>
                <w:sz w:val="14"/>
                <w:szCs w:val="14"/>
                <w:b w:val="1"/>
                <w:bCs w:val="1"/>
                <w:color w:val="auto"/>
              </w:rPr>
              <w:t>2020</w:t>
            </w:r>
          </w:p>
        </w:tc>
        <w:tc>
          <w:tcPr>
            <w:tcW w:w="220" w:type="dxa"/>
            <w:vAlign w:val="bottom"/>
            <w:tcBorders>
              <w:bottom w:val="single" w:sz="8" w:color="CCEEFF"/>
            </w:tcBorders>
          </w:tcPr>
          <w:p>
            <w:pPr>
              <w:spacing w:after="0"/>
              <w:rPr>
                <w:sz w:val="14"/>
                <w:szCs w:val="14"/>
                <w:color w:val="auto"/>
              </w:rPr>
            </w:pPr>
          </w:p>
        </w:tc>
        <w:tc>
          <w:tcPr>
            <w:tcW w:w="160" w:type="dxa"/>
            <w:vAlign w:val="bottom"/>
            <w:tcBorders>
              <w:bottom w:val="single" w:sz="8" w:color="CCEEFF"/>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jc w:val="right"/>
              <w:ind w:right="113"/>
              <w:spacing w:after="0"/>
              <w:rPr>
                <w:sz w:val="20"/>
                <w:szCs w:val="20"/>
                <w:color w:val="auto"/>
              </w:rPr>
            </w:pPr>
            <w:r>
              <w:rPr>
                <w:rFonts w:ascii="Arial" w:cs="Arial" w:eastAsia="Arial" w:hAnsi="Arial"/>
                <w:sz w:val="14"/>
                <w:szCs w:val="14"/>
                <w:b w:val="1"/>
                <w:bCs w:val="1"/>
                <w:color w:val="auto"/>
              </w:rPr>
              <w:t>2019</w:t>
            </w:r>
          </w:p>
        </w:tc>
        <w:tc>
          <w:tcPr>
            <w:tcW w:w="200" w:type="dxa"/>
            <w:vAlign w:val="bottom"/>
            <w:tcBorders>
              <w:bottom w:val="single" w:sz="8" w:color="CCEEFF"/>
            </w:tcBorders>
          </w:tcPr>
          <w:p>
            <w:pPr>
              <w:spacing w:after="0"/>
              <w:rPr>
                <w:sz w:val="14"/>
                <w:szCs w:val="14"/>
                <w:color w:val="auto"/>
              </w:rPr>
            </w:pPr>
          </w:p>
        </w:tc>
        <w:tc>
          <w:tcPr>
            <w:tcW w:w="16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640" w:type="dxa"/>
            <w:vAlign w:val="bottom"/>
            <w:tcBorders>
              <w:bottom w:val="single" w:sz="8" w:color="auto"/>
            </w:tcBorders>
          </w:tcPr>
          <w:p>
            <w:pPr>
              <w:jc w:val="right"/>
              <w:ind w:right="133"/>
              <w:spacing w:after="0"/>
              <w:rPr>
                <w:sz w:val="20"/>
                <w:szCs w:val="20"/>
                <w:color w:val="auto"/>
              </w:rPr>
            </w:pPr>
            <w:r>
              <w:rPr>
                <w:rFonts w:ascii="Arial" w:cs="Arial" w:eastAsia="Arial" w:hAnsi="Arial"/>
                <w:sz w:val="14"/>
                <w:szCs w:val="14"/>
                <w:b w:val="1"/>
                <w:bCs w:val="1"/>
                <w:color w:val="auto"/>
              </w:rPr>
              <w:t>2018</w:t>
            </w:r>
          </w:p>
        </w:tc>
        <w:tc>
          <w:tcPr>
            <w:tcW w:w="120" w:type="dxa"/>
            <w:vAlign w:val="bottom"/>
            <w:tcBorders>
              <w:bottom w:val="single" w:sz="8" w:color="CCEEFF"/>
            </w:tcBorders>
          </w:tcPr>
          <w:p>
            <w:pPr>
              <w:spacing w:after="0"/>
              <w:rPr>
                <w:sz w:val="14"/>
                <w:szCs w:val="14"/>
                <w:color w:val="auto"/>
              </w:rPr>
            </w:pPr>
          </w:p>
        </w:tc>
      </w:tr>
      <w:tr>
        <w:trPr>
          <w:trHeight w:val="209"/>
        </w:trPr>
        <w:tc>
          <w:tcPr>
            <w:tcW w:w="6340" w:type="dxa"/>
            <w:vAlign w:val="bottom"/>
            <w:shd w:val="clear" w:color="auto" w:fill="CCEEFF"/>
          </w:tcPr>
          <w:p>
            <w:pPr>
              <w:spacing w:after="0"/>
              <w:rPr>
                <w:sz w:val="20"/>
                <w:szCs w:val="20"/>
                <w:color w:val="auto"/>
              </w:rPr>
            </w:pPr>
            <w:r>
              <w:rPr>
                <w:rFonts w:ascii="Arial" w:cs="Arial" w:eastAsia="Arial" w:hAnsi="Arial"/>
                <w:sz w:val="18"/>
                <w:szCs w:val="18"/>
                <w:color w:val="auto"/>
              </w:rPr>
              <w:t>Lease rental income - managed fleet</w:t>
            </w:r>
          </w:p>
        </w:tc>
        <w:tc>
          <w:tcPr>
            <w:tcW w:w="20" w:type="dxa"/>
            <w:vAlign w:val="bottom"/>
            <w:shd w:val="clear" w:color="auto" w:fill="CCEEFF"/>
          </w:tcPr>
          <w:p>
            <w:pPr>
              <w:spacing w:after="0"/>
              <w:rPr>
                <w:sz w:val="18"/>
                <w:szCs w:val="18"/>
                <w:color w:val="auto"/>
              </w:rPr>
            </w:pP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8"/>
              </w:rPr>
              <w:t>62,448</w:t>
            </w:r>
          </w:p>
        </w:tc>
        <w:tc>
          <w:tcPr>
            <w:tcW w:w="2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101,901</w:t>
            </w:r>
          </w:p>
        </w:tc>
        <w:tc>
          <w:tcPr>
            <w:tcW w:w="2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111,342</w:t>
            </w:r>
          </w:p>
        </w:tc>
        <w:tc>
          <w:tcPr>
            <w:tcW w:w="120" w:type="dxa"/>
            <w:vAlign w:val="bottom"/>
            <w:shd w:val="clear" w:color="auto" w:fill="CCEEFF"/>
          </w:tcPr>
          <w:p>
            <w:pPr>
              <w:spacing w:after="0"/>
              <w:rPr>
                <w:sz w:val="18"/>
                <w:szCs w:val="18"/>
                <w:color w:val="auto"/>
              </w:rPr>
            </w:pPr>
          </w:p>
        </w:tc>
      </w:tr>
      <w:tr>
        <w:trPr>
          <w:trHeight w:val="216"/>
        </w:trPr>
        <w:tc>
          <w:tcPr>
            <w:tcW w:w="6340" w:type="dxa"/>
            <w:vAlign w:val="bottom"/>
          </w:tcPr>
          <w:p>
            <w:pPr>
              <w:spacing w:after="0"/>
              <w:rPr>
                <w:sz w:val="20"/>
                <w:szCs w:val="20"/>
                <w:color w:val="auto"/>
              </w:rPr>
            </w:pPr>
            <w:r>
              <w:rPr>
                <w:rFonts w:ascii="Arial" w:cs="Arial" w:eastAsia="Arial" w:hAnsi="Arial"/>
                <w:sz w:val="18"/>
                <w:szCs w:val="18"/>
                <w:color w:val="auto"/>
              </w:rPr>
              <w:t>Less: distribution expense to managed fleet container investors</w:t>
            </w:r>
          </w:p>
        </w:tc>
        <w:tc>
          <w:tcPr>
            <w:tcW w:w="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w w:val="89"/>
              </w:rPr>
              <w:t>(57,311)</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0" w:type="dxa"/>
            <w:vAlign w:val="bottom"/>
            <w:gridSpan w:val="2"/>
          </w:tcPr>
          <w:p>
            <w:pPr>
              <w:jc w:val="right"/>
              <w:ind w:right="140"/>
              <w:spacing w:after="0"/>
              <w:rPr>
                <w:sz w:val="20"/>
                <w:szCs w:val="20"/>
                <w:color w:val="auto"/>
              </w:rPr>
            </w:pPr>
            <w:r>
              <w:rPr>
                <w:rFonts w:ascii="Arial" w:cs="Arial" w:eastAsia="Arial" w:hAnsi="Arial"/>
                <w:sz w:val="18"/>
                <w:szCs w:val="18"/>
                <w:color w:val="auto"/>
                <w:w w:val="95"/>
              </w:rPr>
              <w:t>(93,858)</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60"/>
              <w:spacing w:after="0"/>
              <w:rPr>
                <w:sz w:val="20"/>
                <w:szCs w:val="20"/>
                <w:color w:val="auto"/>
              </w:rPr>
            </w:pPr>
            <w:r>
              <w:rPr>
                <w:rFonts w:ascii="Arial" w:cs="Arial" w:eastAsia="Arial" w:hAnsi="Arial"/>
                <w:sz w:val="18"/>
                <w:szCs w:val="18"/>
                <w:color w:val="auto"/>
                <w:w w:val="88"/>
              </w:rPr>
              <w:t>(102,992)</w:t>
            </w:r>
          </w:p>
        </w:tc>
      </w:tr>
      <w:tr>
        <w:trPr>
          <w:trHeight w:val="202"/>
        </w:trPr>
        <w:tc>
          <w:tcPr>
            <w:tcW w:w="634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w w:val="97"/>
              </w:rPr>
              <w:t>Less: depreciation and interest expense on managed containers purchased on or</w:t>
            </w:r>
          </w:p>
        </w:tc>
        <w:tc>
          <w:tcPr>
            <w:tcW w:w="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r>
      <w:tr>
        <w:trPr>
          <w:trHeight w:val="230"/>
        </w:trPr>
        <w:tc>
          <w:tcPr>
            <w:tcW w:w="6340" w:type="dxa"/>
            <w:vAlign w:val="bottom"/>
            <w:shd w:val="clear" w:color="auto" w:fill="CCEEFF"/>
          </w:tcPr>
          <w:p>
            <w:pPr>
              <w:ind w:left="180"/>
              <w:spacing w:after="0"/>
              <w:rPr>
                <w:sz w:val="20"/>
                <w:szCs w:val="20"/>
                <w:color w:val="auto"/>
              </w:rPr>
            </w:pPr>
            <w:r>
              <w:rPr>
                <w:rFonts w:ascii="Arial" w:cs="Arial" w:eastAsia="Arial" w:hAnsi="Arial"/>
                <w:sz w:val="18"/>
                <w:szCs w:val="18"/>
                <w:color w:val="auto"/>
              </w:rPr>
              <w:t>after January 1, 2019</w:t>
            </w:r>
          </w:p>
        </w:tc>
        <w:tc>
          <w:tcPr>
            <w:tcW w:w="20" w:type="dxa"/>
            <w:vAlign w:val="bottom"/>
            <w:shd w:val="clear" w:color="auto" w:fill="CCEEFF"/>
          </w:tcPr>
          <w:p>
            <w:pPr>
              <w:spacing w:after="0"/>
              <w:rPr>
                <w:sz w:val="20"/>
                <w:szCs w:val="20"/>
                <w:color w:val="auto"/>
              </w:rPr>
            </w:pPr>
          </w:p>
        </w:tc>
        <w:tc>
          <w:tcPr>
            <w:tcW w:w="60" w:type="dxa"/>
            <w:vAlign w:val="bottom"/>
            <w:shd w:val="clear" w:color="auto" w:fill="CCEEFF"/>
          </w:tcPr>
          <w:p>
            <w:pPr>
              <w:spacing w:after="0"/>
              <w:rPr>
                <w:sz w:val="20"/>
                <w:szCs w:val="20"/>
                <w:color w:val="auto"/>
              </w:rPr>
            </w:pP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(730)</w:t>
            </w:r>
          </w:p>
        </w:tc>
        <w:tc>
          <w:tcPr>
            <w:tcW w:w="16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8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(394)</w:t>
            </w:r>
          </w:p>
        </w:tc>
        <w:tc>
          <w:tcPr>
            <w:tcW w:w="16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7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r>
      <w:tr>
        <w:trPr>
          <w:trHeight w:val="223"/>
        </w:trPr>
        <w:tc>
          <w:tcPr>
            <w:tcW w:w="6340" w:type="dxa"/>
            <w:vAlign w:val="bottom"/>
          </w:tcPr>
          <w:p>
            <w:pPr>
              <w:spacing w:after="0"/>
              <w:rPr>
                <w:sz w:val="20"/>
                <w:szCs w:val="20"/>
                <w:color w:val="auto"/>
              </w:rPr>
            </w:pPr>
            <w:r>
              <w:rPr>
                <w:rFonts w:ascii="Arial" w:cs="Arial" w:eastAsia="Arial" w:hAnsi="Arial"/>
                <w:sz w:val="18"/>
                <w:szCs w:val="18"/>
                <w:color w:val="auto"/>
              </w:rPr>
              <w:t>Management fees from leasing</w:t>
            </w:r>
          </w:p>
        </w:tc>
        <w:tc>
          <w:tcPr>
            <w:tcW w:w="20" w:type="dxa"/>
            <w:vAlign w:val="bottom"/>
          </w:tcPr>
          <w:p>
            <w:pPr>
              <w:spacing w:after="0"/>
              <w:rPr>
                <w:sz w:val="19"/>
                <w:szCs w:val="19"/>
                <w:color w:val="auto"/>
              </w:rPr>
            </w:pPr>
          </w:p>
        </w:tc>
        <w:tc>
          <w:tcPr>
            <w:tcW w:w="60" w:type="dxa"/>
            <w:vAlign w:val="bottom"/>
            <w:tcBorders>
              <w:top w:val="single" w:sz="8" w:color="auto"/>
            </w:tcBorders>
          </w:tcPr>
          <w:p>
            <w:pPr>
              <w:spacing w:after="0"/>
              <w:rPr>
                <w:sz w:val="19"/>
                <w:szCs w:val="19"/>
                <w:color w:val="auto"/>
              </w:rPr>
            </w:pPr>
          </w:p>
        </w:tc>
        <w:tc>
          <w:tcPr>
            <w:tcW w:w="5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4,407</w:t>
            </w:r>
          </w:p>
        </w:tc>
        <w:tc>
          <w:tcPr>
            <w:tcW w:w="2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7,649</w:t>
            </w:r>
          </w:p>
        </w:tc>
        <w:tc>
          <w:tcPr>
            <w:tcW w:w="2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6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8,350</w:t>
            </w:r>
          </w:p>
        </w:tc>
        <w:tc>
          <w:tcPr>
            <w:tcW w:w="120" w:type="dxa"/>
            <w:vAlign w:val="bottom"/>
          </w:tcPr>
          <w:p>
            <w:pPr>
              <w:spacing w:after="0"/>
              <w:rPr>
                <w:sz w:val="19"/>
                <w:szCs w:val="19"/>
                <w:color w:val="auto"/>
              </w:rPr>
            </w:pPr>
          </w:p>
        </w:tc>
      </w:tr>
      <w:tr>
        <w:trPr>
          <w:trHeight w:val="216"/>
        </w:trPr>
        <w:tc>
          <w:tcPr>
            <w:tcW w:w="6340" w:type="dxa"/>
            <w:vAlign w:val="bottom"/>
            <w:shd w:val="clear" w:color="auto" w:fill="CCEEFF"/>
          </w:tcPr>
          <w:p>
            <w:pPr>
              <w:spacing w:after="0"/>
              <w:rPr>
                <w:sz w:val="20"/>
                <w:szCs w:val="20"/>
                <w:color w:val="auto"/>
              </w:rPr>
            </w:pPr>
            <w:r>
              <w:rPr>
                <w:rFonts w:ascii="Arial" w:cs="Arial" w:eastAsia="Arial" w:hAnsi="Arial"/>
                <w:sz w:val="18"/>
                <w:szCs w:val="18"/>
                <w:color w:val="auto"/>
              </w:rPr>
              <w:t>Management fees from non-leasing services</w:t>
            </w:r>
          </w:p>
        </w:tc>
        <w:tc>
          <w:tcPr>
            <w:tcW w:w="20" w:type="dxa"/>
            <w:vAlign w:val="bottom"/>
            <w:shd w:val="clear" w:color="auto" w:fill="CCEEFF"/>
          </w:tcPr>
          <w:p>
            <w:pPr>
              <w:spacing w:after="0"/>
              <w:rPr>
                <w:sz w:val="18"/>
                <w:szCs w:val="18"/>
                <w:color w:val="auto"/>
              </w:rPr>
            </w:pPr>
          </w:p>
        </w:tc>
        <w:tc>
          <w:tcPr>
            <w:tcW w:w="60" w:type="dxa"/>
            <w:vAlign w:val="bottom"/>
            <w:tcBorders>
              <w:bottom w:val="single" w:sz="8" w:color="auto"/>
            </w:tcBorders>
            <w:shd w:val="clear" w:color="auto" w:fill="CCEEFF"/>
          </w:tcPr>
          <w:p>
            <w:pPr>
              <w:spacing w:after="0"/>
              <w:rPr>
                <w:sz w:val="18"/>
                <w:szCs w:val="18"/>
                <w:color w:val="auto"/>
              </w:rPr>
            </w:pPr>
          </w:p>
        </w:tc>
        <w:tc>
          <w:tcPr>
            <w:tcW w:w="5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5,271</w:t>
            </w:r>
          </w:p>
        </w:tc>
        <w:tc>
          <w:tcPr>
            <w:tcW w:w="2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6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7,590</w:t>
            </w:r>
          </w:p>
        </w:tc>
        <w:tc>
          <w:tcPr>
            <w:tcW w:w="2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6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8,529</w:t>
            </w:r>
          </w:p>
        </w:tc>
        <w:tc>
          <w:tcPr>
            <w:tcW w:w="120" w:type="dxa"/>
            <w:vAlign w:val="bottom"/>
            <w:shd w:val="clear" w:color="auto" w:fill="CCEEFF"/>
          </w:tcPr>
          <w:p>
            <w:pPr>
              <w:spacing w:after="0"/>
              <w:rPr>
                <w:sz w:val="18"/>
                <w:szCs w:val="18"/>
                <w:color w:val="auto"/>
              </w:rPr>
            </w:pPr>
          </w:p>
        </w:tc>
      </w:tr>
      <w:tr>
        <w:trPr>
          <w:trHeight w:val="223"/>
        </w:trPr>
        <w:tc>
          <w:tcPr>
            <w:tcW w:w="6340" w:type="dxa"/>
            <w:vAlign w:val="bottom"/>
          </w:tcPr>
          <w:p>
            <w:pPr>
              <w:ind w:left="360"/>
              <w:spacing w:after="0"/>
              <w:rPr>
                <w:sz w:val="20"/>
                <w:szCs w:val="20"/>
                <w:color w:val="auto"/>
              </w:rPr>
            </w:pPr>
            <w:r>
              <w:rPr>
                <w:rFonts w:ascii="Arial" w:cs="Arial" w:eastAsia="Arial" w:hAnsi="Arial"/>
                <w:sz w:val="18"/>
                <w:szCs w:val="18"/>
                <w:color w:val="auto"/>
              </w:rPr>
              <w:t>Total management fees</w:t>
            </w:r>
          </w:p>
        </w:tc>
        <w:tc>
          <w:tcPr>
            <w:tcW w:w="20" w:type="dxa"/>
            <w:vAlign w:val="bottom"/>
            <w:tcBorders>
              <w:bottom w:val="single" w:sz="8" w:color="auto"/>
            </w:tcBorders>
          </w:tcPr>
          <w:p>
            <w:pPr>
              <w:spacing w:after="0"/>
              <w:rPr>
                <w:sz w:val="19"/>
                <w:szCs w:val="19"/>
                <w:color w:val="auto"/>
              </w:rPr>
            </w:pPr>
          </w:p>
        </w:tc>
        <w:tc>
          <w:tcPr>
            <w:tcW w:w="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9,678</w:t>
            </w:r>
          </w:p>
        </w:tc>
        <w:tc>
          <w:tcPr>
            <w:tcW w:w="2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15,239</w:t>
            </w:r>
          </w:p>
        </w:tc>
        <w:tc>
          <w:tcPr>
            <w:tcW w:w="2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16,879</w:t>
            </w:r>
          </w:p>
        </w:tc>
        <w:tc>
          <w:tcPr>
            <w:tcW w:w="120" w:type="dxa"/>
            <w:vAlign w:val="bottom"/>
          </w:tcPr>
          <w:p>
            <w:pPr>
              <w:spacing w:after="0"/>
              <w:rPr>
                <w:sz w:val="19"/>
                <w:szCs w:val="19"/>
                <w:color w:val="auto"/>
              </w:rPr>
            </w:pPr>
          </w:p>
        </w:tc>
      </w:tr>
      <w:tr>
        <w:trPr>
          <w:trHeight w:val="20"/>
        </w:trPr>
        <w:tc>
          <w:tcPr>
            <w:tcW w:w="63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215" w:lineRule="exact"/>
        <w:rPr>
          <w:sz w:val="20"/>
          <w:szCs w:val="20"/>
          <w:color w:val="auto"/>
        </w:rPr>
      </w:pPr>
    </w:p>
    <w:p>
      <w:pPr>
        <w:ind w:firstLine="440"/>
        <w:spacing w:after="0" w:line="255" w:lineRule="auto"/>
        <w:rPr>
          <w:sz w:val="20"/>
          <w:szCs w:val="20"/>
          <w:color w:val="auto"/>
        </w:rPr>
      </w:pPr>
      <w:r>
        <w:rPr>
          <w:rFonts w:ascii="Arial" w:cs="Arial" w:eastAsia="Arial" w:hAnsi="Arial"/>
          <w:sz w:val="18"/>
          <w:szCs w:val="18"/>
          <w:color w:val="auto"/>
        </w:rPr>
        <w:t>The Company’s consolidated balance sheets also include the accounts receivable from the lessees of the managed fleet which are uncollected lease billings related to the containers managed by the Company for the Container Investors. Amounts billed under leases for the managed fleet (“sub-leases”) are recorded in accounts receivable with a corresponding credit to due to container investors. As sub-lessor, the Company is required to remit accounts receivable from lessees of the managed fleet to the Container Investors once paid in accordance with the terms of the management agreements. The Company’s consolidated balance sheets also include the prepaid expenses and accounts payable and accrued expenses related to the containers managed by the Company for the Container Investors.</w:t>
      </w:r>
    </w:p>
    <w:p>
      <w:pPr>
        <w:spacing w:after="0" w:line="192" w:lineRule="exact"/>
        <w:rPr>
          <w:sz w:val="20"/>
          <w:szCs w:val="20"/>
          <w:color w:val="auto"/>
        </w:rPr>
      </w:pPr>
    </w:p>
    <w:p>
      <w:pPr>
        <w:ind w:right="40" w:firstLine="440"/>
        <w:spacing w:after="0" w:line="257" w:lineRule="auto"/>
        <w:rPr>
          <w:sz w:val="20"/>
          <w:szCs w:val="20"/>
          <w:color w:val="auto"/>
        </w:rPr>
      </w:pPr>
      <w:r>
        <w:rPr>
          <w:rFonts w:ascii="Arial" w:cs="Arial" w:eastAsia="Arial" w:hAnsi="Arial"/>
          <w:sz w:val="18"/>
          <w:szCs w:val="18"/>
          <w:color w:val="auto"/>
        </w:rPr>
        <w:t>The following table provides a reconciliation of the balance sheet accounts from the managed fleet to the total amount as of December 31, 2020 and 2019 in the consolidated balance sheets (also, see Note 4 “Transactions with Affiliates and Container Investors”). Accounts receivable related to the owned fleet pertains to the Company’s uncollected lease billings related to the containers owned by the Company. Prepaid expenses and other current assets and accounts payable and accrued expenses related to the owned fleet represents the Company’s general and administrative costs and operating costs arising from the containers owned by the Company.</w:t>
      </w:r>
    </w:p>
    <w:p>
      <w:pPr>
        <w:spacing w:after="0" w:line="206" w:lineRule="exact"/>
        <w:rPr>
          <w:sz w:val="20"/>
          <w:szCs w:val="20"/>
          <w:color w:val="auto"/>
        </w:rPr>
      </w:pPr>
    </w:p>
    <w:tbl>
      <w:tblPr>
        <w:tblLayout w:type="fixed"/>
        <w:tblInd w:w="1320" w:type="dxa"/>
        <w:tblCellMar>
          <w:top w:w="0" w:type="dxa"/>
          <w:left w:w="0" w:type="dxa"/>
          <w:bottom w:w="0" w:type="dxa"/>
          <w:right w:w="0" w:type="dxa"/>
        </w:tblCellMar>
      </w:tblPr>
      <w:tr>
        <w:trPr>
          <w:trHeight w:val="171"/>
        </w:trPr>
        <w:tc>
          <w:tcPr>
            <w:tcW w:w="664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80" w:type="dxa"/>
            <w:vAlign w:val="bottom"/>
            <w:tcBorders>
              <w:bottom w:val="single" w:sz="8" w:color="auto"/>
            </w:tcBorders>
          </w:tcPr>
          <w:p>
            <w:pPr>
              <w:jc w:val="right"/>
              <w:ind w:right="112"/>
              <w:spacing w:after="0"/>
              <w:rPr>
                <w:sz w:val="20"/>
                <w:szCs w:val="20"/>
                <w:color w:val="auto"/>
              </w:rPr>
            </w:pPr>
            <w:r>
              <w:rPr>
                <w:rFonts w:ascii="Arial" w:cs="Arial" w:eastAsia="Arial" w:hAnsi="Arial"/>
                <w:sz w:val="14"/>
                <w:szCs w:val="14"/>
                <w:b w:val="1"/>
                <w:bCs w:val="1"/>
                <w:color w:val="auto"/>
              </w:rPr>
              <w:t>2020</w:t>
            </w:r>
          </w:p>
        </w:tc>
        <w:tc>
          <w:tcPr>
            <w:tcW w:w="160" w:type="dxa"/>
            <w:vAlign w:val="bottom"/>
            <w:tcBorders>
              <w:bottom w:val="single" w:sz="8" w:color="CCEEFF"/>
            </w:tcBorders>
          </w:tcPr>
          <w:p>
            <w:pPr>
              <w:spacing w:after="0"/>
              <w:rPr>
                <w:sz w:val="14"/>
                <w:szCs w:val="14"/>
                <w:color w:val="auto"/>
              </w:rPr>
            </w:pPr>
          </w:p>
        </w:tc>
        <w:tc>
          <w:tcPr>
            <w:tcW w:w="14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jc w:val="right"/>
              <w:ind w:right="112"/>
              <w:spacing w:after="0"/>
              <w:rPr>
                <w:sz w:val="20"/>
                <w:szCs w:val="20"/>
                <w:color w:val="auto"/>
              </w:rPr>
            </w:pPr>
            <w:r>
              <w:rPr>
                <w:rFonts w:ascii="Arial" w:cs="Arial" w:eastAsia="Arial" w:hAnsi="Arial"/>
                <w:sz w:val="14"/>
                <w:szCs w:val="14"/>
                <w:b w:val="1"/>
                <w:bCs w:val="1"/>
                <w:color w:val="auto"/>
              </w:rPr>
              <w:t>2019</w:t>
            </w:r>
          </w:p>
        </w:tc>
        <w:tc>
          <w:tcPr>
            <w:tcW w:w="4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209"/>
        </w:trPr>
        <w:tc>
          <w:tcPr>
            <w:tcW w:w="6640" w:type="dxa"/>
            <w:vAlign w:val="bottom"/>
            <w:shd w:val="clear" w:color="auto" w:fill="CCEEFF"/>
          </w:tcPr>
          <w:p>
            <w:pPr>
              <w:spacing w:after="0"/>
              <w:rPr>
                <w:sz w:val="20"/>
                <w:szCs w:val="20"/>
                <w:color w:val="auto"/>
              </w:rPr>
            </w:pPr>
            <w:r>
              <w:rPr>
                <w:rFonts w:ascii="Arial" w:cs="Arial" w:eastAsia="Arial" w:hAnsi="Arial"/>
                <w:sz w:val="18"/>
                <w:szCs w:val="18"/>
                <w:color w:val="auto"/>
              </w:rPr>
              <w:t>Accounts receivable - owned fleet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97,950</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96,158</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640" w:type="dxa"/>
            <w:vAlign w:val="bottom"/>
          </w:tcPr>
          <w:p>
            <w:pPr>
              <w:spacing w:after="0"/>
              <w:rPr>
                <w:sz w:val="20"/>
                <w:szCs w:val="20"/>
                <w:color w:val="auto"/>
              </w:rPr>
            </w:pPr>
            <w:r>
              <w:rPr>
                <w:rFonts w:ascii="Arial" w:cs="Arial" w:eastAsia="Arial" w:hAnsi="Arial"/>
                <w:sz w:val="18"/>
                <w:szCs w:val="18"/>
                <w:color w:val="auto"/>
              </w:rPr>
              <w:t>Accounts receivable - managed fleet</w:t>
            </w:r>
          </w:p>
        </w:tc>
        <w:tc>
          <w:tcPr>
            <w:tcW w:w="100" w:type="dxa"/>
            <w:vAlign w:val="bottom"/>
          </w:tcPr>
          <w:p>
            <w:pPr>
              <w:spacing w:after="0"/>
              <w:rPr>
                <w:sz w:val="18"/>
                <w:szCs w:val="18"/>
                <w:color w:val="auto"/>
              </w:rPr>
            </w:pPr>
          </w:p>
        </w:tc>
        <w:tc>
          <w:tcPr>
            <w:tcW w:w="740" w:type="dxa"/>
            <w:vAlign w:val="bottom"/>
            <w:gridSpan w:val="2"/>
          </w:tcPr>
          <w:p>
            <w:pPr>
              <w:jc w:val="right"/>
              <w:ind w:right="160"/>
              <w:spacing w:after="0"/>
              <w:rPr>
                <w:sz w:val="20"/>
                <w:szCs w:val="20"/>
                <w:color w:val="auto"/>
              </w:rPr>
            </w:pPr>
            <w:r>
              <w:rPr>
                <w:rFonts w:ascii="Arial" w:cs="Arial" w:eastAsia="Arial" w:hAnsi="Arial"/>
                <w:sz w:val="18"/>
                <w:szCs w:val="18"/>
                <w:color w:val="auto"/>
              </w:rPr>
              <w:t>10,628</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40" w:type="dxa"/>
            <w:vAlign w:val="bottom"/>
            <w:gridSpan w:val="2"/>
          </w:tcPr>
          <w:p>
            <w:pPr>
              <w:jc w:val="right"/>
              <w:ind w:right="40"/>
              <w:spacing w:after="0"/>
              <w:rPr>
                <w:sz w:val="20"/>
                <w:szCs w:val="20"/>
                <w:color w:val="auto"/>
              </w:rPr>
            </w:pPr>
            <w:r>
              <w:rPr>
                <w:rFonts w:ascii="Arial" w:cs="Arial" w:eastAsia="Arial" w:hAnsi="Arial"/>
                <w:sz w:val="18"/>
                <w:szCs w:val="18"/>
                <w:color w:val="auto"/>
              </w:rPr>
              <w:t>13,226</w:t>
            </w:r>
          </w:p>
        </w:tc>
        <w:tc>
          <w:tcPr>
            <w:tcW w:w="0" w:type="dxa"/>
            <w:vAlign w:val="bottom"/>
          </w:tcPr>
          <w:p>
            <w:pPr>
              <w:spacing w:after="0"/>
              <w:rPr>
                <w:sz w:val="1"/>
                <w:szCs w:val="1"/>
                <w:color w:val="auto"/>
              </w:rPr>
            </w:pPr>
          </w:p>
        </w:tc>
      </w:tr>
      <w:tr>
        <w:trPr>
          <w:trHeight w:val="27"/>
        </w:trPr>
        <w:tc>
          <w:tcPr>
            <w:tcW w:w="66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6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 accounts receivable</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7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86"/>
              </w:rPr>
              <w:t>108,578</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p>
        </w:tc>
        <w:tc>
          <w:tcPr>
            <w:tcW w:w="6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89"/>
              </w:rPr>
              <w:t>109,384</w:t>
            </w:r>
          </w:p>
        </w:tc>
        <w:tc>
          <w:tcPr>
            <w:tcW w:w="0" w:type="dxa"/>
            <w:vAlign w:val="bottom"/>
          </w:tcPr>
          <w:p>
            <w:pPr>
              <w:spacing w:after="0"/>
              <w:rPr>
                <w:sz w:val="1"/>
                <w:szCs w:val="1"/>
                <w:color w:val="auto"/>
              </w:rPr>
            </w:pPr>
          </w:p>
        </w:tc>
      </w:tr>
      <w:tr>
        <w:trPr>
          <w:trHeight w:val="20"/>
        </w:trPr>
        <w:tc>
          <w:tcPr>
            <w:tcW w:w="6640" w:type="dxa"/>
            <w:vAlign w:val="bottom"/>
            <w:vMerge w:val="restart"/>
          </w:tcPr>
          <w:p>
            <w:pPr>
              <w:spacing w:after="0"/>
              <w:rPr>
                <w:sz w:val="20"/>
                <w:szCs w:val="20"/>
                <w:color w:val="auto"/>
              </w:rPr>
            </w:pPr>
            <w:r>
              <w:rPr>
                <w:rFonts w:ascii="Arial" w:cs="Arial" w:eastAsia="Arial" w:hAnsi="Arial"/>
                <w:sz w:val="18"/>
                <w:szCs w:val="18"/>
                <w:color w:val="auto"/>
              </w:rPr>
              <w:t>Prepaid expenses and other current assets - owned fleet</w:t>
            </w: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6640" w:type="dxa"/>
            <w:vAlign w:val="bottom"/>
            <w:vMerge w:val="continue"/>
          </w:tcPr>
          <w:p>
            <w:pPr>
              <w:spacing w:after="0"/>
              <w:rPr>
                <w:sz w:val="18"/>
                <w:szCs w:val="18"/>
                <w:color w:val="auto"/>
              </w:rPr>
            </w:pP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580" w:type="dxa"/>
            <w:vAlign w:val="bottom"/>
          </w:tcPr>
          <w:p>
            <w:pPr>
              <w:jc w:val="right"/>
              <w:spacing w:after="0"/>
              <w:rPr>
                <w:sz w:val="20"/>
                <w:szCs w:val="20"/>
                <w:color w:val="auto"/>
              </w:rPr>
            </w:pPr>
            <w:r>
              <w:rPr>
                <w:rFonts w:ascii="Arial" w:cs="Arial" w:eastAsia="Arial" w:hAnsi="Arial"/>
                <w:sz w:val="18"/>
                <w:szCs w:val="18"/>
                <w:color w:val="auto"/>
              </w:rPr>
              <w:t>13,614</w:t>
            </w: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600" w:type="dxa"/>
            <w:vAlign w:val="bottom"/>
          </w:tcPr>
          <w:p>
            <w:pPr>
              <w:jc w:val="right"/>
              <w:spacing w:after="0"/>
              <w:rPr>
                <w:sz w:val="20"/>
                <w:szCs w:val="20"/>
                <w:color w:val="auto"/>
              </w:rPr>
            </w:pPr>
            <w:r>
              <w:rPr>
                <w:rFonts w:ascii="Arial" w:cs="Arial" w:eastAsia="Arial" w:hAnsi="Arial"/>
                <w:sz w:val="18"/>
                <w:szCs w:val="18"/>
                <w:color w:val="auto"/>
              </w:rPr>
              <w:t>14,627</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640" w:type="dxa"/>
            <w:vAlign w:val="bottom"/>
            <w:shd w:val="clear" w:color="auto" w:fill="CCEEFF"/>
          </w:tcPr>
          <w:p>
            <w:pPr>
              <w:spacing w:after="0"/>
              <w:rPr>
                <w:sz w:val="20"/>
                <w:szCs w:val="20"/>
                <w:color w:val="auto"/>
              </w:rPr>
            </w:pPr>
            <w:r>
              <w:rPr>
                <w:rFonts w:ascii="Arial" w:cs="Arial" w:eastAsia="Arial" w:hAnsi="Arial"/>
                <w:sz w:val="18"/>
                <w:szCs w:val="18"/>
                <w:color w:val="auto"/>
              </w:rPr>
              <w:t>Prepaid expenses and other current assets - managed fleet</w:t>
            </w: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99</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189</w:t>
            </w:r>
          </w:p>
        </w:tc>
        <w:tc>
          <w:tcPr>
            <w:tcW w:w="0" w:type="dxa"/>
            <w:vAlign w:val="bottom"/>
          </w:tcPr>
          <w:p>
            <w:pPr>
              <w:spacing w:after="0"/>
              <w:rPr>
                <w:sz w:val="1"/>
                <w:szCs w:val="1"/>
                <w:color w:val="auto"/>
              </w:rPr>
            </w:pPr>
          </w:p>
        </w:tc>
      </w:tr>
      <w:tr>
        <w:trPr>
          <w:trHeight w:val="223"/>
        </w:trPr>
        <w:tc>
          <w:tcPr>
            <w:tcW w:w="6640" w:type="dxa"/>
            <w:vAlign w:val="bottom"/>
          </w:tcPr>
          <w:p>
            <w:pPr>
              <w:ind w:left="360"/>
              <w:spacing w:after="0"/>
              <w:rPr>
                <w:sz w:val="20"/>
                <w:szCs w:val="20"/>
                <w:color w:val="auto"/>
              </w:rPr>
            </w:pPr>
            <w:r>
              <w:rPr>
                <w:rFonts w:ascii="Arial" w:cs="Arial" w:eastAsia="Arial" w:hAnsi="Arial"/>
                <w:sz w:val="18"/>
                <w:szCs w:val="18"/>
                <w:color w:val="auto"/>
              </w:rPr>
              <w:t>Total prepaid expenses and other current assets</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13,713</w:t>
            </w:r>
          </w:p>
        </w:tc>
        <w:tc>
          <w:tcPr>
            <w:tcW w:w="1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14,816</w:t>
            </w: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66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6640" w:type="dxa"/>
            <w:vAlign w:val="bottom"/>
            <w:shd w:val="clear" w:color="auto" w:fill="CCEEFF"/>
          </w:tcPr>
          <w:p>
            <w:pPr>
              <w:spacing w:after="0"/>
              <w:rPr>
                <w:sz w:val="20"/>
                <w:szCs w:val="20"/>
                <w:color w:val="auto"/>
              </w:rPr>
            </w:pPr>
            <w:r>
              <w:rPr>
                <w:rFonts w:ascii="Arial" w:cs="Arial" w:eastAsia="Arial" w:hAnsi="Arial"/>
                <w:sz w:val="18"/>
                <w:szCs w:val="18"/>
                <w:color w:val="auto"/>
              </w:rPr>
              <w:t>Accounts payable and accrued expenses - owned fleet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23,198</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21,451</w:t>
            </w:r>
          </w:p>
        </w:tc>
        <w:tc>
          <w:tcPr>
            <w:tcW w:w="0" w:type="dxa"/>
            <w:vAlign w:val="bottom"/>
          </w:tcPr>
          <w:p>
            <w:pPr>
              <w:spacing w:after="0"/>
              <w:rPr>
                <w:sz w:val="1"/>
                <w:szCs w:val="1"/>
                <w:color w:val="auto"/>
              </w:rPr>
            </w:pPr>
          </w:p>
        </w:tc>
      </w:tr>
      <w:tr>
        <w:trPr>
          <w:trHeight w:val="216"/>
        </w:trPr>
        <w:tc>
          <w:tcPr>
            <w:tcW w:w="6640" w:type="dxa"/>
            <w:vAlign w:val="bottom"/>
          </w:tcPr>
          <w:p>
            <w:pPr>
              <w:spacing w:after="0"/>
              <w:rPr>
                <w:sz w:val="20"/>
                <w:szCs w:val="20"/>
                <w:color w:val="auto"/>
              </w:rPr>
            </w:pPr>
            <w:r>
              <w:rPr>
                <w:rFonts w:ascii="Arial" w:cs="Arial" w:eastAsia="Arial" w:hAnsi="Arial"/>
                <w:sz w:val="18"/>
                <w:szCs w:val="18"/>
                <w:color w:val="auto"/>
              </w:rPr>
              <w:t>Accounts payable and accrued expenses - managed fleet</w:t>
            </w:r>
          </w:p>
        </w:tc>
        <w:tc>
          <w:tcPr>
            <w:tcW w:w="100" w:type="dxa"/>
            <w:vAlign w:val="bottom"/>
          </w:tcPr>
          <w:p>
            <w:pPr>
              <w:spacing w:after="0"/>
              <w:rPr>
                <w:sz w:val="18"/>
                <w:szCs w:val="18"/>
                <w:color w:val="auto"/>
              </w:rPr>
            </w:pPr>
          </w:p>
        </w:tc>
        <w:tc>
          <w:tcPr>
            <w:tcW w:w="740" w:type="dxa"/>
            <w:vAlign w:val="bottom"/>
            <w:gridSpan w:val="2"/>
          </w:tcPr>
          <w:p>
            <w:pPr>
              <w:jc w:val="right"/>
              <w:ind w:right="160"/>
              <w:spacing w:after="0"/>
              <w:rPr>
                <w:sz w:val="20"/>
                <w:szCs w:val="20"/>
                <w:color w:val="auto"/>
              </w:rPr>
            </w:pPr>
            <w:r>
              <w:rPr>
                <w:rFonts w:ascii="Arial" w:cs="Arial" w:eastAsia="Arial" w:hAnsi="Arial"/>
                <w:sz w:val="18"/>
                <w:szCs w:val="18"/>
                <w:color w:val="auto"/>
              </w:rPr>
              <w:t>1,187</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40" w:type="dxa"/>
            <w:vAlign w:val="bottom"/>
            <w:gridSpan w:val="2"/>
          </w:tcPr>
          <w:p>
            <w:pPr>
              <w:jc w:val="right"/>
              <w:ind w:right="40"/>
              <w:spacing w:after="0"/>
              <w:rPr>
                <w:sz w:val="20"/>
                <w:szCs w:val="20"/>
                <w:color w:val="auto"/>
              </w:rPr>
            </w:pPr>
            <w:r>
              <w:rPr>
                <w:rFonts w:ascii="Arial" w:cs="Arial" w:eastAsia="Arial" w:hAnsi="Arial"/>
                <w:sz w:val="18"/>
                <w:szCs w:val="18"/>
                <w:color w:val="auto"/>
              </w:rPr>
              <w:t>1,953</w:t>
            </w:r>
          </w:p>
        </w:tc>
        <w:tc>
          <w:tcPr>
            <w:tcW w:w="0" w:type="dxa"/>
            <w:vAlign w:val="bottom"/>
          </w:tcPr>
          <w:p>
            <w:pPr>
              <w:spacing w:after="0"/>
              <w:rPr>
                <w:sz w:val="1"/>
                <w:szCs w:val="1"/>
                <w:color w:val="auto"/>
              </w:rPr>
            </w:pPr>
          </w:p>
        </w:tc>
      </w:tr>
      <w:tr>
        <w:trPr>
          <w:trHeight w:val="27"/>
        </w:trPr>
        <w:tc>
          <w:tcPr>
            <w:tcW w:w="66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6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 accounts payable and accrued expenses</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24,385</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23,404</w:t>
            </w:r>
          </w:p>
        </w:tc>
        <w:tc>
          <w:tcPr>
            <w:tcW w:w="0" w:type="dxa"/>
            <w:vAlign w:val="bottom"/>
          </w:tcPr>
          <w:p>
            <w:pPr>
              <w:spacing w:after="0"/>
              <w:rPr>
                <w:sz w:val="1"/>
                <w:szCs w:val="1"/>
                <w:color w:val="auto"/>
              </w:rPr>
            </w:pPr>
          </w:p>
        </w:tc>
      </w:tr>
      <w:tr>
        <w:trPr>
          <w:trHeight w:val="20"/>
        </w:trPr>
        <w:tc>
          <w:tcPr>
            <w:tcW w:w="6640" w:type="dxa"/>
            <w:vAlign w:val="bottom"/>
            <w:vMerge w:val="restart"/>
          </w:tcPr>
          <w:p>
            <w:pPr>
              <w:spacing w:after="0"/>
              <w:rPr>
                <w:sz w:val="20"/>
                <w:szCs w:val="20"/>
                <w:color w:val="auto"/>
              </w:rPr>
            </w:pPr>
            <w:r>
              <w:rPr>
                <w:rFonts w:ascii="Arial" w:cs="Arial" w:eastAsia="Arial" w:hAnsi="Arial"/>
                <w:sz w:val="18"/>
                <w:szCs w:val="18"/>
                <w:color w:val="auto"/>
              </w:rPr>
              <w:t>Container contracts payable - owned fleet</w:t>
            </w: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7"/>
        </w:trPr>
        <w:tc>
          <w:tcPr>
            <w:tcW w:w="6640" w:type="dxa"/>
            <w:vAlign w:val="bottom"/>
            <w:vMerge w:val="continue"/>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6"/>
              </w:rPr>
              <w:t>231,647</w:t>
            </w: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9,394</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6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 container contracts payable</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7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86"/>
              </w:rPr>
              <w:t>231,647</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9,394</w:t>
            </w:r>
          </w:p>
        </w:tc>
        <w:tc>
          <w:tcPr>
            <w:tcW w:w="0" w:type="dxa"/>
            <w:vAlign w:val="bottom"/>
          </w:tcPr>
          <w:p>
            <w:pPr>
              <w:spacing w:after="0"/>
              <w:rPr>
                <w:sz w:val="1"/>
                <w:szCs w:val="1"/>
                <w:color w:val="auto"/>
              </w:rPr>
            </w:pPr>
          </w:p>
        </w:tc>
      </w:tr>
      <w:tr>
        <w:trPr>
          <w:trHeight w:val="20"/>
        </w:trPr>
        <w:tc>
          <w:tcPr>
            <w:tcW w:w="6640" w:type="dxa"/>
            <w:vAlign w:val="bottom"/>
            <w:vMerge w:val="restart"/>
          </w:tcPr>
          <w:p>
            <w:pPr>
              <w:ind w:left="4020"/>
              <w:spacing w:after="0"/>
              <w:rPr>
                <w:sz w:val="20"/>
                <w:szCs w:val="20"/>
                <w:color w:val="auto"/>
              </w:rPr>
            </w:pPr>
            <w:r>
              <w:rPr>
                <w:rFonts w:ascii="Arial" w:cs="Arial" w:eastAsia="Arial" w:hAnsi="Arial"/>
                <w:sz w:val="18"/>
                <w:szCs w:val="18"/>
                <w:color w:val="auto"/>
              </w:rPr>
              <w:t>F-28</w:t>
            </w: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9"/>
        </w:trPr>
        <w:tc>
          <w:tcPr>
            <w:tcW w:w="6640" w:type="dxa"/>
            <w:vAlign w:val="bottom"/>
            <w:vMerge w:val="continue"/>
          </w:tcPr>
          <w:p>
            <w:pPr>
              <w:spacing w:after="0"/>
              <w:rPr>
                <w:sz w:val="24"/>
                <w:szCs w:val="24"/>
                <w:color w:val="auto"/>
              </w:rPr>
            </w:pPr>
          </w:p>
        </w:tc>
        <w:tc>
          <w:tcPr>
            <w:tcW w:w="10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000"/>
          </w:cols>
          <w:pgMar w:left="440" w:top="274" w:right="459" w:bottom="1440" w:gutter="0" w:footer="0" w:header="0"/>
        </w:sectPr>
      </w:pPr>
    </w:p>
    <w:bookmarkStart w:id="142" w:name="page143"/>
    <w:bookmarkEnd w:id="142"/>
    <w:p>
      <w:pPr>
        <w:ind w:left="4"/>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(4) Transactions with Affiliates and Container Investors</w:t>
      </w:r>
    </w:p>
    <w:p>
      <w:pPr>
        <w:spacing w:after="0" w:line="121" w:lineRule="exact"/>
        <w:rPr>
          <w:sz w:val="20"/>
          <w:szCs w:val="20"/>
          <w:color w:val="auto"/>
        </w:rPr>
      </w:pPr>
    </w:p>
    <w:p>
      <w:pPr>
        <w:ind w:left="4" w:right="80" w:firstLine="440"/>
        <w:spacing w:after="0" w:line="342" w:lineRule="auto"/>
        <w:rPr>
          <w:sz w:val="20"/>
          <w:szCs w:val="20"/>
          <w:color w:val="auto"/>
        </w:rPr>
      </w:pPr>
      <w:r>
        <w:rPr>
          <w:rFonts w:ascii="Arial" w:cs="Arial" w:eastAsia="Arial" w:hAnsi="Arial"/>
          <w:sz w:val="16"/>
          <w:szCs w:val="16"/>
          <w:color w:val="auto"/>
        </w:rPr>
        <w:t>Due from affiliates, net of $1,509 and $1,880, as of December 31, 2020 and 2019, respectively, represents lease rentals on tank containers collected on behalf of and payable to the Company from the Company’s tank container manager, net of direct container expenses and management fees.</w:t>
      </w:r>
    </w:p>
    <w:p>
      <w:pPr>
        <w:spacing w:after="0" w:line="124" w:lineRule="exact"/>
        <w:rPr>
          <w:sz w:val="20"/>
          <w:szCs w:val="20"/>
          <w:color w:val="auto"/>
        </w:rPr>
      </w:pPr>
    </w:p>
    <w:p>
      <w:pPr>
        <w:ind w:left="4" w:right="100" w:firstLine="440"/>
        <w:spacing w:after="0" w:line="277" w:lineRule="auto"/>
        <w:rPr>
          <w:sz w:val="20"/>
          <w:szCs w:val="20"/>
          <w:color w:val="auto"/>
        </w:rPr>
      </w:pPr>
      <w:r>
        <w:rPr>
          <w:rFonts w:ascii="Arial" w:cs="Arial" w:eastAsia="Arial" w:hAnsi="Arial"/>
          <w:sz w:val="18"/>
          <w:szCs w:val="18"/>
          <w:color w:val="auto"/>
        </w:rPr>
        <w:t>Total management fees earned from the Company’s managed fleet, including acquisition fees and sales commissions during 2020, 2019 and 2018 were as follows:</w:t>
      </w:r>
    </w:p>
    <w:p>
      <w:pPr>
        <w:spacing w:after="0" w:line="189" w:lineRule="exact"/>
        <w:rPr>
          <w:sz w:val="20"/>
          <w:szCs w:val="20"/>
          <w:color w:val="auto"/>
        </w:rPr>
      </w:pPr>
    </w:p>
    <w:tbl>
      <w:tblPr>
        <w:tblLayout w:type="fixed"/>
        <w:tblInd w:w="444" w:type="dxa"/>
        <w:tblCellMar>
          <w:top w:w="0" w:type="dxa"/>
          <w:left w:w="0" w:type="dxa"/>
          <w:bottom w:w="0" w:type="dxa"/>
          <w:right w:w="0" w:type="dxa"/>
        </w:tblCellMar>
      </w:tblPr>
      <w:tr>
        <w:trPr>
          <w:trHeight w:val="171"/>
        </w:trPr>
        <w:tc>
          <w:tcPr>
            <w:tcW w:w="44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6160" w:type="dxa"/>
            <w:vAlign w:val="bottom"/>
          </w:tcPr>
          <w:p>
            <w:pPr>
              <w:spacing w:after="0"/>
              <w:rPr>
                <w:sz w:val="14"/>
                <w:szCs w:val="14"/>
                <w:color w:val="auto"/>
              </w:rPr>
            </w:pPr>
          </w:p>
        </w:tc>
        <w:tc>
          <w:tcPr>
            <w:tcW w:w="760" w:type="dxa"/>
            <w:vAlign w:val="bottom"/>
            <w:gridSpan w:val="3"/>
          </w:tcPr>
          <w:p>
            <w:pPr>
              <w:jc w:val="right"/>
              <w:ind w:right="10"/>
              <w:spacing w:after="0"/>
              <w:rPr>
                <w:sz w:val="20"/>
                <w:szCs w:val="20"/>
                <w:color w:val="auto"/>
              </w:rPr>
            </w:pPr>
            <w:r>
              <w:rPr>
                <w:rFonts w:ascii="Arial" w:cs="Arial" w:eastAsia="Arial" w:hAnsi="Arial"/>
                <w:sz w:val="14"/>
                <w:szCs w:val="14"/>
                <w:b w:val="1"/>
                <w:bCs w:val="1"/>
                <w:color w:val="auto"/>
              </w:rPr>
              <w:t>2020</w:t>
            </w:r>
          </w:p>
        </w:tc>
        <w:tc>
          <w:tcPr>
            <w:tcW w:w="3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460" w:type="dxa"/>
            <w:vAlign w:val="bottom"/>
            <w:gridSpan w:val="2"/>
          </w:tcPr>
          <w:p>
            <w:pPr>
              <w:jc w:val="right"/>
              <w:ind w:right="70"/>
              <w:spacing w:after="0"/>
              <w:rPr>
                <w:sz w:val="20"/>
                <w:szCs w:val="20"/>
                <w:color w:val="auto"/>
              </w:rPr>
            </w:pPr>
            <w:r>
              <w:rPr>
                <w:rFonts w:ascii="Arial" w:cs="Arial" w:eastAsia="Arial" w:hAnsi="Arial"/>
                <w:sz w:val="14"/>
                <w:szCs w:val="14"/>
                <w:b w:val="1"/>
                <w:bCs w:val="1"/>
                <w:color w:val="auto"/>
                <w:w w:val="89"/>
              </w:rPr>
              <w:t>2019</w:t>
            </w:r>
          </w:p>
        </w:tc>
        <w:tc>
          <w:tcPr>
            <w:tcW w:w="3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00" w:type="dxa"/>
            <w:vAlign w:val="bottom"/>
            <w:gridSpan w:val="2"/>
          </w:tcPr>
          <w:p>
            <w:pPr>
              <w:jc w:val="right"/>
              <w:ind w:right="160"/>
              <w:spacing w:after="0"/>
              <w:rPr>
                <w:sz w:val="20"/>
                <w:szCs w:val="20"/>
                <w:color w:val="auto"/>
              </w:rPr>
            </w:pPr>
            <w:r>
              <w:rPr>
                <w:rFonts w:ascii="Arial" w:cs="Arial" w:eastAsia="Arial" w:hAnsi="Arial"/>
                <w:sz w:val="14"/>
                <w:szCs w:val="14"/>
                <w:b w:val="1"/>
                <w:bCs w:val="1"/>
                <w:color w:val="auto"/>
              </w:rPr>
              <w:t>2018</w:t>
            </w:r>
          </w:p>
        </w:tc>
        <w:tc>
          <w:tcPr>
            <w:tcW w:w="60" w:type="dxa"/>
            <w:vAlign w:val="bottom"/>
          </w:tcPr>
          <w:p>
            <w:pPr>
              <w:spacing w:after="0"/>
              <w:rPr>
                <w:sz w:val="14"/>
                <w:szCs w:val="14"/>
                <w:color w:val="auto"/>
              </w:rPr>
            </w:pPr>
          </w:p>
        </w:tc>
      </w:tr>
      <w:tr>
        <w:trPr>
          <w:trHeight w:val="210"/>
        </w:trPr>
        <w:tc>
          <w:tcPr>
            <w:tcW w:w="440" w:type="dxa"/>
            <w:vAlign w:val="bottom"/>
          </w:tcPr>
          <w:p>
            <w:pPr>
              <w:spacing w:after="0"/>
              <w:rPr>
                <w:sz w:val="18"/>
                <w:szCs w:val="18"/>
                <w:color w:val="auto"/>
              </w:rPr>
            </w:pPr>
          </w:p>
        </w:tc>
        <w:tc>
          <w:tcPr>
            <w:tcW w:w="6600" w:type="dxa"/>
            <w:vAlign w:val="bottom"/>
            <w:tcBorders>
              <w:top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Fees from affiliated Container Investors</w:t>
            </w:r>
          </w:p>
        </w:tc>
        <w:tc>
          <w:tcPr>
            <w:tcW w:w="260" w:type="dxa"/>
            <w:vAlign w:val="bottom"/>
            <w:tcBorders>
              <w:top w:val="single" w:sz="8" w:color="CCEEFF"/>
            </w:tcBorders>
            <w:shd w:val="clear" w:color="auto" w:fill="CCEEFF"/>
          </w:tcPr>
          <w:p>
            <w:pPr>
              <w:spacing w:after="0"/>
              <w:rPr>
                <w:sz w:val="18"/>
                <w:szCs w:val="18"/>
                <w:color w:val="auto"/>
              </w:rPr>
            </w:pPr>
          </w:p>
        </w:tc>
        <w:tc>
          <w:tcPr>
            <w:tcW w:w="500" w:type="dxa"/>
            <w:vAlign w:val="bottom"/>
            <w:tcBorders>
              <w:top w:val="single" w:sz="8" w:color="auto"/>
            </w:tcBorders>
            <w:gridSpan w:val="2"/>
            <w:shd w:val="clear" w:color="auto" w:fill="CCEEFF"/>
          </w:tcPr>
          <w:p>
            <w:pPr>
              <w:jc w:val="right"/>
              <w:ind w:right="10"/>
              <w:spacing w:after="0"/>
              <w:rPr>
                <w:sz w:val="20"/>
                <w:szCs w:val="20"/>
                <w:color w:val="auto"/>
              </w:rPr>
            </w:pPr>
            <w:r>
              <w:rPr>
                <w:rFonts w:ascii="Arial" w:cs="Arial" w:eastAsia="Arial" w:hAnsi="Arial"/>
                <w:sz w:val="18"/>
                <w:szCs w:val="18"/>
                <w:color w:val="auto"/>
                <w:w w:val="99"/>
              </w:rPr>
              <w:t>$  —</w:t>
            </w:r>
          </w:p>
        </w:tc>
        <w:tc>
          <w:tcPr>
            <w:tcW w:w="32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gridSpan w:val="2"/>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40" w:type="dxa"/>
            <w:vAlign w:val="bottom"/>
            <w:tcBorders>
              <w:top w:val="single" w:sz="8" w:color="auto"/>
            </w:tcBorders>
            <w:shd w:val="clear" w:color="auto" w:fill="CCEEFF"/>
          </w:tcPr>
          <w:p>
            <w:pPr>
              <w:spacing w:after="0"/>
              <w:rPr>
                <w:sz w:val="18"/>
                <w:szCs w:val="18"/>
                <w:color w:val="auto"/>
              </w:rPr>
            </w:pPr>
          </w:p>
        </w:tc>
        <w:tc>
          <w:tcPr>
            <w:tcW w:w="460" w:type="dxa"/>
            <w:vAlign w:val="bottom"/>
            <w:tcBorders>
              <w:top w:val="single" w:sz="8" w:color="auto"/>
            </w:tcBorders>
            <w:gridSpan w:val="2"/>
            <w:shd w:val="clear" w:color="auto" w:fill="CCEEFF"/>
          </w:tcPr>
          <w:p>
            <w:pPr>
              <w:jc w:val="right"/>
              <w:spacing w:after="0"/>
              <w:rPr>
                <w:sz w:val="20"/>
                <w:szCs w:val="20"/>
                <w:color w:val="auto"/>
              </w:rPr>
            </w:pPr>
            <w:r>
              <w:rPr>
                <w:rFonts w:ascii="Arial" w:cs="Arial" w:eastAsia="Arial" w:hAnsi="Arial"/>
                <w:sz w:val="18"/>
                <w:szCs w:val="18"/>
                <w:color w:val="auto"/>
                <w:w w:val="97"/>
              </w:rPr>
              <w:t>3,527</w:t>
            </w:r>
          </w:p>
        </w:tc>
        <w:tc>
          <w:tcPr>
            <w:tcW w:w="32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00" w:type="dxa"/>
            <w:vAlign w:val="bottom"/>
            <w:tcBorders>
              <w:top w:val="single" w:sz="8" w:color="auto"/>
            </w:tcBorders>
            <w:gridSpan w:val="2"/>
            <w:shd w:val="clear" w:color="auto" w:fill="CCEEFF"/>
          </w:tcPr>
          <w:p>
            <w:pPr>
              <w:jc w:val="right"/>
              <w:spacing w:after="0"/>
              <w:rPr>
                <w:sz w:val="20"/>
                <w:szCs w:val="20"/>
                <w:color w:val="auto"/>
              </w:rPr>
            </w:pPr>
            <w:r>
              <w:rPr>
                <w:rFonts w:ascii="Arial" w:cs="Arial" w:eastAsia="Arial" w:hAnsi="Arial"/>
                <w:sz w:val="18"/>
                <w:szCs w:val="18"/>
                <w:color w:val="auto"/>
              </w:rPr>
              <w:t>3,575</w:t>
            </w:r>
          </w:p>
        </w:tc>
        <w:tc>
          <w:tcPr>
            <w:tcW w:w="60" w:type="dxa"/>
            <w:vAlign w:val="bottom"/>
            <w:tcBorders>
              <w:top w:val="single" w:sz="8" w:color="CCEEFF"/>
            </w:tcBorders>
            <w:shd w:val="clear" w:color="auto" w:fill="CCEEFF"/>
          </w:tcPr>
          <w:p>
            <w:pPr>
              <w:spacing w:after="0"/>
              <w:rPr>
                <w:sz w:val="18"/>
                <w:szCs w:val="18"/>
                <w:color w:val="auto"/>
              </w:rPr>
            </w:pPr>
          </w:p>
        </w:tc>
      </w:tr>
      <w:tr>
        <w:trPr>
          <w:trHeight w:val="223"/>
        </w:trPr>
        <w:tc>
          <w:tcPr>
            <w:tcW w:w="440" w:type="dxa"/>
            <w:vAlign w:val="bottom"/>
          </w:tcPr>
          <w:p>
            <w:pPr>
              <w:spacing w:after="0"/>
              <w:rPr>
                <w:sz w:val="19"/>
                <w:szCs w:val="19"/>
                <w:color w:val="auto"/>
              </w:rPr>
            </w:pPr>
          </w:p>
        </w:tc>
        <w:tc>
          <w:tcPr>
            <w:tcW w:w="6600" w:type="dxa"/>
            <w:vAlign w:val="bottom"/>
            <w:gridSpan w:val="2"/>
          </w:tcPr>
          <w:p>
            <w:pPr>
              <w:spacing w:after="0"/>
              <w:rPr>
                <w:sz w:val="20"/>
                <w:szCs w:val="20"/>
                <w:color w:val="auto"/>
              </w:rPr>
            </w:pPr>
            <w:r>
              <w:rPr>
                <w:rFonts w:ascii="Arial" w:cs="Arial" w:eastAsia="Arial" w:hAnsi="Arial"/>
                <w:sz w:val="18"/>
                <w:szCs w:val="18"/>
                <w:color w:val="auto"/>
              </w:rPr>
              <w:t>Fees from unaffiliated Container Investors</w:t>
            </w:r>
          </w:p>
        </w:tc>
        <w:tc>
          <w:tcPr>
            <w:tcW w:w="260" w:type="dxa"/>
            <w:vAlign w:val="bottom"/>
          </w:tcPr>
          <w:p>
            <w:pPr>
              <w:spacing w:after="0"/>
              <w:rPr>
                <w:sz w:val="19"/>
                <w:szCs w:val="19"/>
                <w:color w:val="auto"/>
              </w:rPr>
            </w:pPr>
          </w:p>
        </w:tc>
        <w:tc>
          <w:tcPr>
            <w:tcW w:w="50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9,678</w:t>
            </w:r>
          </w:p>
        </w:tc>
        <w:tc>
          <w:tcPr>
            <w:tcW w:w="320" w:type="dxa"/>
            <w:vAlign w:val="bottom"/>
          </w:tcPr>
          <w:p>
            <w:pPr>
              <w:spacing w:after="0"/>
              <w:rPr>
                <w:sz w:val="19"/>
                <w:szCs w:val="19"/>
                <w:color w:val="auto"/>
              </w:rPr>
            </w:pPr>
          </w:p>
        </w:tc>
        <w:tc>
          <w:tcPr>
            <w:tcW w:w="80" w:type="dxa"/>
            <w:vAlign w:val="bottom"/>
            <w:tcBorders>
              <w:bottom w:val="single" w:sz="8" w:color="auto"/>
            </w:tcBorders>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500" w:type="dxa"/>
            <w:vAlign w:val="bottom"/>
            <w:tcBorders>
              <w:bottom w:val="single" w:sz="8" w:color="auto"/>
            </w:tcBorders>
            <w:gridSpan w:val="3"/>
          </w:tcPr>
          <w:p>
            <w:pPr>
              <w:jc w:val="right"/>
              <w:spacing w:after="0"/>
              <w:rPr>
                <w:sz w:val="20"/>
                <w:szCs w:val="20"/>
                <w:color w:val="auto"/>
              </w:rPr>
            </w:pPr>
            <w:r>
              <w:rPr>
                <w:rFonts w:ascii="Arial" w:cs="Arial" w:eastAsia="Arial" w:hAnsi="Arial"/>
                <w:sz w:val="18"/>
                <w:szCs w:val="18"/>
                <w:color w:val="auto"/>
                <w:w w:val="87"/>
              </w:rPr>
              <w:t>11,374</w:t>
            </w:r>
          </w:p>
        </w:tc>
        <w:tc>
          <w:tcPr>
            <w:tcW w:w="32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50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w w:val="87"/>
              </w:rPr>
              <w:t>11,334</w:t>
            </w:r>
          </w:p>
        </w:tc>
        <w:tc>
          <w:tcPr>
            <w:tcW w:w="60" w:type="dxa"/>
            <w:vAlign w:val="bottom"/>
          </w:tcPr>
          <w:p>
            <w:pPr>
              <w:spacing w:after="0"/>
              <w:rPr>
                <w:sz w:val="19"/>
                <w:szCs w:val="19"/>
                <w:color w:val="auto"/>
              </w:rPr>
            </w:pPr>
          </w:p>
        </w:tc>
      </w:tr>
      <w:tr>
        <w:trPr>
          <w:trHeight w:val="216"/>
        </w:trPr>
        <w:tc>
          <w:tcPr>
            <w:tcW w:w="440" w:type="dxa"/>
            <w:vAlign w:val="bottom"/>
          </w:tcPr>
          <w:p>
            <w:pPr>
              <w:spacing w:after="0"/>
              <w:rPr>
                <w:sz w:val="18"/>
                <w:szCs w:val="18"/>
                <w:color w:val="auto"/>
              </w:rPr>
            </w:pPr>
          </w:p>
        </w:tc>
        <w:tc>
          <w:tcPr>
            <w:tcW w:w="660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Fees from Container Investors</w:t>
            </w:r>
          </w:p>
        </w:tc>
        <w:tc>
          <w:tcPr>
            <w:tcW w:w="76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9,678</w:t>
            </w:r>
          </w:p>
        </w:tc>
        <w:tc>
          <w:tcPr>
            <w:tcW w:w="3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50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w w:val="87"/>
              </w:rPr>
              <w:t>14,901</w:t>
            </w: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87"/>
              </w:rPr>
              <w:t>14,909</w:t>
            </w:r>
          </w:p>
        </w:tc>
        <w:tc>
          <w:tcPr>
            <w:tcW w:w="60" w:type="dxa"/>
            <w:vAlign w:val="bottom"/>
            <w:shd w:val="clear" w:color="auto" w:fill="CCEEFF"/>
          </w:tcPr>
          <w:p>
            <w:pPr>
              <w:spacing w:after="0"/>
              <w:rPr>
                <w:sz w:val="18"/>
                <w:szCs w:val="18"/>
                <w:color w:val="auto"/>
              </w:rPr>
            </w:pPr>
          </w:p>
        </w:tc>
      </w:tr>
      <w:tr>
        <w:trPr>
          <w:trHeight w:val="223"/>
        </w:trPr>
        <w:tc>
          <w:tcPr>
            <w:tcW w:w="440" w:type="dxa"/>
            <w:vAlign w:val="bottom"/>
          </w:tcPr>
          <w:p>
            <w:pPr>
              <w:spacing w:after="0"/>
              <w:rPr>
                <w:sz w:val="19"/>
                <w:szCs w:val="19"/>
                <w:color w:val="auto"/>
              </w:rPr>
            </w:pPr>
          </w:p>
        </w:tc>
        <w:tc>
          <w:tcPr>
            <w:tcW w:w="6600" w:type="dxa"/>
            <w:vAlign w:val="bottom"/>
            <w:gridSpan w:val="2"/>
          </w:tcPr>
          <w:p>
            <w:pPr>
              <w:spacing w:after="0"/>
              <w:rPr>
                <w:sz w:val="20"/>
                <w:szCs w:val="20"/>
                <w:color w:val="auto"/>
              </w:rPr>
            </w:pPr>
            <w:r>
              <w:rPr>
                <w:rFonts w:ascii="Arial" w:cs="Arial" w:eastAsia="Arial" w:hAnsi="Arial"/>
                <w:sz w:val="18"/>
                <w:szCs w:val="18"/>
                <w:color w:val="auto"/>
              </w:rPr>
              <w:t>Other fees</w:t>
            </w:r>
          </w:p>
        </w:tc>
        <w:tc>
          <w:tcPr>
            <w:tcW w:w="260" w:type="dxa"/>
            <w:vAlign w:val="bottom"/>
          </w:tcPr>
          <w:p>
            <w:pPr>
              <w:spacing w:after="0"/>
              <w:rPr>
                <w:sz w:val="19"/>
                <w:szCs w:val="19"/>
                <w:color w:val="auto"/>
              </w:rPr>
            </w:pPr>
          </w:p>
        </w:tc>
        <w:tc>
          <w:tcPr>
            <w:tcW w:w="500" w:type="dxa"/>
            <w:vAlign w:val="bottom"/>
            <w:tcBorders>
              <w:bottom w:val="single" w:sz="8" w:color="auto"/>
            </w:tcBorders>
            <w:gridSpan w:val="2"/>
          </w:tcPr>
          <w:p>
            <w:pPr>
              <w:jc w:val="right"/>
              <w:ind w:right="10"/>
              <w:spacing w:after="0"/>
              <w:rPr>
                <w:sz w:val="20"/>
                <w:szCs w:val="20"/>
                <w:color w:val="auto"/>
              </w:rPr>
            </w:pPr>
            <w:r>
              <w:rPr>
                <w:rFonts w:ascii="Arial" w:cs="Arial" w:eastAsia="Arial" w:hAnsi="Arial"/>
                <w:sz w:val="18"/>
                <w:szCs w:val="18"/>
                <w:color w:val="auto"/>
              </w:rPr>
              <w:t>—</w:t>
            </w:r>
          </w:p>
        </w:tc>
        <w:tc>
          <w:tcPr>
            <w:tcW w:w="320" w:type="dxa"/>
            <w:vAlign w:val="bottom"/>
          </w:tcPr>
          <w:p>
            <w:pPr>
              <w:spacing w:after="0"/>
              <w:rPr>
                <w:sz w:val="19"/>
                <w:szCs w:val="19"/>
                <w:color w:val="auto"/>
              </w:rPr>
            </w:pPr>
          </w:p>
        </w:tc>
        <w:tc>
          <w:tcPr>
            <w:tcW w:w="80" w:type="dxa"/>
            <w:vAlign w:val="bottom"/>
            <w:tcBorders>
              <w:bottom w:val="single" w:sz="8" w:color="auto"/>
            </w:tcBorders>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40" w:type="dxa"/>
            <w:vAlign w:val="bottom"/>
            <w:tcBorders>
              <w:bottom w:val="single" w:sz="8" w:color="auto"/>
            </w:tcBorders>
          </w:tcPr>
          <w:p>
            <w:pPr>
              <w:spacing w:after="0"/>
              <w:rPr>
                <w:sz w:val="19"/>
                <w:szCs w:val="19"/>
                <w:color w:val="auto"/>
              </w:rPr>
            </w:pPr>
          </w:p>
        </w:tc>
        <w:tc>
          <w:tcPr>
            <w:tcW w:w="46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338</w:t>
            </w:r>
          </w:p>
        </w:tc>
        <w:tc>
          <w:tcPr>
            <w:tcW w:w="32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50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1,970</w:t>
            </w:r>
          </w:p>
        </w:tc>
        <w:tc>
          <w:tcPr>
            <w:tcW w:w="60" w:type="dxa"/>
            <w:vAlign w:val="bottom"/>
          </w:tcPr>
          <w:p>
            <w:pPr>
              <w:spacing w:after="0"/>
              <w:rPr>
                <w:sz w:val="19"/>
                <w:szCs w:val="19"/>
                <w:color w:val="auto"/>
              </w:rPr>
            </w:pPr>
          </w:p>
        </w:tc>
      </w:tr>
      <w:tr>
        <w:trPr>
          <w:trHeight w:val="216"/>
        </w:trPr>
        <w:tc>
          <w:tcPr>
            <w:tcW w:w="440" w:type="dxa"/>
            <w:vAlign w:val="bottom"/>
          </w:tcPr>
          <w:p>
            <w:pPr>
              <w:spacing w:after="0"/>
              <w:rPr>
                <w:sz w:val="18"/>
                <w:szCs w:val="18"/>
                <w:color w:val="auto"/>
              </w:rPr>
            </w:pPr>
          </w:p>
        </w:tc>
        <w:tc>
          <w:tcPr>
            <w:tcW w:w="660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Total management fees</w:t>
            </w:r>
          </w:p>
        </w:tc>
        <w:tc>
          <w:tcPr>
            <w:tcW w:w="760" w:type="dxa"/>
            <w:vAlign w:val="bottom"/>
            <w:gridSpan w:val="3"/>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9,678</w:t>
            </w:r>
          </w:p>
        </w:tc>
        <w:tc>
          <w:tcPr>
            <w:tcW w:w="920" w:type="dxa"/>
            <w:vAlign w:val="bottom"/>
            <w:gridSpan w:val="6"/>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15,239</w:t>
            </w: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87"/>
              </w:rPr>
              <w:t>16,879</w:t>
            </w:r>
          </w:p>
        </w:tc>
        <w:tc>
          <w:tcPr>
            <w:tcW w:w="60" w:type="dxa"/>
            <w:vAlign w:val="bottom"/>
            <w:shd w:val="clear" w:color="auto" w:fill="CCEEFF"/>
          </w:tcPr>
          <w:p>
            <w:pPr>
              <w:spacing w:after="0"/>
              <w:rPr>
                <w:sz w:val="18"/>
                <w:szCs w:val="18"/>
                <w:color w:val="auto"/>
              </w:rPr>
            </w:pPr>
          </w:p>
        </w:tc>
      </w:tr>
      <w:tr>
        <w:trPr>
          <w:trHeight w:val="20"/>
        </w:trPr>
        <w:tc>
          <w:tcPr>
            <w:tcW w:w="880" w:type="dxa"/>
            <w:vAlign w:val="bottom"/>
            <w:gridSpan w:val="2"/>
          </w:tcPr>
          <w:p>
            <w:pPr>
              <w:spacing w:after="0" w:line="20" w:lineRule="exact"/>
              <w:rPr>
                <w:sz w:val="1"/>
                <w:szCs w:val="1"/>
                <w:color w:val="auto"/>
              </w:rPr>
            </w:pPr>
          </w:p>
        </w:tc>
        <w:tc>
          <w:tcPr>
            <w:tcW w:w="6420" w:type="dxa"/>
            <w:vAlign w:val="bottom"/>
            <w:gridSpan w:val="2"/>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426"/>
        </w:trPr>
        <w:tc>
          <w:tcPr>
            <w:tcW w:w="7800" w:type="dxa"/>
            <w:vAlign w:val="bottom"/>
            <w:gridSpan w:val="6"/>
          </w:tcPr>
          <w:p>
            <w:pPr>
              <w:jc w:val="right"/>
              <w:spacing w:after="0"/>
              <w:rPr>
                <w:sz w:val="20"/>
                <w:szCs w:val="20"/>
                <w:color w:val="auto"/>
              </w:rPr>
            </w:pPr>
            <w:r>
              <w:rPr>
                <w:rFonts w:ascii="Arial" w:cs="Arial" w:eastAsia="Arial" w:hAnsi="Arial"/>
                <w:sz w:val="18"/>
                <w:szCs w:val="18"/>
                <w:color w:val="auto"/>
                <w:w w:val="90"/>
              </w:rPr>
              <w:t>The following table provides a summary of due to container investors, net at December 31, 2020 and 2019:</w:t>
            </w:r>
          </w:p>
        </w:tc>
        <w:tc>
          <w:tcPr>
            <w:tcW w:w="3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60" w:type="dxa"/>
            <w:vAlign w:val="bottom"/>
          </w:tcPr>
          <w:p>
            <w:pPr>
              <w:spacing w:after="0"/>
              <w:rPr>
                <w:sz w:val="24"/>
                <w:szCs w:val="24"/>
                <w:color w:val="auto"/>
              </w:rPr>
            </w:pPr>
          </w:p>
        </w:tc>
      </w:tr>
      <w:tr>
        <w:trPr>
          <w:trHeight w:val="391"/>
        </w:trPr>
        <w:tc>
          <w:tcPr>
            <w:tcW w:w="44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6160" w:type="dxa"/>
            <w:vAlign w:val="bottom"/>
          </w:tcPr>
          <w:p>
            <w:pPr>
              <w:spacing w:after="0"/>
              <w:rPr>
                <w:sz w:val="24"/>
                <w:szCs w:val="24"/>
                <w:color w:val="auto"/>
              </w:rPr>
            </w:pPr>
          </w:p>
        </w:tc>
        <w:tc>
          <w:tcPr>
            <w:tcW w:w="1080" w:type="dxa"/>
            <w:vAlign w:val="bottom"/>
            <w:gridSpan w:val="4"/>
          </w:tcPr>
          <w:p>
            <w:pPr>
              <w:jc w:val="right"/>
              <w:spacing w:after="0"/>
              <w:rPr>
                <w:sz w:val="20"/>
                <w:szCs w:val="20"/>
                <w:color w:val="auto"/>
              </w:rPr>
            </w:pPr>
            <w:r>
              <w:rPr>
                <w:rFonts w:ascii="Arial" w:cs="Arial" w:eastAsia="Arial" w:hAnsi="Arial"/>
                <w:sz w:val="14"/>
                <w:szCs w:val="14"/>
                <w:b w:val="1"/>
                <w:bCs w:val="1"/>
                <w:color w:val="auto"/>
              </w:rPr>
              <w:t>2020</w:t>
            </w: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780" w:type="dxa"/>
            <w:vAlign w:val="bottom"/>
            <w:gridSpan w:val="3"/>
          </w:tcPr>
          <w:p>
            <w:pPr>
              <w:jc w:val="right"/>
              <w:spacing w:after="0"/>
              <w:rPr>
                <w:sz w:val="20"/>
                <w:szCs w:val="20"/>
                <w:color w:val="auto"/>
              </w:rPr>
            </w:pPr>
            <w:r>
              <w:rPr>
                <w:rFonts w:ascii="Arial" w:cs="Arial" w:eastAsia="Arial" w:hAnsi="Arial"/>
                <w:sz w:val="14"/>
                <w:szCs w:val="14"/>
                <w:b w:val="1"/>
                <w:bCs w:val="1"/>
                <w:color w:val="auto"/>
              </w:rPr>
              <w:t>2019</w:t>
            </w: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60" w:type="dxa"/>
            <w:vAlign w:val="bottom"/>
          </w:tcPr>
          <w:p>
            <w:pPr>
              <w:spacing w:after="0"/>
              <w:rPr>
                <w:sz w:val="24"/>
                <w:szCs w:val="24"/>
                <w:color w:val="auto"/>
              </w:rPr>
            </w:pPr>
          </w:p>
        </w:tc>
      </w:tr>
      <w:tr>
        <w:trPr>
          <w:trHeight w:val="209"/>
        </w:trPr>
        <w:tc>
          <w:tcPr>
            <w:tcW w:w="44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61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Accounts receivable - managed fleet</w:t>
            </w:r>
          </w:p>
        </w:tc>
        <w:tc>
          <w:tcPr>
            <w:tcW w:w="560" w:type="dxa"/>
            <w:vAlign w:val="bottom"/>
            <w:tcBorders>
              <w:top w:val="single" w:sz="8" w:color="CCEEFF"/>
            </w:tcBorders>
            <w:gridSpan w:val="2"/>
            <w:shd w:val="clear" w:color="auto" w:fill="CCEEFF"/>
          </w:tcPr>
          <w:p>
            <w:pPr>
              <w:spacing w:after="0"/>
              <w:rPr>
                <w:sz w:val="18"/>
                <w:szCs w:val="18"/>
                <w:color w:val="auto"/>
              </w:rPr>
            </w:pPr>
          </w:p>
        </w:tc>
        <w:tc>
          <w:tcPr>
            <w:tcW w:w="600" w:type="dxa"/>
            <w:vAlign w:val="bottom"/>
            <w:tcBorders>
              <w:top w:val="single" w:sz="8" w:color="auto"/>
            </w:tcBorders>
            <w:gridSpan w:val="3"/>
            <w:shd w:val="clear" w:color="auto" w:fill="CCEEFF"/>
          </w:tcPr>
          <w:p>
            <w:pPr>
              <w:jc w:val="right"/>
              <w:spacing w:after="0"/>
              <w:rPr>
                <w:sz w:val="20"/>
                <w:szCs w:val="20"/>
                <w:color w:val="auto"/>
              </w:rPr>
            </w:pPr>
            <w:r>
              <w:rPr>
                <w:rFonts w:ascii="Arial" w:cs="Arial" w:eastAsia="Arial" w:hAnsi="Arial"/>
                <w:sz w:val="18"/>
                <w:szCs w:val="18"/>
                <w:color w:val="auto"/>
                <w:w w:val="89"/>
              </w:rPr>
              <w:t>$10,628</w:t>
            </w:r>
          </w:p>
        </w:tc>
        <w:tc>
          <w:tcPr>
            <w:tcW w:w="20" w:type="dxa"/>
            <w:vAlign w:val="bottom"/>
            <w:tcBorders>
              <w:top w:val="single" w:sz="8" w:color="CCEEFF"/>
            </w:tcBorders>
            <w:shd w:val="clear" w:color="auto" w:fill="CCEEFF"/>
          </w:tcPr>
          <w:p>
            <w:pPr>
              <w:spacing w:after="0"/>
              <w:rPr>
                <w:sz w:val="18"/>
                <w:szCs w:val="18"/>
                <w:color w:val="auto"/>
              </w:rPr>
            </w:pPr>
          </w:p>
        </w:tc>
        <w:tc>
          <w:tcPr>
            <w:tcW w:w="40" w:type="dxa"/>
            <w:vAlign w:val="bottom"/>
            <w:tcBorders>
              <w:top w:val="single" w:sz="8" w:color="CCEEFF"/>
            </w:tcBorders>
            <w:shd w:val="clear" w:color="auto" w:fill="CCEEFF"/>
          </w:tcPr>
          <w:p>
            <w:pPr>
              <w:spacing w:after="0"/>
              <w:rPr>
                <w:sz w:val="18"/>
                <w:szCs w:val="18"/>
                <w:color w:val="auto"/>
              </w:rPr>
            </w:pPr>
          </w:p>
        </w:tc>
        <w:tc>
          <w:tcPr>
            <w:tcW w:w="280" w:type="dxa"/>
            <w:vAlign w:val="bottom"/>
            <w:tcBorders>
              <w:top w:val="single" w:sz="8" w:color="CCEEFF"/>
            </w:tcBorders>
            <w:shd w:val="clear" w:color="auto" w:fill="CCEEFF"/>
          </w:tcPr>
          <w:p>
            <w:pPr>
              <w:spacing w:after="0"/>
              <w:rPr>
                <w:sz w:val="18"/>
                <w:szCs w:val="18"/>
                <w:color w:val="auto"/>
              </w:rPr>
            </w:pPr>
          </w:p>
        </w:tc>
        <w:tc>
          <w:tcPr>
            <w:tcW w:w="600" w:type="dxa"/>
            <w:vAlign w:val="bottom"/>
            <w:tcBorders>
              <w:top w:val="single" w:sz="8" w:color="auto"/>
            </w:tcBorders>
            <w:gridSpan w:val="3"/>
            <w:shd w:val="clear" w:color="auto" w:fill="CCEEFF"/>
          </w:tcPr>
          <w:p>
            <w:pPr>
              <w:jc w:val="right"/>
              <w:spacing w:after="0"/>
              <w:rPr>
                <w:sz w:val="20"/>
                <w:szCs w:val="20"/>
                <w:color w:val="auto"/>
              </w:rPr>
            </w:pPr>
            <w:r>
              <w:rPr>
                <w:rFonts w:ascii="Arial" w:cs="Arial" w:eastAsia="Arial" w:hAnsi="Arial"/>
                <w:sz w:val="18"/>
                <w:szCs w:val="18"/>
                <w:color w:val="auto"/>
                <w:w w:val="89"/>
              </w:rPr>
              <w:t>$13,226</w:t>
            </w:r>
          </w:p>
        </w:tc>
        <w:tc>
          <w:tcPr>
            <w:tcW w:w="100" w:type="dxa"/>
            <w:vAlign w:val="bottom"/>
            <w:tcBorders>
              <w:top w:val="single" w:sz="8" w:color="CCEEFF"/>
            </w:tcBorders>
            <w:shd w:val="clear" w:color="auto" w:fill="CCEEFF"/>
          </w:tcPr>
          <w:p>
            <w:pPr>
              <w:spacing w:after="0"/>
              <w:rPr>
                <w:sz w:val="18"/>
                <w:szCs w:val="18"/>
                <w:color w:val="auto"/>
              </w:rPr>
            </w:pPr>
          </w:p>
        </w:tc>
        <w:tc>
          <w:tcPr>
            <w:tcW w:w="400" w:type="dxa"/>
            <w:vAlign w:val="bottom"/>
          </w:tcPr>
          <w:p>
            <w:pPr>
              <w:spacing w:after="0"/>
              <w:rPr>
                <w:sz w:val="18"/>
                <w:szCs w:val="18"/>
                <w:color w:val="auto"/>
              </w:rPr>
            </w:pPr>
          </w:p>
        </w:tc>
        <w:tc>
          <w:tcPr>
            <w:tcW w:w="60" w:type="dxa"/>
            <w:vAlign w:val="bottom"/>
          </w:tcPr>
          <w:p>
            <w:pPr>
              <w:spacing w:after="0"/>
              <w:rPr>
                <w:sz w:val="18"/>
                <w:szCs w:val="18"/>
                <w:color w:val="auto"/>
              </w:rPr>
            </w:pPr>
          </w:p>
        </w:tc>
      </w:tr>
      <w:tr>
        <w:trPr>
          <w:trHeight w:val="216"/>
        </w:trPr>
        <w:tc>
          <w:tcPr>
            <w:tcW w:w="44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6160" w:type="dxa"/>
            <w:vAlign w:val="bottom"/>
          </w:tcPr>
          <w:p>
            <w:pPr>
              <w:spacing w:after="0"/>
              <w:rPr>
                <w:sz w:val="20"/>
                <w:szCs w:val="20"/>
                <w:color w:val="auto"/>
              </w:rPr>
            </w:pPr>
            <w:r>
              <w:rPr>
                <w:rFonts w:ascii="Arial" w:cs="Arial" w:eastAsia="Arial" w:hAnsi="Arial"/>
                <w:sz w:val="18"/>
                <w:szCs w:val="18"/>
                <w:color w:val="auto"/>
              </w:rPr>
              <w:t>Prepaid expenses and other current assets - managed fleet</w:t>
            </w:r>
          </w:p>
        </w:tc>
        <w:tc>
          <w:tcPr>
            <w:tcW w:w="26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00" w:type="dxa"/>
            <w:vAlign w:val="bottom"/>
            <w:gridSpan w:val="2"/>
          </w:tcPr>
          <w:p>
            <w:pPr>
              <w:jc w:val="right"/>
              <w:spacing w:after="0"/>
              <w:rPr>
                <w:sz w:val="20"/>
                <w:szCs w:val="20"/>
                <w:color w:val="auto"/>
              </w:rPr>
            </w:pPr>
            <w:r>
              <w:rPr>
                <w:rFonts w:ascii="Arial" w:cs="Arial" w:eastAsia="Arial" w:hAnsi="Arial"/>
                <w:sz w:val="18"/>
                <w:szCs w:val="18"/>
                <w:color w:val="auto"/>
              </w:rPr>
              <w:t>99</w:t>
            </w:r>
          </w:p>
        </w:tc>
        <w:tc>
          <w:tcPr>
            <w:tcW w:w="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420" w:type="dxa"/>
            <w:vAlign w:val="bottom"/>
            <w:gridSpan w:val="2"/>
          </w:tcPr>
          <w:p>
            <w:pPr>
              <w:jc w:val="right"/>
              <w:spacing w:after="0"/>
              <w:rPr>
                <w:sz w:val="20"/>
                <w:szCs w:val="20"/>
                <w:color w:val="auto"/>
              </w:rPr>
            </w:pPr>
            <w:r>
              <w:rPr>
                <w:rFonts w:ascii="Arial" w:cs="Arial" w:eastAsia="Arial" w:hAnsi="Arial"/>
                <w:sz w:val="18"/>
                <w:szCs w:val="18"/>
                <w:color w:val="auto"/>
              </w:rPr>
              <w:t>189</w:t>
            </w: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60" w:type="dxa"/>
            <w:vAlign w:val="bottom"/>
          </w:tcPr>
          <w:p>
            <w:pPr>
              <w:spacing w:after="0"/>
              <w:rPr>
                <w:sz w:val="18"/>
                <w:szCs w:val="18"/>
                <w:color w:val="auto"/>
              </w:rPr>
            </w:pPr>
          </w:p>
        </w:tc>
      </w:tr>
      <w:tr>
        <w:trPr>
          <w:trHeight w:val="216"/>
        </w:trPr>
        <w:tc>
          <w:tcPr>
            <w:tcW w:w="44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6160" w:type="dxa"/>
            <w:vAlign w:val="bottom"/>
            <w:shd w:val="clear" w:color="auto" w:fill="CCEEFF"/>
          </w:tcPr>
          <w:p>
            <w:pPr>
              <w:spacing w:after="0"/>
              <w:rPr>
                <w:sz w:val="20"/>
                <w:szCs w:val="20"/>
                <w:color w:val="auto"/>
              </w:rPr>
            </w:pPr>
            <w:r>
              <w:rPr>
                <w:rFonts w:ascii="Arial" w:cs="Arial" w:eastAsia="Arial" w:hAnsi="Arial"/>
                <w:sz w:val="18"/>
                <w:szCs w:val="18"/>
                <w:color w:val="auto"/>
              </w:rPr>
              <w:t>Accounts payable and accrued expenses - managed fleet</w:t>
            </w:r>
          </w:p>
        </w:tc>
        <w:tc>
          <w:tcPr>
            <w:tcW w:w="1220" w:type="dxa"/>
            <w:vAlign w:val="bottom"/>
            <w:gridSpan w:val="7"/>
            <w:shd w:val="clear" w:color="auto" w:fill="CCEEFF"/>
          </w:tcPr>
          <w:p>
            <w:pPr>
              <w:jc w:val="right"/>
              <w:spacing w:after="0"/>
              <w:rPr>
                <w:sz w:val="20"/>
                <w:szCs w:val="20"/>
                <w:color w:val="auto"/>
              </w:rPr>
            </w:pPr>
            <w:r>
              <w:rPr>
                <w:rFonts w:ascii="Arial" w:cs="Arial" w:eastAsia="Arial" w:hAnsi="Arial"/>
                <w:sz w:val="18"/>
                <w:szCs w:val="18"/>
                <w:color w:val="auto"/>
              </w:rPr>
              <w:t>(1,187)</w:t>
            </w:r>
          </w:p>
        </w:tc>
        <w:tc>
          <w:tcPr>
            <w:tcW w:w="980" w:type="dxa"/>
            <w:vAlign w:val="bottom"/>
            <w:gridSpan w:val="5"/>
            <w:shd w:val="clear" w:color="auto" w:fill="CCEEFF"/>
          </w:tcPr>
          <w:p>
            <w:pPr>
              <w:jc w:val="right"/>
              <w:spacing w:after="0"/>
              <w:rPr>
                <w:sz w:val="20"/>
                <w:szCs w:val="20"/>
                <w:color w:val="auto"/>
              </w:rPr>
            </w:pPr>
            <w:r>
              <w:rPr>
                <w:rFonts w:ascii="Arial" w:cs="Arial" w:eastAsia="Arial" w:hAnsi="Arial"/>
                <w:sz w:val="18"/>
                <w:szCs w:val="18"/>
                <w:color w:val="auto"/>
              </w:rPr>
              <w:t>(1,953)</w:t>
            </w:r>
          </w:p>
        </w:tc>
        <w:tc>
          <w:tcPr>
            <w:tcW w:w="400" w:type="dxa"/>
            <w:vAlign w:val="bottom"/>
          </w:tcPr>
          <w:p>
            <w:pPr>
              <w:spacing w:after="0"/>
              <w:rPr>
                <w:sz w:val="18"/>
                <w:szCs w:val="18"/>
                <w:color w:val="auto"/>
              </w:rPr>
            </w:pPr>
          </w:p>
        </w:tc>
        <w:tc>
          <w:tcPr>
            <w:tcW w:w="60" w:type="dxa"/>
            <w:vAlign w:val="bottom"/>
          </w:tcPr>
          <w:p>
            <w:pPr>
              <w:spacing w:after="0"/>
              <w:rPr>
                <w:sz w:val="18"/>
                <w:szCs w:val="18"/>
                <w:color w:val="auto"/>
              </w:rPr>
            </w:pPr>
          </w:p>
        </w:tc>
      </w:tr>
      <w:tr>
        <w:trPr>
          <w:trHeight w:val="223"/>
        </w:trPr>
        <w:tc>
          <w:tcPr>
            <w:tcW w:w="44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6160" w:type="dxa"/>
            <w:vAlign w:val="bottom"/>
          </w:tcPr>
          <w:p>
            <w:pPr>
              <w:spacing w:after="0"/>
              <w:rPr>
                <w:sz w:val="19"/>
                <w:szCs w:val="19"/>
                <w:color w:val="auto"/>
              </w:rPr>
            </w:pPr>
          </w:p>
        </w:tc>
        <w:tc>
          <w:tcPr>
            <w:tcW w:w="560" w:type="dxa"/>
            <w:vAlign w:val="bottom"/>
            <w:gridSpan w:val="2"/>
          </w:tcPr>
          <w:p>
            <w:pPr>
              <w:spacing w:after="0"/>
              <w:rPr>
                <w:sz w:val="19"/>
                <w:szCs w:val="19"/>
                <w:color w:val="auto"/>
              </w:rPr>
            </w:pPr>
          </w:p>
        </w:tc>
        <w:tc>
          <w:tcPr>
            <w:tcW w:w="600" w:type="dxa"/>
            <w:vAlign w:val="bottom"/>
            <w:tcBorders>
              <w:top w:val="single" w:sz="8" w:color="auto"/>
            </w:tcBorders>
            <w:gridSpan w:val="3"/>
          </w:tcPr>
          <w:p>
            <w:pPr>
              <w:jc w:val="right"/>
              <w:spacing w:after="0"/>
              <w:rPr>
                <w:sz w:val="20"/>
                <w:szCs w:val="20"/>
                <w:color w:val="auto"/>
              </w:rPr>
            </w:pPr>
            <w:r>
              <w:rPr>
                <w:rFonts w:ascii="Arial" w:cs="Arial" w:eastAsia="Arial" w:hAnsi="Arial"/>
                <w:sz w:val="18"/>
                <w:szCs w:val="18"/>
                <w:color w:val="auto"/>
              </w:rPr>
              <w:t>9,540</w:t>
            </w:r>
          </w:p>
        </w:tc>
        <w:tc>
          <w:tcPr>
            <w:tcW w:w="2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600" w:type="dxa"/>
            <w:vAlign w:val="bottom"/>
            <w:tcBorders>
              <w:top w:val="single" w:sz="8" w:color="auto"/>
            </w:tcBorders>
            <w:gridSpan w:val="3"/>
          </w:tcPr>
          <w:p>
            <w:pPr>
              <w:jc w:val="right"/>
              <w:spacing w:after="0"/>
              <w:rPr>
                <w:sz w:val="20"/>
                <w:szCs w:val="20"/>
                <w:color w:val="auto"/>
              </w:rPr>
            </w:pPr>
            <w:r>
              <w:rPr>
                <w:rFonts w:ascii="Arial" w:cs="Arial" w:eastAsia="Arial" w:hAnsi="Arial"/>
                <w:sz w:val="18"/>
                <w:szCs w:val="18"/>
                <w:color w:val="auto"/>
              </w:rPr>
              <w:t>11,462</w:t>
            </w:r>
          </w:p>
        </w:tc>
        <w:tc>
          <w:tcPr>
            <w:tcW w:w="10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60" w:type="dxa"/>
            <w:vAlign w:val="bottom"/>
          </w:tcPr>
          <w:p>
            <w:pPr>
              <w:spacing w:after="0"/>
              <w:rPr>
                <w:sz w:val="19"/>
                <w:szCs w:val="19"/>
                <w:color w:val="auto"/>
              </w:rPr>
            </w:pPr>
          </w:p>
        </w:tc>
      </w:tr>
      <w:tr>
        <w:trPr>
          <w:trHeight w:val="202"/>
        </w:trPr>
        <w:tc>
          <w:tcPr>
            <w:tcW w:w="44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616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w w:val="94"/>
              </w:rPr>
              <w:t>Distributions due to container investors on lease rentals collected, net of container</w:t>
            </w:r>
          </w:p>
        </w:tc>
        <w:tc>
          <w:tcPr>
            <w:tcW w:w="26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00" w:type="dxa"/>
            <w:vAlign w:val="bottom"/>
          </w:tcPr>
          <w:p>
            <w:pPr>
              <w:spacing w:after="0"/>
              <w:rPr>
                <w:sz w:val="17"/>
                <w:szCs w:val="17"/>
                <w:color w:val="auto"/>
              </w:rPr>
            </w:pPr>
          </w:p>
        </w:tc>
        <w:tc>
          <w:tcPr>
            <w:tcW w:w="60" w:type="dxa"/>
            <w:vAlign w:val="bottom"/>
          </w:tcPr>
          <w:p>
            <w:pPr>
              <w:spacing w:after="0"/>
              <w:rPr>
                <w:sz w:val="17"/>
                <w:szCs w:val="17"/>
                <w:color w:val="auto"/>
              </w:rPr>
            </w:pPr>
          </w:p>
        </w:tc>
      </w:tr>
      <w:tr>
        <w:trPr>
          <w:trHeight w:val="230"/>
        </w:trPr>
        <w:tc>
          <w:tcPr>
            <w:tcW w:w="44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6160" w:type="dxa"/>
            <w:vAlign w:val="bottom"/>
            <w:shd w:val="clear" w:color="auto" w:fill="CCEEFF"/>
          </w:tcPr>
          <w:p>
            <w:pPr>
              <w:ind w:left="180"/>
              <w:spacing w:after="0"/>
              <w:rPr>
                <w:sz w:val="20"/>
                <w:szCs w:val="20"/>
                <w:color w:val="auto"/>
              </w:rPr>
            </w:pPr>
            <w:r>
              <w:rPr>
                <w:rFonts w:ascii="Arial" w:cs="Arial" w:eastAsia="Arial" w:hAnsi="Arial"/>
                <w:sz w:val="18"/>
                <w:szCs w:val="18"/>
                <w:color w:val="auto"/>
              </w:rPr>
              <w:t>expenses paid and management fees</w:t>
            </w:r>
          </w:p>
        </w:tc>
        <w:tc>
          <w:tcPr>
            <w:tcW w:w="1160" w:type="dxa"/>
            <w:vAlign w:val="bottom"/>
            <w:gridSpan w:val="5"/>
            <w:shd w:val="clear" w:color="auto" w:fill="CCEEFF"/>
          </w:tcPr>
          <w:p>
            <w:pPr>
              <w:jc w:val="right"/>
              <w:spacing w:after="0"/>
              <w:rPr>
                <w:sz w:val="20"/>
                <w:szCs w:val="20"/>
                <w:color w:val="auto"/>
              </w:rPr>
            </w:pPr>
            <w:r>
              <w:rPr>
                <w:rFonts w:ascii="Arial" w:cs="Arial" w:eastAsia="Arial" w:hAnsi="Arial"/>
                <w:sz w:val="18"/>
                <w:szCs w:val="18"/>
                <w:color w:val="auto"/>
              </w:rPr>
              <w:t>9,157</w:t>
            </w:r>
          </w:p>
        </w:tc>
        <w:tc>
          <w:tcPr>
            <w:tcW w:w="20" w:type="dxa"/>
            <w:vAlign w:val="bottom"/>
            <w:shd w:val="clear" w:color="auto" w:fill="CCEEFF"/>
          </w:tcPr>
          <w:p>
            <w:pPr>
              <w:spacing w:after="0"/>
              <w:rPr>
                <w:sz w:val="20"/>
                <w:szCs w:val="20"/>
                <w:color w:val="auto"/>
              </w:rPr>
            </w:pPr>
          </w:p>
        </w:tc>
        <w:tc>
          <w:tcPr>
            <w:tcW w:w="40" w:type="dxa"/>
            <w:vAlign w:val="bottom"/>
            <w:shd w:val="clear" w:color="auto" w:fill="CCEEFF"/>
          </w:tcPr>
          <w:p>
            <w:pPr>
              <w:spacing w:after="0"/>
              <w:rPr>
                <w:sz w:val="20"/>
                <w:szCs w:val="20"/>
                <w:color w:val="auto"/>
              </w:rPr>
            </w:pPr>
          </w:p>
        </w:tc>
        <w:tc>
          <w:tcPr>
            <w:tcW w:w="880" w:type="dxa"/>
            <w:vAlign w:val="bottom"/>
            <w:gridSpan w:val="4"/>
            <w:shd w:val="clear" w:color="auto" w:fill="CCEEFF"/>
          </w:tcPr>
          <w:p>
            <w:pPr>
              <w:jc w:val="right"/>
              <w:spacing w:after="0"/>
              <w:rPr>
                <w:sz w:val="20"/>
                <w:szCs w:val="20"/>
                <w:color w:val="auto"/>
              </w:rPr>
            </w:pPr>
            <w:r>
              <w:rPr>
                <w:rFonts w:ascii="Arial" w:cs="Arial" w:eastAsia="Arial" w:hAnsi="Arial"/>
                <w:sz w:val="18"/>
                <w:szCs w:val="18"/>
                <w:color w:val="auto"/>
              </w:rPr>
              <w:t>10,516</w:t>
            </w:r>
          </w:p>
        </w:tc>
        <w:tc>
          <w:tcPr>
            <w:tcW w:w="100" w:type="dxa"/>
            <w:vAlign w:val="bottom"/>
            <w:shd w:val="clear" w:color="auto" w:fill="CCEEFF"/>
          </w:tcPr>
          <w:p>
            <w:pPr>
              <w:spacing w:after="0"/>
              <w:rPr>
                <w:sz w:val="20"/>
                <w:szCs w:val="20"/>
                <w:color w:val="auto"/>
              </w:rPr>
            </w:pPr>
          </w:p>
        </w:tc>
        <w:tc>
          <w:tcPr>
            <w:tcW w:w="400" w:type="dxa"/>
            <w:vAlign w:val="bottom"/>
          </w:tcPr>
          <w:p>
            <w:pPr>
              <w:spacing w:after="0"/>
              <w:rPr>
                <w:sz w:val="20"/>
                <w:szCs w:val="20"/>
                <w:color w:val="auto"/>
              </w:rPr>
            </w:pPr>
          </w:p>
        </w:tc>
        <w:tc>
          <w:tcPr>
            <w:tcW w:w="60" w:type="dxa"/>
            <w:vAlign w:val="bottom"/>
          </w:tcPr>
          <w:p>
            <w:pPr>
              <w:spacing w:after="0"/>
              <w:rPr>
                <w:sz w:val="20"/>
                <w:szCs w:val="20"/>
                <w:color w:val="auto"/>
              </w:rPr>
            </w:pPr>
          </w:p>
        </w:tc>
      </w:tr>
      <w:tr>
        <w:trPr>
          <w:trHeight w:val="223"/>
        </w:trPr>
        <w:tc>
          <w:tcPr>
            <w:tcW w:w="44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6160" w:type="dxa"/>
            <w:vAlign w:val="bottom"/>
          </w:tcPr>
          <w:p>
            <w:pPr>
              <w:ind w:left="360"/>
              <w:spacing w:after="0"/>
              <w:rPr>
                <w:sz w:val="20"/>
                <w:szCs w:val="20"/>
                <w:color w:val="auto"/>
              </w:rPr>
            </w:pPr>
            <w:r>
              <w:rPr>
                <w:rFonts w:ascii="Arial" w:cs="Arial" w:eastAsia="Arial" w:hAnsi="Arial"/>
                <w:sz w:val="18"/>
                <w:szCs w:val="18"/>
                <w:color w:val="auto"/>
              </w:rPr>
              <w:t>Due to container investors, net</w:t>
            </w:r>
          </w:p>
        </w:tc>
        <w:tc>
          <w:tcPr>
            <w:tcW w:w="560" w:type="dxa"/>
            <w:vAlign w:val="bottom"/>
            <w:gridSpan w:val="2"/>
          </w:tcPr>
          <w:p>
            <w:pPr>
              <w:spacing w:after="0"/>
              <w:rPr>
                <w:sz w:val="19"/>
                <w:szCs w:val="19"/>
                <w:color w:val="auto"/>
              </w:rPr>
            </w:pPr>
          </w:p>
        </w:tc>
        <w:tc>
          <w:tcPr>
            <w:tcW w:w="600" w:type="dxa"/>
            <w:vAlign w:val="bottom"/>
            <w:tcBorders>
              <w:top w:val="single" w:sz="8" w:color="auto"/>
              <w:bottom w:val="single" w:sz="8" w:color="auto"/>
            </w:tcBorders>
            <w:gridSpan w:val="3"/>
          </w:tcPr>
          <w:p>
            <w:pPr>
              <w:jc w:val="right"/>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18,697</w:t>
            </w:r>
          </w:p>
        </w:tc>
        <w:tc>
          <w:tcPr>
            <w:tcW w:w="20" w:type="dxa"/>
            <w:vAlign w:val="bottom"/>
            <w:tcBorders>
              <w:bottom w:val="single" w:sz="8" w:color="auto"/>
            </w:tcBorders>
          </w:tcPr>
          <w:p>
            <w:pPr>
              <w:spacing w:after="0"/>
              <w:rPr>
                <w:sz w:val="19"/>
                <w:szCs w:val="19"/>
                <w:color w:val="auto"/>
              </w:rPr>
            </w:pPr>
          </w:p>
        </w:tc>
        <w:tc>
          <w:tcPr>
            <w:tcW w:w="4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600" w:type="dxa"/>
            <w:vAlign w:val="bottom"/>
            <w:tcBorders>
              <w:top w:val="single" w:sz="8" w:color="auto"/>
              <w:bottom w:val="single" w:sz="8" w:color="auto"/>
            </w:tcBorders>
            <w:gridSpan w:val="3"/>
          </w:tcPr>
          <w:p>
            <w:pPr>
              <w:jc w:val="right"/>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21,978</w:t>
            </w:r>
          </w:p>
        </w:tc>
        <w:tc>
          <w:tcPr>
            <w:tcW w:w="10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60" w:type="dxa"/>
            <w:vAlign w:val="bottom"/>
          </w:tcPr>
          <w:p>
            <w:pPr>
              <w:spacing w:after="0"/>
              <w:rPr>
                <w:sz w:val="19"/>
                <w:szCs w:val="19"/>
                <w:color w:val="auto"/>
              </w:rPr>
            </w:pPr>
          </w:p>
        </w:tc>
      </w:tr>
      <w:tr>
        <w:trPr>
          <w:trHeight w:val="20"/>
        </w:trPr>
        <w:tc>
          <w:tcPr>
            <w:tcW w:w="44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61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21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There is no due to affiliated Container Investors as of December 31, 2020 and 2019.</w:t>
      </w:r>
    </w:p>
    <w:p>
      <w:pPr>
        <w:spacing w:after="0" w:line="329"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(5) Leases</w:t>
      </w:r>
    </w:p>
    <w:p>
      <w:pPr>
        <w:spacing w:after="0" w:line="131" w:lineRule="exact"/>
        <w:rPr>
          <w:sz w:val="20"/>
          <w:szCs w:val="20"/>
          <w:color w:val="auto"/>
        </w:rPr>
      </w:pPr>
    </w:p>
    <w:p>
      <w:pPr>
        <w:ind w:left="424" w:hanging="424"/>
        <w:spacing w:after="0"/>
        <w:tabs>
          <w:tab w:leader="none" w:pos="424" w:val="left"/>
        </w:tabs>
        <w:numPr>
          <w:ilvl w:val="0"/>
          <w:numId w:val="118"/>
        </w:numPr>
        <w:rPr>
          <w:rFonts w:ascii="Arial" w:cs="Arial" w:eastAsia="Arial" w:hAnsi="Arial"/>
          <w:sz w:val="18"/>
          <w:szCs w:val="18"/>
          <w:b w:val="1"/>
          <w:bCs w:val="1"/>
          <w:color w:val="auto"/>
        </w:rPr>
      </w:pPr>
      <w:r>
        <w:rPr>
          <w:rFonts w:ascii="Arial" w:cs="Arial" w:eastAsia="Arial" w:hAnsi="Arial"/>
          <w:sz w:val="18"/>
          <w:szCs w:val="18"/>
          <w:b w:val="1"/>
          <w:bCs w:val="1"/>
          <w:color w:val="auto"/>
        </w:rPr>
        <w:t>Lessor</w:t>
      </w:r>
    </w:p>
    <w:p>
      <w:pPr>
        <w:spacing w:after="0" w:line="121" w:lineRule="exact"/>
        <w:rPr>
          <w:rFonts w:ascii="Arial" w:cs="Arial" w:eastAsia="Arial" w:hAnsi="Arial"/>
          <w:sz w:val="18"/>
          <w:szCs w:val="18"/>
          <w:b w:val="1"/>
          <w:bCs w:val="1"/>
          <w:color w:val="auto"/>
        </w:rPr>
      </w:pPr>
    </w:p>
    <w:p>
      <w:pPr>
        <w:ind w:left="444"/>
        <w:spacing w:after="0"/>
        <w:rPr>
          <w:rFonts w:ascii="Arial" w:cs="Arial" w:eastAsia="Arial" w:hAnsi="Arial"/>
          <w:sz w:val="18"/>
          <w:szCs w:val="18"/>
          <w:b w:val="1"/>
          <w:bCs w:val="1"/>
          <w:color w:val="auto"/>
        </w:rPr>
      </w:pPr>
      <w:r>
        <w:rPr>
          <w:rFonts w:ascii="Arial" w:cs="Arial" w:eastAsia="Arial" w:hAnsi="Arial"/>
          <w:sz w:val="18"/>
          <w:szCs w:val="18"/>
          <w:color w:val="auto"/>
        </w:rPr>
        <w:t>The Company’s lease rental income for the years ended December 31, 2020 and 2019 were as follows:</w:t>
      </w:r>
    </w:p>
    <w:p>
      <w:pPr>
        <w:spacing w:after="0" w:line="244" w:lineRule="exact"/>
        <w:rPr>
          <w:sz w:val="20"/>
          <w:szCs w:val="20"/>
          <w:color w:val="auto"/>
        </w:rPr>
      </w:pPr>
    </w:p>
    <w:tbl>
      <w:tblPr>
        <w:tblLayout w:type="fixed"/>
        <w:tblInd w:w="4" w:type="dxa"/>
        <w:tblCellMar>
          <w:top w:w="0" w:type="dxa"/>
          <w:left w:w="0" w:type="dxa"/>
          <w:bottom w:w="0" w:type="dxa"/>
          <w:right w:w="0" w:type="dxa"/>
        </w:tblCellMar>
      </w:tblPr>
      <w:tr>
        <w:trPr>
          <w:trHeight w:val="171"/>
        </w:trPr>
        <w:tc>
          <w:tcPr>
            <w:tcW w:w="520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68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jc w:val="right"/>
              <w:ind w:right="75"/>
              <w:spacing w:after="0"/>
              <w:rPr>
                <w:sz w:val="20"/>
                <w:szCs w:val="20"/>
                <w:color w:val="auto"/>
              </w:rPr>
            </w:pPr>
            <w:r>
              <w:rPr>
                <w:rFonts w:ascii="Arial" w:cs="Arial" w:eastAsia="Arial" w:hAnsi="Arial"/>
                <w:sz w:val="14"/>
                <w:szCs w:val="14"/>
                <w:b w:val="1"/>
                <w:bCs w:val="1"/>
                <w:color w:val="auto"/>
              </w:rPr>
              <w:t>2020</w:t>
            </w:r>
          </w:p>
        </w:tc>
        <w:tc>
          <w:tcPr>
            <w:tcW w:w="16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0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80" w:type="dxa"/>
            <w:vAlign w:val="bottom"/>
            <w:tcBorders>
              <w:bottom w:val="single" w:sz="8" w:color="auto"/>
            </w:tcBorders>
          </w:tcPr>
          <w:p>
            <w:pPr>
              <w:ind w:left="100"/>
              <w:spacing w:after="0"/>
              <w:rPr>
                <w:sz w:val="20"/>
                <w:szCs w:val="20"/>
                <w:color w:val="auto"/>
              </w:rPr>
            </w:pPr>
            <w:r>
              <w:rPr>
                <w:rFonts w:ascii="Arial" w:cs="Arial" w:eastAsia="Arial" w:hAnsi="Arial"/>
                <w:sz w:val="14"/>
                <w:szCs w:val="14"/>
                <w:b w:val="1"/>
                <w:bCs w:val="1"/>
                <w:color w:val="auto"/>
              </w:rPr>
              <w:t>2019</w:t>
            </w:r>
          </w:p>
        </w:tc>
        <w:tc>
          <w:tcPr>
            <w:tcW w:w="8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spacing w:after="0"/>
              <w:rPr>
                <w:sz w:val="14"/>
                <w:szCs w:val="14"/>
                <w:color w:val="auto"/>
              </w:rPr>
            </w:pPr>
          </w:p>
        </w:tc>
        <w:tc>
          <w:tcPr>
            <w:tcW w:w="60" w:type="dxa"/>
            <w:vAlign w:val="bottom"/>
          </w:tcPr>
          <w:p>
            <w:pPr>
              <w:spacing w:after="0"/>
              <w:rPr>
                <w:sz w:val="14"/>
                <w:szCs w:val="14"/>
                <w:color w:val="auto"/>
              </w:rPr>
            </w:pPr>
          </w:p>
        </w:tc>
      </w:tr>
      <w:tr>
        <w:trPr>
          <w:trHeight w:val="142"/>
        </w:trPr>
        <w:tc>
          <w:tcPr>
            <w:tcW w:w="520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840" w:type="dxa"/>
            <w:vAlign w:val="bottom"/>
            <w:gridSpan w:val="2"/>
          </w:tcPr>
          <w:p>
            <w:pPr>
              <w:jc w:val="right"/>
              <w:ind w:right="280"/>
              <w:spacing w:after="0" w:line="142" w:lineRule="exact"/>
              <w:rPr>
                <w:sz w:val="20"/>
                <w:szCs w:val="20"/>
                <w:color w:val="auto"/>
              </w:rPr>
            </w:pPr>
            <w:r>
              <w:rPr>
                <w:rFonts w:ascii="Arial" w:cs="Arial" w:eastAsia="Arial" w:hAnsi="Arial"/>
                <w:sz w:val="14"/>
                <w:szCs w:val="14"/>
                <w:b w:val="1"/>
                <w:bCs w:val="1"/>
                <w:color w:val="auto"/>
              </w:rPr>
              <w:t>Owned</w:t>
            </w:r>
          </w:p>
        </w:tc>
        <w:tc>
          <w:tcPr>
            <w:tcW w:w="760" w:type="dxa"/>
            <w:vAlign w:val="bottom"/>
            <w:gridSpan w:val="2"/>
          </w:tcPr>
          <w:p>
            <w:pPr>
              <w:ind w:left="20"/>
              <w:spacing w:after="0" w:line="142" w:lineRule="exact"/>
              <w:rPr>
                <w:sz w:val="20"/>
                <w:szCs w:val="20"/>
                <w:color w:val="auto"/>
              </w:rPr>
            </w:pPr>
            <w:r>
              <w:rPr>
                <w:rFonts w:ascii="Arial" w:cs="Arial" w:eastAsia="Arial" w:hAnsi="Arial"/>
                <w:sz w:val="14"/>
                <w:szCs w:val="14"/>
                <w:b w:val="1"/>
                <w:bCs w:val="1"/>
                <w:color w:val="auto"/>
              </w:rPr>
              <w:t>Managed</w:t>
            </w:r>
          </w:p>
        </w:tc>
        <w:tc>
          <w:tcPr>
            <w:tcW w:w="680" w:type="dxa"/>
            <w:vAlign w:val="bottom"/>
          </w:tcPr>
          <w:p>
            <w:pPr>
              <w:jc w:val="right"/>
              <w:ind w:right="93"/>
              <w:spacing w:after="0" w:line="142" w:lineRule="exact"/>
              <w:rPr>
                <w:sz w:val="20"/>
                <w:szCs w:val="20"/>
                <w:color w:val="auto"/>
              </w:rPr>
            </w:pPr>
            <w:r>
              <w:rPr>
                <w:rFonts w:ascii="Arial" w:cs="Arial" w:eastAsia="Arial" w:hAnsi="Arial"/>
                <w:sz w:val="14"/>
                <w:szCs w:val="14"/>
                <w:b w:val="1"/>
                <w:bCs w:val="1"/>
                <w:color w:val="auto"/>
              </w:rPr>
              <w:t>Total</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60" w:type="dxa"/>
            <w:vAlign w:val="bottom"/>
            <w:gridSpan w:val="2"/>
          </w:tcPr>
          <w:p>
            <w:pPr>
              <w:ind w:left="140"/>
              <w:spacing w:after="0" w:line="142" w:lineRule="exact"/>
              <w:rPr>
                <w:sz w:val="20"/>
                <w:szCs w:val="20"/>
                <w:color w:val="auto"/>
              </w:rPr>
            </w:pPr>
            <w:r>
              <w:rPr>
                <w:rFonts w:ascii="Arial" w:cs="Arial" w:eastAsia="Arial" w:hAnsi="Arial"/>
                <w:sz w:val="14"/>
                <w:szCs w:val="14"/>
                <w:b w:val="1"/>
                <w:bCs w:val="1"/>
                <w:color w:val="auto"/>
              </w:rPr>
              <w:t>Owned</w:t>
            </w:r>
          </w:p>
        </w:tc>
        <w:tc>
          <w:tcPr>
            <w:tcW w:w="760" w:type="dxa"/>
            <w:vAlign w:val="bottom"/>
            <w:gridSpan w:val="3"/>
          </w:tcPr>
          <w:p>
            <w:pPr>
              <w:jc w:val="right"/>
              <w:ind w:right="120"/>
              <w:spacing w:after="0" w:line="142" w:lineRule="exact"/>
              <w:rPr>
                <w:sz w:val="20"/>
                <w:szCs w:val="20"/>
                <w:color w:val="auto"/>
              </w:rPr>
            </w:pPr>
            <w:r>
              <w:rPr>
                <w:rFonts w:ascii="Arial" w:cs="Arial" w:eastAsia="Arial" w:hAnsi="Arial"/>
                <w:sz w:val="14"/>
                <w:szCs w:val="14"/>
                <w:b w:val="1"/>
                <w:bCs w:val="1"/>
                <w:color w:val="auto"/>
              </w:rPr>
              <w:t>Managed</w:t>
            </w:r>
          </w:p>
        </w:tc>
        <w:tc>
          <w:tcPr>
            <w:tcW w:w="80" w:type="dxa"/>
            <w:vAlign w:val="bottom"/>
          </w:tcPr>
          <w:p>
            <w:pPr>
              <w:spacing w:after="0"/>
              <w:rPr>
                <w:sz w:val="12"/>
                <w:szCs w:val="12"/>
                <w:color w:val="auto"/>
              </w:rPr>
            </w:pPr>
          </w:p>
        </w:tc>
        <w:tc>
          <w:tcPr>
            <w:tcW w:w="700" w:type="dxa"/>
            <w:vAlign w:val="bottom"/>
          </w:tcPr>
          <w:p>
            <w:pPr>
              <w:jc w:val="right"/>
              <w:ind w:right="99"/>
              <w:spacing w:after="0" w:line="142" w:lineRule="exact"/>
              <w:rPr>
                <w:sz w:val="20"/>
                <w:szCs w:val="20"/>
                <w:color w:val="auto"/>
              </w:rPr>
            </w:pPr>
            <w:r>
              <w:rPr>
                <w:rFonts w:ascii="Arial" w:cs="Arial" w:eastAsia="Arial" w:hAnsi="Arial"/>
                <w:sz w:val="14"/>
                <w:szCs w:val="14"/>
                <w:b w:val="1"/>
                <w:bCs w:val="1"/>
                <w:color w:val="auto"/>
              </w:rPr>
              <w:t>Total</w:t>
            </w:r>
          </w:p>
        </w:tc>
        <w:tc>
          <w:tcPr>
            <w:tcW w:w="60" w:type="dxa"/>
            <w:vAlign w:val="bottom"/>
          </w:tcPr>
          <w:p>
            <w:pPr>
              <w:spacing w:after="0"/>
              <w:rPr>
                <w:sz w:val="12"/>
                <w:szCs w:val="12"/>
                <w:color w:val="auto"/>
              </w:rPr>
            </w:pPr>
          </w:p>
        </w:tc>
      </w:tr>
      <w:tr>
        <w:trPr>
          <w:trHeight w:val="209"/>
        </w:trPr>
        <w:tc>
          <w:tcPr>
            <w:tcW w:w="52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Lease rental income - operating leases</w:t>
            </w:r>
          </w:p>
        </w:tc>
        <w:tc>
          <w:tcPr>
            <w:tcW w:w="920" w:type="dxa"/>
            <w:vAlign w:val="bottom"/>
            <w:tcBorders>
              <w:top w:val="single" w:sz="8" w:color="CCEEFF"/>
            </w:tcBorders>
            <w:shd w:val="clear" w:color="auto" w:fill="CCEEFF"/>
          </w:tcPr>
          <w:p>
            <w:pPr>
              <w:spacing w:after="0"/>
              <w:rPr>
                <w:sz w:val="18"/>
                <w:szCs w:val="18"/>
                <w:color w:val="auto"/>
              </w:rPr>
            </w:pPr>
          </w:p>
        </w:tc>
        <w:tc>
          <w:tcPr>
            <w:tcW w:w="6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7"/>
              </w:rPr>
              <w:t>$469,109</w:t>
            </w:r>
          </w:p>
        </w:tc>
        <w:tc>
          <w:tcPr>
            <w:tcW w:w="160" w:type="dxa"/>
            <w:vAlign w:val="bottom"/>
            <w:tcBorders>
              <w:top w:val="single" w:sz="8" w:color="CCEEFF"/>
            </w:tcBorders>
            <w:shd w:val="clear" w:color="auto" w:fill="CCEEFF"/>
          </w:tcPr>
          <w:p>
            <w:pPr>
              <w:spacing w:after="0"/>
              <w:rPr>
                <w:sz w:val="18"/>
                <w:szCs w:val="18"/>
                <w:color w:val="auto"/>
              </w:rPr>
            </w:pPr>
          </w:p>
        </w:tc>
        <w:tc>
          <w:tcPr>
            <w:tcW w:w="6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9"/>
              </w:rPr>
              <w:t>$58,175</w:t>
            </w:r>
          </w:p>
        </w:tc>
        <w:tc>
          <w:tcPr>
            <w:tcW w:w="160" w:type="dxa"/>
            <w:vAlign w:val="bottom"/>
            <w:tcBorders>
              <w:top w:val="single" w:sz="8" w:color="CCEEFF"/>
            </w:tcBorders>
            <w:shd w:val="clear" w:color="auto" w:fill="CCEEFF"/>
          </w:tcPr>
          <w:p>
            <w:pPr>
              <w:spacing w:after="0"/>
              <w:rPr>
                <w:sz w:val="18"/>
                <w:szCs w:val="18"/>
                <w:color w:val="auto"/>
              </w:rPr>
            </w:pPr>
          </w:p>
        </w:tc>
        <w:tc>
          <w:tcPr>
            <w:tcW w:w="6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7"/>
              </w:rPr>
              <w:t>$527,284</w:t>
            </w:r>
          </w:p>
        </w:tc>
        <w:tc>
          <w:tcPr>
            <w:tcW w:w="8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c>
          <w:tcPr>
            <w:tcW w:w="7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0"/>
              </w:rPr>
              <w:t>$470,722</w:t>
            </w:r>
          </w:p>
        </w:tc>
        <w:tc>
          <w:tcPr>
            <w:tcW w:w="16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tcBorders>
              <w:top w:val="single" w:sz="8" w:color="auto"/>
            </w:tcBorders>
            <w:shd w:val="clear" w:color="auto" w:fill="CCEEFF"/>
          </w:tcPr>
          <w:p>
            <w:pPr>
              <w:ind w:left="100"/>
              <w:spacing w:after="0"/>
              <w:rPr>
                <w:sz w:val="20"/>
                <w:szCs w:val="20"/>
                <w:color w:val="auto"/>
              </w:rPr>
            </w:pPr>
            <w:r>
              <w:rPr>
                <w:rFonts w:ascii="Arial" w:cs="Arial" w:eastAsia="Arial" w:hAnsi="Arial"/>
                <w:sz w:val="18"/>
                <w:szCs w:val="18"/>
                <w:color w:val="auto"/>
                <w:w w:val="83"/>
              </w:rPr>
              <w:t>96,227</w:t>
            </w:r>
          </w:p>
        </w:tc>
        <w:tc>
          <w:tcPr>
            <w:tcW w:w="8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c>
          <w:tcPr>
            <w:tcW w:w="7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0"/>
              </w:rPr>
              <w:t>$566,949</w:t>
            </w:r>
          </w:p>
        </w:tc>
        <w:tc>
          <w:tcPr>
            <w:tcW w:w="60" w:type="dxa"/>
            <w:vAlign w:val="bottom"/>
            <w:tcBorders>
              <w:top w:val="single" w:sz="8" w:color="CCEEFF"/>
            </w:tcBorders>
            <w:shd w:val="clear" w:color="auto" w:fill="CCEEFF"/>
          </w:tcPr>
          <w:p>
            <w:pPr>
              <w:spacing w:after="0"/>
              <w:rPr>
                <w:sz w:val="18"/>
                <w:szCs w:val="18"/>
                <w:color w:val="auto"/>
              </w:rPr>
            </w:pPr>
          </w:p>
        </w:tc>
      </w:tr>
      <w:tr>
        <w:trPr>
          <w:trHeight w:val="216"/>
        </w:trPr>
        <w:tc>
          <w:tcPr>
            <w:tcW w:w="5200" w:type="dxa"/>
            <w:vAlign w:val="bottom"/>
          </w:tcPr>
          <w:p>
            <w:pPr>
              <w:spacing w:after="0"/>
              <w:rPr>
                <w:sz w:val="20"/>
                <w:szCs w:val="20"/>
                <w:color w:val="auto"/>
              </w:rPr>
            </w:pPr>
            <w:r>
              <w:rPr>
                <w:rFonts w:ascii="Arial" w:cs="Arial" w:eastAsia="Arial" w:hAnsi="Arial"/>
                <w:sz w:val="18"/>
                <w:szCs w:val="18"/>
                <w:color w:val="auto"/>
              </w:rPr>
              <w:t>Interest income on net investment in finance leases</w:t>
            </w:r>
          </w:p>
        </w:tc>
        <w:tc>
          <w:tcPr>
            <w:tcW w:w="1760" w:type="dxa"/>
            <w:vAlign w:val="bottom"/>
            <w:gridSpan w:val="3"/>
          </w:tcPr>
          <w:p>
            <w:pPr>
              <w:jc w:val="right"/>
              <w:ind w:right="160"/>
              <w:spacing w:after="0"/>
              <w:rPr>
                <w:sz w:val="20"/>
                <w:szCs w:val="20"/>
                <w:color w:val="auto"/>
              </w:rPr>
            </w:pPr>
            <w:r>
              <w:rPr>
                <w:rFonts w:ascii="Arial" w:cs="Arial" w:eastAsia="Arial" w:hAnsi="Arial"/>
                <w:sz w:val="18"/>
                <w:szCs w:val="18"/>
                <w:color w:val="auto"/>
              </w:rPr>
              <w:t>30,121</w:t>
            </w:r>
          </w:p>
        </w:tc>
        <w:tc>
          <w:tcPr>
            <w:tcW w:w="760" w:type="dxa"/>
            <w:vAlign w:val="bottom"/>
            <w:gridSpan w:val="2"/>
          </w:tcPr>
          <w:p>
            <w:pPr>
              <w:ind w:left="320"/>
              <w:spacing w:after="0"/>
              <w:rPr>
                <w:sz w:val="20"/>
                <w:szCs w:val="20"/>
                <w:color w:val="auto"/>
              </w:rPr>
            </w:pPr>
            <w:r>
              <w:rPr>
                <w:rFonts w:ascii="Arial" w:cs="Arial" w:eastAsia="Arial" w:hAnsi="Arial"/>
                <w:sz w:val="18"/>
                <w:szCs w:val="18"/>
                <w:color w:val="auto"/>
              </w:rPr>
              <w:t>—</w:t>
            </w:r>
          </w:p>
        </w:tc>
        <w:tc>
          <w:tcPr>
            <w:tcW w:w="760" w:type="dxa"/>
            <w:vAlign w:val="bottom"/>
            <w:gridSpan w:val="2"/>
          </w:tcPr>
          <w:p>
            <w:pPr>
              <w:jc w:val="right"/>
              <w:ind w:right="80"/>
              <w:spacing w:after="0"/>
              <w:rPr>
                <w:sz w:val="20"/>
                <w:szCs w:val="20"/>
                <w:color w:val="auto"/>
              </w:rPr>
            </w:pPr>
            <w:r>
              <w:rPr>
                <w:rFonts w:ascii="Arial" w:cs="Arial" w:eastAsia="Arial" w:hAnsi="Arial"/>
                <w:sz w:val="18"/>
                <w:szCs w:val="18"/>
                <w:color w:val="auto"/>
              </w:rPr>
              <w:t>30,121</w:t>
            </w:r>
          </w:p>
        </w:tc>
        <w:tc>
          <w:tcPr>
            <w:tcW w:w="940" w:type="dxa"/>
            <w:vAlign w:val="bottom"/>
            <w:gridSpan w:val="3"/>
          </w:tcPr>
          <w:p>
            <w:pPr>
              <w:jc w:val="right"/>
              <w:ind w:right="160"/>
              <w:spacing w:after="0"/>
              <w:rPr>
                <w:sz w:val="20"/>
                <w:szCs w:val="20"/>
                <w:color w:val="auto"/>
              </w:rPr>
            </w:pPr>
            <w:r>
              <w:rPr>
                <w:rFonts w:ascii="Arial" w:cs="Arial" w:eastAsia="Arial" w:hAnsi="Arial"/>
                <w:sz w:val="18"/>
                <w:szCs w:val="18"/>
                <w:color w:val="auto"/>
              </w:rPr>
              <w:t>15,356</w:t>
            </w:r>
          </w:p>
        </w:tc>
        <w:tc>
          <w:tcPr>
            <w:tcW w:w="100" w:type="dxa"/>
            <w:vAlign w:val="bottom"/>
          </w:tcPr>
          <w:p>
            <w:pPr>
              <w:spacing w:after="0"/>
              <w:rPr>
                <w:sz w:val="18"/>
                <w:szCs w:val="18"/>
                <w:color w:val="auto"/>
              </w:rPr>
            </w:pPr>
          </w:p>
        </w:tc>
        <w:tc>
          <w:tcPr>
            <w:tcW w:w="660" w:type="dxa"/>
            <w:vAlign w:val="bottom"/>
            <w:gridSpan w:val="2"/>
          </w:tcPr>
          <w:p>
            <w:pPr>
              <w:ind w:left="320"/>
              <w:spacing w:after="0"/>
              <w:rPr>
                <w:sz w:val="20"/>
                <w:szCs w:val="20"/>
                <w:color w:val="auto"/>
              </w:rPr>
            </w:pPr>
            <w:r>
              <w:rPr>
                <w:rFonts w:ascii="Arial" w:cs="Arial" w:eastAsia="Arial" w:hAnsi="Arial"/>
                <w:sz w:val="18"/>
                <w:szCs w:val="18"/>
                <w:color w:val="auto"/>
              </w:rPr>
              <w:t>—</w:t>
            </w:r>
          </w:p>
        </w:tc>
        <w:tc>
          <w:tcPr>
            <w:tcW w:w="840" w:type="dxa"/>
            <w:vAlign w:val="bottom"/>
            <w:gridSpan w:val="3"/>
          </w:tcPr>
          <w:p>
            <w:pPr>
              <w:jc w:val="right"/>
              <w:ind w:right="60"/>
              <w:spacing w:after="0"/>
              <w:rPr>
                <w:sz w:val="20"/>
                <w:szCs w:val="20"/>
                <w:color w:val="auto"/>
              </w:rPr>
            </w:pPr>
            <w:r>
              <w:rPr>
                <w:rFonts w:ascii="Arial" w:cs="Arial" w:eastAsia="Arial" w:hAnsi="Arial"/>
                <w:sz w:val="18"/>
                <w:szCs w:val="18"/>
                <w:color w:val="auto"/>
              </w:rPr>
              <w:t>15,356</w:t>
            </w:r>
          </w:p>
        </w:tc>
      </w:tr>
      <w:tr>
        <w:trPr>
          <w:trHeight w:val="216"/>
        </w:trPr>
        <w:tc>
          <w:tcPr>
            <w:tcW w:w="5200" w:type="dxa"/>
            <w:vAlign w:val="bottom"/>
            <w:shd w:val="clear" w:color="auto" w:fill="CCEEFF"/>
          </w:tcPr>
          <w:p>
            <w:pPr>
              <w:spacing w:after="0"/>
              <w:rPr>
                <w:sz w:val="20"/>
                <w:szCs w:val="20"/>
                <w:color w:val="auto"/>
              </w:rPr>
            </w:pPr>
            <w:r>
              <w:rPr>
                <w:rFonts w:ascii="Arial" w:cs="Arial" w:eastAsia="Arial" w:hAnsi="Arial"/>
                <w:sz w:val="18"/>
                <w:szCs w:val="18"/>
                <w:color w:val="auto"/>
              </w:rPr>
              <w:t>Interest income on container leaseback financing receivable</w:t>
            </w:r>
          </w:p>
        </w:tc>
        <w:tc>
          <w:tcPr>
            <w:tcW w:w="176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17,243</w:t>
            </w:r>
          </w:p>
        </w:tc>
        <w:tc>
          <w:tcPr>
            <w:tcW w:w="76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17,243</w:t>
            </w:r>
          </w:p>
        </w:tc>
        <w:tc>
          <w:tcPr>
            <w:tcW w:w="94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10,313</w:t>
            </w:r>
          </w:p>
        </w:tc>
        <w:tc>
          <w:tcPr>
            <w:tcW w:w="100" w:type="dxa"/>
            <w:vAlign w:val="bottom"/>
            <w:shd w:val="clear" w:color="auto" w:fill="CCEEFF"/>
          </w:tcPr>
          <w:p>
            <w:pPr>
              <w:spacing w:after="0"/>
              <w:rPr>
                <w:sz w:val="18"/>
                <w:szCs w:val="18"/>
                <w:color w:val="auto"/>
              </w:rPr>
            </w:pPr>
          </w:p>
        </w:tc>
        <w:tc>
          <w:tcPr>
            <w:tcW w:w="66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84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10,313</w:t>
            </w:r>
          </w:p>
        </w:tc>
      </w:tr>
      <w:tr>
        <w:trPr>
          <w:trHeight w:val="216"/>
        </w:trPr>
        <w:tc>
          <w:tcPr>
            <w:tcW w:w="5200" w:type="dxa"/>
            <w:vAlign w:val="bottom"/>
          </w:tcPr>
          <w:p>
            <w:pPr>
              <w:spacing w:after="0"/>
              <w:rPr>
                <w:sz w:val="20"/>
                <w:szCs w:val="20"/>
                <w:color w:val="auto"/>
              </w:rPr>
            </w:pPr>
            <w:r>
              <w:rPr>
                <w:rFonts w:ascii="Arial" w:cs="Arial" w:eastAsia="Arial" w:hAnsi="Arial"/>
                <w:sz w:val="18"/>
                <w:szCs w:val="18"/>
                <w:color w:val="auto"/>
              </w:rPr>
              <w:t>Variable lease revenue</w:t>
            </w:r>
          </w:p>
        </w:tc>
        <w:tc>
          <w:tcPr>
            <w:tcW w:w="920" w:type="dxa"/>
            <w:vAlign w:val="bottom"/>
          </w:tcPr>
          <w:p>
            <w:pPr>
              <w:spacing w:after="0"/>
              <w:rPr>
                <w:sz w:val="18"/>
                <w:szCs w:val="18"/>
                <w:color w:val="auto"/>
              </w:rPr>
            </w:pPr>
          </w:p>
        </w:tc>
        <w:tc>
          <w:tcPr>
            <w:tcW w:w="840" w:type="dxa"/>
            <w:vAlign w:val="bottom"/>
            <w:gridSpan w:val="2"/>
          </w:tcPr>
          <w:p>
            <w:pPr>
              <w:jc w:val="right"/>
              <w:ind w:right="160"/>
              <w:spacing w:after="0"/>
              <w:rPr>
                <w:sz w:val="20"/>
                <w:szCs w:val="20"/>
                <w:color w:val="auto"/>
              </w:rPr>
            </w:pPr>
            <w:r>
              <w:rPr>
                <w:rFonts w:ascii="Arial" w:cs="Arial" w:eastAsia="Arial" w:hAnsi="Arial"/>
                <w:sz w:val="18"/>
                <w:szCs w:val="18"/>
                <w:color w:val="auto"/>
              </w:rPr>
              <w:t>21,952</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4,273</w:t>
            </w:r>
          </w:p>
        </w:tc>
        <w:tc>
          <w:tcPr>
            <w:tcW w:w="760" w:type="dxa"/>
            <w:vAlign w:val="bottom"/>
            <w:gridSpan w:val="2"/>
          </w:tcPr>
          <w:p>
            <w:pPr>
              <w:jc w:val="right"/>
              <w:ind w:right="80"/>
              <w:spacing w:after="0"/>
              <w:rPr>
                <w:sz w:val="20"/>
                <w:szCs w:val="20"/>
                <w:color w:val="auto"/>
              </w:rPr>
            </w:pPr>
            <w:r>
              <w:rPr>
                <w:rFonts w:ascii="Arial" w:cs="Arial" w:eastAsia="Arial" w:hAnsi="Arial"/>
                <w:sz w:val="18"/>
                <w:szCs w:val="18"/>
                <w:color w:val="auto"/>
              </w:rPr>
              <w:t>26,225</w:t>
            </w:r>
          </w:p>
        </w:tc>
        <w:tc>
          <w:tcPr>
            <w:tcW w:w="940" w:type="dxa"/>
            <w:vAlign w:val="bottom"/>
            <w:gridSpan w:val="3"/>
          </w:tcPr>
          <w:p>
            <w:pPr>
              <w:jc w:val="right"/>
              <w:ind w:right="160"/>
              <w:spacing w:after="0"/>
              <w:rPr>
                <w:sz w:val="20"/>
                <w:szCs w:val="20"/>
                <w:color w:val="auto"/>
              </w:rPr>
            </w:pPr>
            <w:r>
              <w:rPr>
                <w:rFonts w:ascii="Arial" w:cs="Arial" w:eastAsia="Arial" w:hAnsi="Arial"/>
                <w:sz w:val="18"/>
                <w:szCs w:val="18"/>
                <w:color w:val="auto"/>
              </w:rPr>
              <w:t>21,468</w:t>
            </w:r>
          </w:p>
        </w:tc>
        <w:tc>
          <w:tcPr>
            <w:tcW w:w="100" w:type="dxa"/>
            <w:vAlign w:val="bottom"/>
          </w:tcPr>
          <w:p>
            <w:pPr>
              <w:spacing w:after="0"/>
              <w:rPr>
                <w:sz w:val="18"/>
                <w:szCs w:val="18"/>
                <w:color w:val="auto"/>
              </w:rPr>
            </w:pPr>
          </w:p>
        </w:tc>
        <w:tc>
          <w:tcPr>
            <w:tcW w:w="660" w:type="dxa"/>
            <w:vAlign w:val="bottom"/>
            <w:gridSpan w:val="2"/>
          </w:tcPr>
          <w:p>
            <w:pPr>
              <w:jc w:val="right"/>
              <w:ind w:right="80"/>
              <w:spacing w:after="0"/>
              <w:rPr>
                <w:sz w:val="20"/>
                <w:szCs w:val="20"/>
                <w:color w:val="auto"/>
              </w:rPr>
            </w:pPr>
            <w:r>
              <w:rPr>
                <w:rFonts w:ascii="Arial" w:cs="Arial" w:eastAsia="Arial" w:hAnsi="Arial"/>
                <w:sz w:val="18"/>
                <w:szCs w:val="18"/>
                <w:color w:val="auto"/>
              </w:rPr>
              <w:t>5,674</w:t>
            </w:r>
          </w:p>
        </w:tc>
        <w:tc>
          <w:tcPr>
            <w:tcW w:w="840" w:type="dxa"/>
            <w:vAlign w:val="bottom"/>
            <w:gridSpan w:val="3"/>
          </w:tcPr>
          <w:p>
            <w:pPr>
              <w:jc w:val="right"/>
              <w:ind w:right="60"/>
              <w:spacing w:after="0"/>
              <w:rPr>
                <w:sz w:val="20"/>
                <w:szCs w:val="20"/>
                <w:color w:val="auto"/>
              </w:rPr>
            </w:pPr>
            <w:r>
              <w:rPr>
                <w:rFonts w:ascii="Arial" w:cs="Arial" w:eastAsia="Arial" w:hAnsi="Arial"/>
                <w:sz w:val="18"/>
                <w:szCs w:val="18"/>
                <w:color w:val="auto"/>
              </w:rPr>
              <w:t>27,142</w:t>
            </w:r>
          </w:p>
        </w:tc>
      </w:tr>
      <w:tr>
        <w:trPr>
          <w:trHeight w:val="27"/>
        </w:trPr>
        <w:tc>
          <w:tcPr>
            <w:tcW w:w="5200" w:type="dxa"/>
            <w:vAlign w:val="bottom"/>
          </w:tcPr>
          <w:p>
            <w:pPr>
              <w:spacing w:after="0"/>
              <w:rPr>
                <w:sz w:val="2"/>
                <w:szCs w:val="2"/>
                <w:color w:val="auto"/>
              </w:rPr>
            </w:pPr>
          </w:p>
        </w:tc>
        <w:tc>
          <w:tcPr>
            <w:tcW w:w="92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r>
      <w:tr>
        <w:trPr>
          <w:trHeight w:val="216"/>
        </w:trPr>
        <w:tc>
          <w:tcPr>
            <w:tcW w:w="52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 lease rental income</w:t>
            </w:r>
          </w:p>
        </w:tc>
        <w:tc>
          <w:tcPr>
            <w:tcW w:w="176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538,425</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62,448</w:t>
            </w:r>
          </w:p>
        </w:tc>
        <w:tc>
          <w:tcPr>
            <w:tcW w:w="7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u w:val="single" w:color="auto"/>
                <w:color w:val="auto"/>
                <w:w w:val="87"/>
              </w:rPr>
              <w:t>$</w:t>
            </w:r>
            <w:r>
              <w:rPr>
                <w:rFonts w:ascii="Arial" w:cs="Arial" w:eastAsia="Arial" w:hAnsi="Arial"/>
                <w:sz w:val="18"/>
                <w:szCs w:val="18"/>
                <w:color w:val="auto"/>
                <w:w w:val="87"/>
              </w:rPr>
              <w:t>600,873</w:t>
            </w:r>
          </w:p>
        </w:tc>
        <w:tc>
          <w:tcPr>
            <w:tcW w:w="94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517,859</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u w:val="single" w:color="auto"/>
                <w:color w:val="auto"/>
                <w:w w:val="71"/>
              </w:rPr>
              <w:t>$</w:t>
            </w:r>
          </w:p>
        </w:tc>
        <w:tc>
          <w:tcPr>
            <w:tcW w:w="6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w w:val="86"/>
              </w:rPr>
              <w:t>101,901</w:t>
            </w:r>
          </w:p>
        </w:tc>
        <w:tc>
          <w:tcPr>
            <w:tcW w:w="84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619,760</w:t>
            </w:r>
          </w:p>
        </w:tc>
      </w:tr>
      <w:tr>
        <w:trPr>
          <w:trHeight w:val="20"/>
        </w:trPr>
        <w:tc>
          <w:tcPr>
            <w:tcW w:w="520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215" w:lineRule="exact"/>
        <w:rPr>
          <w:sz w:val="20"/>
          <w:szCs w:val="20"/>
          <w:color w:val="auto"/>
        </w:rPr>
      </w:pPr>
    </w:p>
    <w:p>
      <w:pPr>
        <w:ind w:left="4" w:right="200" w:firstLine="440"/>
        <w:spacing w:after="0" w:line="277" w:lineRule="auto"/>
        <w:rPr>
          <w:sz w:val="20"/>
          <w:szCs w:val="20"/>
          <w:color w:val="auto"/>
        </w:rPr>
      </w:pPr>
      <w:r>
        <w:rPr>
          <w:rFonts w:ascii="Arial" w:cs="Arial" w:eastAsia="Arial" w:hAnsi="Arial"/>
          <w:sz w:val="18"/>
          <w:szCs w:val="18"/>
          <w:color w:val="auto"/>
        </w:rPr>
        <w:t>Variable lease revenue includes other charges set forth in the leases, such as handling fees, pick-up and drop-off charges and charges for damage protection plan.</w:t>
      </w:r>
    </w:p>
    <w:p>
      <w:pPr>
        <w:spacing w:after="0" w:line="170" w:lineRule="exact"/>
        <w:rPr>
          <w:sz w:val="20"/>
          <w:szCs w:val="20"/>
          <w:color w:val="auto"/>
        </w:rPr>
      </w:pPr>
    </w:p>
    <w:p>
      <w:pPr>
        <w:jc w:val="both"/>
        <w:ind w:left="4" w:right="680" w:firstLine="440"/>
        <w:spacing w:after="0" w:line="286" w:lineRule="auto"/>
        <w:rPr>
          <w:sz w:val="20"/>
          <w:szCs w:val="20"/>
          <w:color w:val="auto"/>
        </w:rPr>
      </w:pPr>
      <w:r>
        <w:rPr>
          <w:rFonts w:ascii="Arial" w:cs="Arial" w:eastAsia="Arial" w:hAnsi="Arial"/>
          <w:sz w:val="17"/>
          <w:szCs w:val="17"/>
          <w:color w:val="auto"/>
        </w:rPr>
        <w:t>For finance leases, the net selling loss recognized at lease commencement, representing the difference between the estimated fair value of containers placed on these leases and their net book value, in the amount of $144 and $1,027 for the years ended December 31, 2020 and 2019, respectively, are included in “gain on sale of owned fleet containers, net” in the consolidated statements of operations.</w:t>
      </w:r>
    </w:p>
    <w:p>
      <w:pPr>
        <w:spacing w:after="0" w:line="98"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F-29</w:t>
      </w:r>
    </w:p>
    <w:p>
      <w:pPr>
        <w:sectPr>
          <w:pgSz w:w="11900" w:h="16838" w:orient="portrait"/>
          <w:cols w:equalWidth="0" w:num="1">
            <w:col w:w="11024"/>
          </w:cols>
          <w:pgMar w:left="436" w:top="270" w:right="439" w:bottom="1440" w:gutter="0" w:footer="0" w:header="0"/>
        </w:sectPr>
      </w:pPr>
    </w:p>
    <w:bookmarkStart w:id="143" w:name="page144"/>
    <w:bookmarkEnd w:id="143"/>
    <w:p>
      <w:pPr>
        <w:ind w:left="444"/>
        <w:spacing w:after="0"/>
        <w:rPr>
          <w:sz w:val="20"/>
          <w:szCs w:val="20"/>
          <w:color w:val="auto"/>
        </w:rPr>
      </w:pPr>
      <w:r>
        <w:rPr>
          <w:rFonts w:ascii="Arial" w:cs="Arial" w:eastAsia="Arial" w:hAnsi="Arial"/>
          <w:sz w:val="18"/>
          <w:szCs w:val="18"/>
          <w:i w:val="1"/>
          <w:i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Operating Leases</w:t>
      </w:r>
    </w:p>
    <w:p>
      <w:pPr>
        <w:spacing w:after="0" w:line="117" w:lineRule="exact"/>
        <w:rPr>
          <w:sz w:val="20"/>
          <w:szCs w:val="20"/>
          <w:color w:val="auto"/>
        </w:rPr>
      </w:pPr>
    </w:p>
    <w:p>
      <w:pPr>
        <w:ind w:left="4" w:right="460" w:firstLine="440"/>
        <w:spacing w:after="0" w:line="277" w:lineRule="auto"/>
        <w:rPr>
          <w:sz w:val="20"/>
          <w:szCs w:val="20"/>
          <w:color w:val="auto"/>
        </w:rPr>
      </w:pPr>
      <w:r>
        <w:rPr>
          <w:rFonts w:ascii="Arial" w:cs="Arial" w:eastAsia="Arial" w:hAnsi="Arial"/>
          <w:sz w:val="18"/>
          <w:szCs w:val="18"/>
          <w:color w:val="auto"/>
        </w:rPr>
        <w:t>The following is a schedule, by year, of future minimum lease payments receivable under the long-term leases for the owned and managed container fleet as of December 31, 2020:</w:t>
      </w:r>
    </w:p>
    <w:p>
      <w:pPr>
        <w:spacing w:after="0" w:line="189" w:lineRule="exact"/>
        <w:rPr>
          <w:sz w:val="20"/>
          <w:szCs w:val="20"/>
          <w:color w:val="auto"/>
        </w:rPr>
      </w:pPr>
    </w:p>
    <w:tbl>
      <w:tblPr>
        <w:tblLayout w:type="fixed"/>
        <w:tblInd w:w="884" w:type="dxa"/>
        <w:tblCellMar>
          <w:top w:w="0" w:type="dxa"/>
          <w:left w:w="0" w:type="dxa"/>
          <w:bottom w:w="0" w:type="dxa"/>
          <w:right w:w="0" w:type="dxa"/>
        </w:tblCellMar>
      </w:tblPr>
      <w:tr>
        <w:trPr>
          <w:trHeight w:val="171"/>
        </w:trPr>
        <w:tc>
          <w:tcPr>
            <w:tcW w:w="5260" w:type="dxa"/>
            <w:vAlign w:val="bottom"/>
          </w:tcPr>
          <w:p>
            <w:pPr>
              <w:spacing w:after="0"/>
              <w:rPr>
                <w:sz w:val="14"/>
                <w:szCs w:val="14"/>
                <w:color w:val="auto"/>
              </w:rPr>
            </w:pPr>
          </w:p>
        </w:tc>
        <w:tc>
          <w:tcPr>
            <w:tcW w:w="1060" w:type="dxa"/>
            <w:vAlign w:val="bottom"/>
          </w:tcPr>
          <w:p>
            <w:pPr>
              <w:spacing w:after="0"/>
              <w:rPr>
                <w:sz w:val="14"/>
                <w:szCs w:val="14"/>
                <w:color w:val="auto"/>
              </w:rPr>
            </w:pPr>
          </w:p>
        </w:tc>
        <w:tc>
          <w:tcPr>
            <w:tcW w:w="820" w:type="dxa"/>
            <w:vAlign w:val="bottom"/>
          </w:tcPr>
          <w:p>
            <w:pPr>
              <w:jc w:val="right"/>
              <w:ind w:right="119"/>
              <w:spacing w:after="0"/>
              <w:rPr>
                <w:sz w:val="20"/>
                <w:szCs w:val="20"/>
                <w:color w:val="auto"/>
              </w:rPr>
            </w:pPr>
            <w:r>
              <w:rPr>
                <w:rFonts w:ascii="Arial" w:cs="Arial" w:eastAsia="Arial" w:hAnsi="Arial"/>
                <w:sz w:val="14"/>
                <w:szCs w:val="14"/>
                <w:b w:val="1"/>
                <w:bCs w:val="1"/>
                <w:color w:val="auto"/>
              </w:rPr>
              <w:t>Owned</w:t>
            </w:r>
          </w:p>
        </w:tc>
        <w:tc>
          <w:tcPr>
            <w:tcW w:w="320" w:type="dxa"/>
            <w:vAlign w:val="bottom"/>
          </w:tcPr>
          <w:p>
            <w:pPr>
              <w:spacing w:after="0"/>
              <w:rPr>
                <w:sz w:val="14"/>
                <w:szCs w:val="14"/>
                <w:color w:val="auto"/>
              </w:rPr>
            </w:pPr>
          </w:p>
        </w:tc>
        <w:tc>
          <w:tcPr>
            <w:tcW w:w="600" w:type="dxa"/>
            <w:vAlign w:val="bottom"/>
          </w:tcPr>
          <w:p>
            <w:pPr>
              <w:jc w:val="right"/>
              <w:spacing w:after="0"/>
              <w:rPr>
                <w:sz w:val="20"/>
                <w:szCs w:val="20"/>
                <w:color w:val="auto"/>
              </w:rPr>
            </w:pPr>
            <w:r>
              <w:rPr>
                <w:rFonts w:ascii="Arial" w:cs="Arial" w:eastAsia="Arial" w:hAnsi="Arial"/>
                <w:sz w:val="14"/>
                <w:szCs w:val="14"/>
                <w:b w:val="1"/>
                <w:bCs w:val="1"/>
                <w:color w:val="auto"/>
                <w:w w:val="92"/>
              </w:rPr>
              <w:t>Managed</w:t>
            </w:r>
          </w:p>
        </w:tc>
        <w:tc>
          <w:tcPr>
            <w:tcW w:w="320" w:type="dxa"/>
            <w:vAlign w:val="bottom"/>
          </w:tcPr>
          <w:p>
            <w:pPr>
              <w:spacing w:after="0"/>
              <w:rPr>
                <w:sz w:val="14"/>
                <w:szCs w:val="14"/>
                <w:color w:val="auto"/>
              </w:rPr>
            </w:pPr>
          </w:p>
        </w:tc>
        <w:tc>
          <w:tcPr>
            <w:tcW w:w="880" w:type="dxa"/>
            <w:vAlign w:val="bottom"/>
            <w:gridSpan w:val="2"/>
          </w:tcPr>
          <w:p>
            <w:pPr>
              <w:ind w:left="240"/>
              <w:spacing w:after="0"/>
              <w:rPr>
                <w:sz w:val="20"/>
                <w:szCs w:val="20"/>
                <w:color w:val="auto"/>
              </w:rPr>
            </w:pPr>
            <w:r>
              <w:rPr>
                <w:rFonts w:ascii="Arial" w:cs="Arial" w:eastAsia="Arial" w:hAnsi="Arial"/>
                <w:sz w:val="14"/>
                <w:szCs w:val="14"/>
                <w:b w:val="1"/>
                <w:bCs w:val="1"/>
                <w:color w:val="auto"/>
              </w:rPr>
              <w:t>Total</w:t>
            </w:r>
          </w:p>
        </w:tc>
      </w:tr>
      <w:tr>
        <w:trPr>
          <w:trHeight w:val="196"/>
        </w:trPr>
        <w:tc>
          <w:tcPr>
            <w:tcW w:w="526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color w:val="auto"/>
              </w:rPr>
              <w:t>Year ending December 31:</w:t>
            </w:r>
          </w:p>
        </w:tc>
        <w:tc>
          <w:tcPr>
            <w:tcW w:w="1060" w:type="dxa"/>
            <w:vAlign w:val="bottom"/>
            <w:tcBorders>
              <w:top w:val="single" w:sz="8" w:color="CCEEFF"/>
            </w:tcBorders>
            <w:shd w:val="clear" w:color="auto" w:fill="CCEEFF"/>
          </w:tcPr>
          <w:p>
            <w:pPr>
              <w:spacing w:after="0"/>
              <w:rPr>
                <w:sz w:val="17"/>
                <w:szCs w:val="17"/>
                <w:color w:val="auto"/>
              </w:rPr>
            </w:pPr>
          </w:p>
        </w:tc>
        <w:tc>
          <w:tcPr>
            <w:tcW w:w="820" w:type="dxa"/>
            <w:vAlign w:val="bottom"/>
            <w:tcBorders>
              <w:top w:val="single" w:sz="8" w:color="auto"/>
            </w:tcBorders>
            <w:shd w:val="clear" w:color="auto" w:fill="CCEEFF"/>
          </w:tcPr>
          <w:p>
            <w:pPr>
              <w:spacing w:after="0"/>
              <w:rPr>
                <w:sz w:val="17"/>
                <w:szCs w:val="17"/>
                <w:color w:val="auto"/>
              </w:rPr>
            </w:pPr>
          </w:p>
        </w:tc>
        <w:tc>
          <w:tcPr>
            <w:tcW w:w="320" w:type="dxa"/>
            <w:vAlign w:val="bottom"/>
            <w:tcBorders>
              <w:top w:val="single" w:sz="8" w:color="CCEEFF"/>
            </w:tcBorders>
            <w:shd w:val="clear" w:color="auto" w:fill="CCEEFF"/>
          </w:tcPr>
          <w:p>
            <w:pPr>
              <w:spacing w:after="0"/>
              <w:rPr>
                <w:sz w:val="17"/>
                <w:szCs w:val="17"/>
                <w:color w:val="auto"/>
              </w:rPr>
            </w:pPr>
          </w:p>
        </w:tc>
        <w:tc>
          <w:tcPr>
            <w:tcW w:w="600" w:type="dxa"/>
            <w:vAlign w:val="bottom"/>
            <w:tcBorders>
              <w:top w:val="single" w:sz="8" w:color="auto"/>
            </w:tcBorders>
            <w:shd w:val="clear" w:color="auto" w:fill="CCEEFF"/>
          </w:tcPr>
          <w:p>
            <w:pPr>
              <w:spacing w:after="0"/>
              <w:rPr>
                <w:sz w:val="17"/>
                <w:szCs w:val="17"/>
                <w:color w:val="auto"/>
              </w:rPr>
            </w:pPr>
          </w:p>
        </w:tc>
        <w:tc>
          <w:tcPr>
            <w:tcW w:w="320" w:type="dxa"/>
            <w:vAlign w:val="bottom"/>
            <w:tcBorders>
              <w:top w:val="single" w:sz="8" w:color="CCEEFF"/>
            </w:tcBorders>
            <w:shd w:val="clear" w:color="auto" w:fill="CCEEFF"/>
          </w:tcPr>
          <w:p>
            <w:pPr>
              <w:spacing w:after="0"/>
              <w:rPr>
                <w:sz w:val="17"/>
                <w:szCs w:val="17"/>
                <w:color w:val="auto"/>
              </w:rPr>
            </w:pPr>
          </w:p>
        </w:tc>
        <w:tc>
          <w:tcPr>
            <w:tcW w:w="820" w:type="dxa"/>
            <w:vAlign w:val="bottom"/>
            <w:tcBorders>
              <w:top w:val="single" w:sz="8" w:color="auto"/>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r>
      <w:tr>
        <w:trPr>
          <w:trHeight w:val="216"/>
        </w:trPr>
        <w:tc>
          <w:tcPr>
            <w:tcW w:w="5260" w:type="dxa"/>
            <w:vAlign w:val="bottom"/>
          </w:tcPr>
          <w:p>
            <w:pPr>
              <w:ind w:left="360"/>
              <w:spacing w:after="0"/>
              <w:rPr>
                <w:sz w:val="20"/>
                <w:szCs w:val="20"/>
                <w:color w:val="auto"/>
              </w:rPr>
            </w:pPr>
            <w:r>
              <w:rPr>
                <w:rFonts w:ascii="Arial" w:cs="Arial" w:eastAsia="Arial" w:hAnsi="Arial"/>
                <w:sz w:val="18"/>
                <w:szCs w:val="18"/>
                <w:color w:val="auto"/>
              </w:rPr>
              <w:t>2021</w:t>
            </w:r>
          </w:p>
        </w:tc>
        <w:tc>
          <w:tcPr>
            <w:tcW w:w="1880" w:type="dxa"/>
            <w:vAlign w:val="bottom"/>
            <w:gridSpan w:val="2"/>
          </w:tcPr>
          <w:p>
            <w:pPr>
              <w:jc w:val="right"/>
              <w:spacing w:after="0"/>
              <w:rPr>
                <w:sz w:val="20"/>
                <w:szCs w:val="20"/>
                <w:color w:val="auto"/>
              </w:rPr>
            </w:pPr>
            <w:r>
              <w:rPr>
                <w:rFonts w:ascii="Arial" w:cs="Arial" w:eastAsia="Arial" w:hAnsi="Arial"/>
                <w:sz w:val="18"/>
                <w:szCs w:val="18"/>
                <w:color w:val="auto"/>
              </w:rPr>
              <w:t>361,495</w:t>
            </w:r>
          </w:p>
        </w:tc>
        <w:tc>
          <w:tcPr>
            <w:tcW w:w="920" w:type="dxa"/>
            <w:vAlign w:val="bottom"/>
            <w:gridSpan w:val="2"/>
          </w:tcPr>
          <w:p>
            <w:pPr>
              <w:jc w:val="right"/>
              <w:spacing w:after="0"/>
              <w:rPr>
                <w:sz w:val="20"/>
                <w:szCs w:val="20"/>
                <w:color w:val="auto"/>
              </w:rPr>
            </w:pPr>
            <w:r>
              <w:rPr>
                <w:rFonts w:ascii="Arial" w:cs="Arial" w:eastAsia="Arial" w:hAnsi="Arial"/>
                <w:sz w:val="18"/>
                <w:szCs w:val="18"/>
                <w:color w:val="auto"/>
              </w:rPr>
              <w:t>32,769</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394,264</w:t>
            </w:r>
          </w:p>
        </w:tc>
        <w:tc>
          <w:tcPr>
            <w:tcW w:w="60" w:type="dxa"/>
            <w:vAlign w:val="bottom"/>
          </w:tcPr>
          <w:p>
            <w:pPr>
              <w:spacing w:after="0"/>
              <w:rPr>
                <w:sz w:val="18"/>
                <w:szCs w:val="18"/>
                <w:color w:val="auto"/>
              </w:rPr>
            </w:pPr>
          </w:p>
        </w:tc>
      </w:tr>
      <w:tr>
        <w:trPr>
          <w:trHeight w:val="216"/>
        </w:trPr>
        <w:tc>
          <w:tcPr>
            <w:tcW w:w="52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2022</w:t>
            </w:r>
          </w:p>
        </w:tc>
        <w:tc>
          <w:tcPr>
            <w:tcW w:w="18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302,704</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19,173</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321,877</w:t>
            </w:r>
          </w:p>
        </w:tc>
        <w:tc>
          <w:tcPr>
            <w:tcW w:w="60" w:type="dxa"/>
            <w:vAlign w:val="bottom"/>
            <w:shd w:val="clear" w:color="auto" w:fill="CCEEFF"/>
          </w:tcPr>
          <w:p>
            <w:pPr>
              <w:spacing w:after="0"/>
              <w:rPr>
                <w:sz w:val="18"/>
                <w:szCs w:val="18"/>
                <w:color w:val="auto"/>
              </w:rPr>
            </w:pPr>
          </w:p>
        </w:tc>
      </w:tr>
      <w:tr>
        <w:trPr>
          <w:trHeight w:val="216"/>
        </w:trPr>
        <w:tc>
          <w:tcPr>
            <w:tcW w:w="5260" w:type="dxa"/>
            <w:vAlign w:val="bottom"/>
          </w:tcPr>
          <w:p>
            <w:pPr>
              <w:ind w:left="360"/>
              <w:spacing w:after="0"/>
              <w:rPr>
                <w:sz w:val="20"/>
                <w:szCs w:val="20"/>
                <w:color w:val="auto"/>
              </w:rPr>
            </w:pPr>
            <w:r>
              <w:rPr>
                <w:rFonts w:ascii="Arial" w:cs="Arial" w:eastAsia="Arial" w:hAnsi="Arial"/>
                <w:sz w:val="18"/>
                <w:szCs w:val="18"/>
                <w:color w:val="auto"/>
              </w:rPr>
              <w:t>2023</w:t>
            </w:r>
          </w:p>
        </w:tc>
        <w:tc>
          <w:tcPr>
            <w:tcW w:w="1880" w:type="dxa"/>
            <w:vAlign w:val="bottom"/>
            <w:gridSpan w:val="2"/>
          </w:tcPr>
          <w:p>
            <w:pPr>
              <w:jc w:val="right"/>
              <w:spacing w:after="0"/>
              <w:rPr>
                <w:sz w:val="20"/>
                <w:szCs w:val="20"/>
                <w:color w:val="auto"/>
              </w:rPr>
            </w:pPr>
            <w:r>
              <w:rPr>
                <w:rFonts w:ascii="Arial" w:cs="Arial" w:eastAsia="Arial" w:hAnsi="Arial"/>
                <w:sz w:val="18"/>
                <w:szCs w:val="18"/>
                <w:color w:val="auto"/>
              </w:rPr>
              <w:t>258,275</w:t>
            </w:r>
          </w:p>
        </w:tc>
        <w:tc>
          <w:tcPr>
            <w:tcW w:w="920" w:type="dxa"/>
            <w:vAlign w:val="bottom"/>
            <w:gridSpan w:val="2"/>
          </w:tcPr>
          <w:p>
            <w:pPr>
              <w:jc w:val="right"/>
              <w:spacing w:after="0"/>
              <w:rPr>
                <w:sz w:val="20"/>
                <w:szCs w:val="20"/>
                <w:color w:val="auto"/>
              </w:rPr>
            </w:pPr>
            <w:r>
              <w:rPr>
                <w:rFonts w:ascii="Arial" w:cs="Arial" w:eastAsia="Arial" w:hAnsi="Arial"/>
                <w:sz w:val="18"/>
                <w:szCs w:val="18"/>
                <w:color w:val="auto"/>
              </w:rPr>
              <w:t>16,081</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274,356</w:t>
            </w:r>
          </w:p>
        </w:tc>
        <w:tc>
          <w:tcPr>
            <w:tcW w:w="60" w:type="dxa"/>
            <w:vAlign w:val="bottom"/>
          </w:tcPr>
          <w:p>
            <w:pPr>
              <w:spacing w:after="0"/>
              <w:rPr>
                <w:sz w:val="18"/>
                <w:szCs w:val="18"/>
                <w:color w:val="auto"/>
              </w:rPr>
            </w:pPr>
          </w:p>
        </w:tc>
      </w:tr>
      <w:tr>
        <w:trPr>
          <w:trHeight w:val="216"/>
        </w:trPr>
        <w:tc>
          <w:tcPr>
            <w:tcW w:w="52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2024</w:t>
            </w:r>
          </w:p>
        </w:tc>
        <w:tc>
          <w:tcPr>
            <w:tcW w:w="18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198,781</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12,119</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210,900</w:t>
            </w:r>
          </w:p>
        </w:tc>
        <w:tc>
          <w:tcPr>
            <w:tcW w:w="60" w:type="dxa"/>
            <w:vAlign w:val="bottom"/>
            <w:shd w:val="clear" w:color="auto" w:fill="CCEEFF"/>
          </w:tcPr>
          <w:p>
            <w:pPr>
              <w:spacing w:after="0"/>
              <w:rPr>
                <w:sz w:val="18"/>
                <w:szCs w:val="18"/>
                <w:color w:val="auto"/>
              </w:rPr>
            </w:pPr>
          </w:p>
        </w:tc>
      </w:tr>
      <w:tr>
        <w:trPr>
          <w:trHeight w:val="223"/>
        </w:trPr>
        <w:tc>
          <w:tcPr>
            <w:tcW w:w="5260" w:type="dxa"/>
            <w:vAlign w:val="bottom"/>
          </w:tcPr>
          <w:p>
            <w:pPr>
              <w:ind w:left="360"/>
              <w:spacing w:after="0"/>
              <w:rPr>
                <w:sz w:val="20"/>
                <w:szCs w:val="20"/>
                <w:color w:val="auto"/>
              </w:rPr>
            </w:pPr>
            <w:r>
              <w:rPr>
                <w:rFonts w:ascii="Arial" w:cs="Arial" w:eastAsia="Arial" w:hAnsi="Arial"/>
                <w:sz w:val="18"/>
                <w:szCs w:val="18"/>
                <w:color w:val="auto"/>
              </w:rPr>
              <w:t>2025 and thereafter</w:t>
            </w:r>
          </w:p>
        </w:tc>
        <w:tc>
          <w:tcPr>
            <w:tcW w:w="1060" w:type="dxa"/>
            <w:vAlign w:val="bottom"/>
          </w:tcPr>
          <w:p>
            <w:pPr>
              <w:spacing w:after="0"/>
              <w:rPr>
                <w:sz w:val="19"/>
                <w:szCs w:val="19"/>
                <w:color w:val="auto"/>
              </w:rPr>
            </w:pPr>
          </w:p>
        </w:tc>
        <w:tc>
          <w:tcPr>
            <w:tcW w:w="8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314,207</w:t>
            </w:r>
          </w:p>
        </w:tc>
        <w:tc>
          <w:tcPr>
            <w:tcW w:w="320" w:type="dxa"/>
            <w:vAlign w:val="bottom"/>
          </w:tcPr>
          <w:p>
            <w:pPr>
              <w:spacing w:after="0"/>
              <w:rPr>
                <w:sz w:val="19"/>
                <w:szCs w:val="19"/>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19,380</w:t>
            </w:r>
          </w:p>
        </w:tc>
        <w:tc>
          <w:tcPr>
            <w:tcW w:w="320" w:type="dxa"/>
            <w:vAlign w:val="bottom"/>
          </w:tcPr>
          <w:p>
            <w:pPr>
              <w:spacing w:after="0"/>
              <w:rPr>
                <w:sz w:val="19"/>
                <w:szCs w:val="19"/>
                <w:color w:val="auto"/>
              </w:rPr>
            </w:pPr>
          </w:p>
        </w:tc>
        <w:tc>
          <w:tcPr>
            <w:tcW w:w="8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333,587</w:t>
            </w:r>
          </w:p>
        </w:tc>
        <w:tc>
          <w:tcPr>
            <w:tcW w:w="60" w:type="dxa"/>
            <w:vAlign w:val="bottom"/>
          </w:tcPr>
          <w:p>
            <w:pPr>
              <w:spacing w:after="0"/>
              <w:rPr>
                <w:sz w:val="19"/>
                <w:szCs w:val="19"/>
                <w:color w:val="auto"/>
              </w:rPr>
            </w:pPr>
          </w:p>
        </w:tc>
      </w:tr>
      <w:tr>
        <w:trPr>
          <w:trHeight w:val="216"/>
        </w:trPr>
        <w:tc>
          <w:tcPr>
            <w:tcW w:w="5260" w:type="dxa"/>
            <w:vAlign w:val="bottom"/>
            <w:shd w:val="clear" w:color="auto" w:fill="CCEEFF"/>
          </w:tcPr>
          <w:p>
            <w:pPr>
              <w:ind w:left="720"/>
              <w:spacing w:after="0"/>
              <w:rPr>
                <w:sz w:val="20"/>
                <w:szCs w:val="20"/>
                <w:color w:val="auto"/>
              </w:rPr>
            </w:pPr>
            <w:r>
              <w:rPr>
                <w:rFonts w:ascii="Arial" w:cs="Arial" w:eastAsia="Arial" w:hAnsi="Arial"/>
                <w:sz w:val="18"/>
                <w:szCs w:val="18"/>
                <w:color w:val="auto"/>
              </w:rPr>
              <w:t>Total future minimum lease payments receivable</w:t>
            </w:r>
          </w:p>
        </w:tc>
        <w:tc>
          <w:tcPr>
            <w:tcW w:w="188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1,435,462</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99,522</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1,534,984</w:t>
            </w:r>
          </w:p>
        </w:tc>
        <w:tc>
          <w:tcPr>
            <w:tcW w:w="60" w:type="dxa"/>
            <w:vAlign w:val="bottom"/>
            <w:shd w:val="clear" w:color="auto" w:fill="CCEEFF"/>
          </w:tcPr>
          <w:p>
            <w:pPr>
              <w:spacing w:after="0"/>
              <w:rPr>
                <w:sz w:val="18"/>
                <w:szCs w:val="18"/>
                <w:color w:val="auto"/>
              </w:rPr>
            </w:pPr>
          </w:p>
        </w:tc>
      </w:tr>
      <w:tr>
        <w:trPr>
          <w:trHeight w:val="20"/>
        </w:trPr>
        <w:tc>
          <w:tcPr>
            <w:tcW w:w="526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323" w:lineRule="exact"/>
        <w:rPr>
          <w:sz w:val="20"/>
          <w:szCs w:val="20"/>
          <w:color w:val="auto"/>
        </w:rPr>
      </w:pPr>
    </w:p>
    <w:p>
      <w:pPr>
        <w:ind w:left="444"/>
        <w:spacing w:after="0"/>
        <w:rPr>
          <w:sz w:val="20"/>
          <w:szCs w:val="20"/>
          <w:color w:val="auto"/>
        </w:rPr>
      </w:pPr>
      <w:r>
        <w:rPr>
          <w:rFonts w:ascii="Arial" w:cs="Arial" w:eastAsia="Arial" w:hAnsi="Arial"/>
          <w:sz w:val="18"/>
          <w:szCs w:val="18"/>
          <w:i w:val="1"/>
          <w:iCs w:val="1"/>
          <w:color w:val="auto"/>
        </w:rPr>
        <w:t>Container Leaseback Financing Receivable</w:t>
      </w:r>
    </w:p>
    <w:p>
      <w:pPr>
        <w:spacing w:after="0" w:line="117" w:lineRule="exact"/>
        <w:rPr>
          <w:sz w:val="20"/>
          <w:szCs w:val="20"/>
          <w:color w:val="auto"/>
        </w:rPr>
      </w:pPr>
    </w:p>
    <w:p>
      <w:pPr>
        <w:ind w:left="4" w:right="20" w:firstLine="440"/>
        <w:spacing w:after="0" w:line="263" w:lineRule="auto"/>
        <w:rPr>
          <w:sz w:val="20"/>
          <w:szCs w:val="20"/>
          <w:color w:val="auto"/>
        </w:rPr>
      </w:pPr>
      <w:r>
        <w:rPr>
          <w:rFonts w:ascii="Arial" w:cs="Arial" w:eastAsia="Arial" w:hAnsi="Arial"/>
          <w:sz w:val="18"/>
          <w:szCs w:val="18"/>
          <w:color w:val="auto"/>
        </w:rPr>
        <w:t>The Company’s container leaseback financing receivable pertains to containers purchased that were leased back to the seller-lessees through a sales-type leaseback arrangement. Under the provisions of Topic 842, these transactions from an accounting perspective are accounted for as financing transactions.</w:t>
      </w:r>
    </w:p>
    <w:p>
      <w:pPr>
        <w:spacing w:after="0" w:line="184" w:lineRule="exact"/>
        <w:rPr>
          <w:sz w:val="20"/>
          <w:szCs w:val="20"/>
          <w:color w:val="auto"/>
        </w:rPr>
      </w:pPr>
    </w:p>
    <w:p>
      <w:pPr>
        <w:ind w:left="444"/>
        <w:spacing w:after="0"/>
        <w:rPr>
          <w:sz w:val="20"/>
          <w:szCs w:val="20"/>
          <w:color w:val="auto"/>
        </w:rPr>
      </w:pPr>
      <w:r>
        <w:rPr>
          <w:rFonts w:ascii="Arial" w:cs="Arial" w:eastAsia="Arial" w:hAnsi="Arial"/>
          <w:sz w:val="17"/>
          <w:szCs w:val="17"/>
          <w:color w:val="auto"/>
        </w:rPr>
        <w:t>The following table represents the components of the container leaseback financing receivable as of December 31, 2020 and 2019:</w:t>
      </w:r>
    </w:p>
    <w:p>
      <w:pPr>
        <w:spacing w:after="0" w:line="255" w:lineRule="exact"/>
        <w:rPr>
          <w:sz w:val="20"/>
          <w:szCs w:val="20"/>
          <w:color w:val="auto"/>
        </w:rPr>
      </w:pPr>
    </w:p>
    <w:tbl>
      <w:tblPr>
        <w:tblLayout w:type="fixed"/>
        <w:tblInd w:w="1324" w:type="dxa"/>
        <w:tblCellMar>
          <w:top w:w="0" w:type="dxa"/>
          <w:left w:w="0" w:type="dxa"/>
          <w:bottom w:w="0" w:type="dxa"/>
          <w:right w:w="0" w:type="dxa"/>
        </w:tblCellMar>
      </w:tblPr>
      <w:tr>
        <w:trPr>
          <w:trHeight w:val="171"/>
        </w:trPr>
        <w:tc>
          <w:tcPr>
            <w:tcW w:w="6360" w:type="dxa"/>
            <w:vAlign w:val="bottom"/>
          </w:tcPr>
          <w:p>
            <w:pPr>
              <w:spacing w:after="0"/>
              <w:rPr>
                <w:sz w:val="14"/>
                <w:szCs w:val="14"/>
                <w:color w:val="auto"/>
              </w:rPr>
            </w:pPr>
          </w:p>
        </w:tc>
        <w:tc>
          <w:tcPr>
            <w:tcW w:w="740" w:type="dxa"/>
            <w:vAlign w:val="bottom"/>
            <w:gridSpan w:val="2"/>
          </w:tcPr>
          <w:p>
            <w:pPr>
              <w:jc w:val="right"/>
              <w:ind w:right="130"/>
              <w:spacing w:after="0"/>
              <w:rPr>
                <w:sz w:val="20"/>
                <w:szCs w:val="20"/>
                <w:color w:val="auto"/>
              </w:rPr>
            </w:pPr>
            <w:r>
              <w:rPr>
                <w:rFonts w:ascii="Arial" w:cs="Arial" w:eastAsia="Arial" w:hAnsi="Arial"/>
                <w:sz w:val="14"/>
                <w:szCs w:val="14"/>
                <w:b w:val="1"/>
                <w:bCs w:val="1"/>
                <w:color w:val="auto"/>
              </w:rPr>
              <w:t>2020</w:t>
            </w:r>
          </w:p>
        </w:tc>
        <w:tc>
          <w:tcPr>
            <w:tcW w:w="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20" w:type="dxa"/>
            <w:vAlign w:val="bottom"/>
            <w:gridSpan w:val="2"/>
          </w:tcPr>
          <w:p>
            <w:pPr>
              <w:jc w:val="right"/>
              <w:ind w:right="130"/>
              <w:spacing w:after="0"/>
              <w:rPr>
                <w:sz w:val="20"/>
                <w:szCs w:val="20"/>
                <w:color w:val="auto"/>
              </w:rPr>
            </w:pPr>
            <w:r>
              <w:rPr>
                <w:rFonts w:ascii="Arial" w:cs="Arial" w:eastAsia="Arial" w:hAnsi="Arial"/>
                <w:sz w:val="14"/>
                <w:szCs w:val="14"/>
                <w:b w:val="1"/>
                <w:bCs w:val="1"/>
                <w:color w:val="auto"/>
              </w:rPr>
              <w:t>2019</w:t>
            </w: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63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Future minimum payments receivable</w:t>
            </w:r>
          </w:p>
        </w:tc>
        <w:tc>
          <w:tcPr>
            <w:tcW w:w="20" w:type="dxa"/>
            <w:vAlign w:val="bottom"/>
            <w:tcBorders>
              <w:top w:val="single" w:sz="8" w:color="CCEEFF"/>
            </w:tcBorders>
            <w:shd w:val="clear" w:color="auto" w:fill="CCEEFF"/>
          </w:tcPr>
          <w:p>
            <w:pPr>
              <w:spacing w:after="0"/>
              <w:rPr>
                <w:sz w:val="18"/>
                <w:szCs w:val="18"/>
                <w:color w:val="auto"/>
              </w:rPr>
            </w:pPr>
          </w:p>
        </w:tc>
        <w:tc>
          <w:tcPr>
            <w:tcW w:w="7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7"/>
              </w:rPr>
              <w:t>$ 505,473</w:t>
            </w:r>
          </w:p>
        </w:tc>
        <w:tc>
          <w:tcPr>
            <w:tcW w:w="20" w:type="dxa"/>
            <w:vAlign w:val="bottom"/>
            <w:tcBorders>
              <w:top w:val="single" w:sz="8" w:color="CCEEFF"/>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7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9"/>
              </w:rPr>
              <w:t>$ 377,917</w:t>
            </w:r>
          </w:p>
        </w:tc>
        <w:tc>
          <w:tcPr>
            <w:tcW w:w="10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360" w:type="dxa"/>
            <w:vAlign w:val="bottom"/>
          </w:tcPr>
          <w:p>
            <w:pPr>
              <w:spacing w:after="0"/>
              <w:rPr>
                <w:sz w:val="20"/>
                <w:szCs w:val="20"/>
                <w:color w:val="auto"/>
              </w:rPr>
            </w:pPr>
            <w:r>
              <w:rPr>
                <w:rFonts w:ascii="Arial" w:cs="Arial" w:eastAsia="Arial" w:hAnsi="Arial"/>
                <w:sz w:val="18"/>
                <w:szCs w:val="18"/>
                <w:color w:val="auto"/>
              </w:rPr>
              <w:t>Less: unearned income</w:t>
            </w:r>
          </w:p>
        </w:tc>
        <w:tc>
          <w:tcPr>
            <w:tcW w:w="20" w:type="dxa"/>
            <w:vAlign w:val="bottom"/>
          </w:tcPr>
          <w:p>
            <w:pPr>
              <w:spacing w:after="0"/>
              <w:rPr>
                <w:sz w:val="18"/>
                <w:szCs w:val="18"/>
                <w:color w:val="auto"/>
              </w:rPr>
            </w:pPr>
          </w:p>
        </w:tc>
        <w:tc>
          <w:tcPr>
            <w:tcW w:w="960" w:type="dxa"/>
            <w:vAlign w:val="bottom"/>
            <w:gridSpan w:val="3"/>
          </w:tcPr>
          <w:p>
            <w:pPr>
              <w:jc w:val="right"/>
              <w:ind w:right="180"/>
              <w:spacing w:after="0"/>
              <w:rPr>
                <w:sz w:val="20"/>
                <w:szCs w:val="20"/>
                <w:color w:val="auto"/>
              </w:rPr>
            </w:pPr>
            <w:r>
              <w:rPr>
                <w:rFonts w:ascii="Arial" w:cs="Arial" w:eastAsia="Arial" w:hAnsi="Arial"/>
                <w:sz w:val="18"/>
                <w:szCs w:val="18"/>
                <w:color w:val="auto"/>
                <w:w w:val="98"/>
              </w:rPr>
              <w:t>(141,181)</w:t>
            </w:r>
          </w:p>
        </w:tc>
        <w:tc>
          <w:tcPr>
            <w:tcW w:w="1020" w:type="dxa"/>
            <w:vAlign w:val="bottom"/>
            <w:gridSpan w:val="3"/>
          </w:tcPr>
          <w:p>
            <w:pPr>
              <w:jc w:val="right"/>
              <w:ind w:right="40"/>
              <w:spacing w:after="0"/>
              <w:rPr>
                <w:sz w:val="20"/>
                <w:szCs w:val="20"/>
                <w:color w:val="auto"/>
              </w:rPr>
            </w:pPr>
            <w:r>
              <w:rPr>
                <w:rFonts w:ascii="Arial" w:cs="Arial" w:eastAsia="Arial" w:hAnsi="Arial"/>
                <w:sz w:val="18"/>
                <w:szCs w:val="18"/>
                <w:color w:val="auto"/>
              </w:rPr>
              <w:t>(106,259)</w:t>
            </w:r>
          </w:p>
        </w:tc>
        <w:tc>
          <w:tcPr>
            <w:tcW w:w="0" w:type="dxa"/>
            <w:vAlign w:val="bottom"/>
          </w:tcPr>
          <w:p>
            <w:pPr>
              <w:spacing w:after="0"/>
              <w:rPr>
                <w:sz w:val="1"/>
                <w:szCs w:val="1"/>
                <w:color w:val="auto"/>
              </w:rPr>
            </w:pPr>
          </w:p>
        </w:tc>
      </w:tr>
      <w:tr>
        <w:trPr>
          <w:trHeight w:val="27"/>
        </w:trPr>
        <w:tc>
          <w:tcPr>
            <w:tcW w:w="6360" w:type="dxa"/>
            <w:vAlign w:val="bottom"/>
          </w:tcPr>
          <w:p>
            <w:pPr>
              <w:spacing w:after="0"/>
              <w:rPr>
                <w:sz w:val="2"/>
                <w:szCs w:val="2"/>
                <w:color w:val="auto"/>
              </w:rPr>
            </w:pPr>
          </w:p>
        </w:tc>
        <w:tc>
          <w:tcPr>
            <w:tcW w:w="20" w:type="dxa"/>
            <w:vAlign w:val="bottom"/>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220" w:type="dxa"/>
            <w:vAlign w:val="bottom"/>
          </w:tcPr>
          <w:p>
            <w:pPr>
              <w:spacing w:after="0"/>
              <w:rPr>
                <w:sz w:val="2"/>
                <w:szCs w:val="2"/>
                <w:color w:val="auto"/>
              </w:rPr>
            </w:pPr>
          </w:p>
        </w:tc>
        <w:tc>
          <w:tcPr>
            <w:tcW w:w="180" w:type="dxa"/>
            <w:vAlign w:val="bottom"/>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3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Container leaseback financing receivable (1)</w:t>
            </w:r>
          </w:p>
        </w:tc>
        <w:tc>
          <w:tcPr>
            <w:tcW w:w="20" w:type="dxa"/>
            <w:vAlign w:val="bottom"/>
            <w:shd w:val="clear" w:color="auto" w:fill="CCEEFF"/>
          </w:tcPr>
          <w:p>
            <w:pPr>
              <w:spacing w:after="0"/>
              <w:rPr>
                <w:sz w:val="18"/>
                <w:szCs w:val="18"/>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364,292</w:t>
            </w:r>
          </w:p>
        </w:tc>
        <w:tc>
          <w:tcPr>
            <w:tcW w:w="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2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$ 271,658</w:t>
            </w:r>
          </w:p>
        </w:tc>
        <w:tc>
          <w:tcPr>
            <w:tcW w:w="0" w:type="dxa"/>
            <w:vAlign w:val="bottom"/>
          </w:tcPr>
          <w:p>
            <w:pPr>
              <w:spacing w:after="0"/>
              <w:rPr>
                <w:sz w:val="1"/>
                <w:szCs w:val="1"/>
                <w:color w:val="auto"/>
              </w:rPr>
            </w:pPr>
          </w:p>
        </w:tc>
      </w:tr>
      <w:tr>
        <w:trPr>
          <w:trHeight w:val="216"/>
        </w:trPr>
        <w:tc>
          <w:tcPr>
            <w:tcW w:w="6360" w:type="dxa"/>
            <w:vAlign w:val="bottom"/>
          </w:tcPr>
          <w:p>
            <w:pPr>
              <w:ind w:left="360"/>
              <w:spacing w:after="0"/>
              <w:rPr>
                <w:sz w:val="20"/>
                <w:szCs w:val="20"/>
                <w:color w:val="auto"/>
              </w:rPr>
            </w:pPr>
            <w:r>
              <w:rPr>
                <w:rFonts w:ascii="Arial" w:cs="Arial" w:eastAsia="Arial" w:hAnsi="Arial"/>
                <w:sz w:val="18"/>
                <w:szCs w:val="18"/>
                <w:color w:val="auto"/>
              </w:rPr>
              <w:t>Less: Allowance for credit losses</w:t>
            </w:r>
          </w:p>
        </w:tc>
        <w:tc>
          <w:tcPr>
            <w:tcW w:w="20" w:type="dxa"/>
            <w:vAlign w:val="bottom"/>
          </w:tcPr>
          <w:p>
            <w:pPr>
              <w:spacing w:after="0"/>
              <w:rPr>
                <w:sz w:val="18"/>
                <w:szCs w:val="18"/>
                <w:color w:val="auto"/>
              </w:rPr>
            </w:pPr>
          </w:p>
        </w:tc>
        <w:tc>
          <w:tcPr>
            <w:tcW w:w="960" w:type="dxa"/>
            <w:vAlign w:val="bottom"/>
            <w:gridSpan w:val="3"/>
          </w:tcPr>
          <w:p>
            <w:pPr>
              <w:jc w:val="right"/>
              <w:ind w:right="180"/>
              <w:spacing w:after="0"/>
              <w:rPr>
                <w:sz w:val="20"/>
                <w:szCs w:val="20"/>
                <w:color w:val="auto"/>
              </w:rPr>
            </w:pPr>
            <w:r>
              <w:rPr>
                <w:rFonts w:ascii="Arial" w:cs="Arial" w:eastAsia="Arial" w:hAnsi="Arial"/>
                <w:sz w:val="18"/>
                <w:szCs w:val="18"/>
                <w:color w:val="auto"/>
              </w:rPr>
              <w:t>(424)</w:t>
            </w:r>
          </w:p>
        </w:tc>
        <w:tc>
          <w:tcPr>
            <w:tcW w:w="180" w:type="dxa"/>
            <w:vAlign w:val="bottom"/>
          </w:tcPr>
          <w:p>
            <w:pPr>
              <w:spacing w:after="0"/>
              <w:rPr>
                <w:sz w:val="18"/>
                <w:szCs w:val="18"/>
                <w:color w:val="auto"/>
              </w:rPr>
            </w:pPr>
          </w:p>
        </w:tc>
        <w:tc>
          <w:tcPr>
            <w:tcW w:w="84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
        </w:trPr>
        <w:tc>
          <w:tcPr>
            <w:tcW w:w="6360" w:type="dxa"/>
            <w:vAlign w:val="bottom"/>
          </w:tcPr>
          <w:p>
            <w:pPr>
              <w:spacing w:after="0"/>
              <w:rPr>
                <w:sz w:val="2"/>
                <w:szCs w:val="2"/>
                <w:color w:val="auto"/>
              </w:rPr>
            </w:pPr>
          </w:p>
        </w:tc>
        <w:tc>
          <w:tcPr>
            <w:tcW w:w="20" w:type="dxa"/>
            <w:vAlign w:val="bottom"/>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220" w:type="dxa"/>
            <w:vAlign w:val="bottom"/>
          </w:tcPr>
          <w:p>
            <w:pPr>
              <w:spacing w:after="0"/>
              <w:rPr>
                <w:sz w:val="2"/>
                <w:szCs w:val="2"/>
                <w:color w:val="auto"/>
              </w:rPr>
            </w:pPr>
          </w:p>
        </w:tc>
        <w:tc>
          <w:tcPr>
            <w:tcW w:w="180" w:type="dxa"/>
            <w:vAlign w:val="bottom"/>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360" w:type="dxa"/>
            <w:vAlign w:val="bottom"/>
            <w:shd w:val="clear" w:color="auto" w:fill="CCEEFF"/>
          </w:tcPr>
          <w:p>
            <w:pPr>
              <w:ind w:left="720"/>
              <w:spacing w:after="0"/>
              <w:rPr>
                <w:sz w:val="20"/>
                <w:szCs w:val="20"/>
                <w:color w:val="auto"/>
              </w:rPr>
            </w:pPr>
            <w:r>
              <w:rPr>
                <w:rFonts w:ascii="Arial" w:cs="Arial" w:eastAsia="Arial" w:hAnsi="Arial"/>
                <w:sz w:val="18"/>
                <w:szCs w:val="18"/>
                <w:color w:val="auto"/>
              </w:rPr>
              <w:t>Container leaseback financing receivable, net</w:t>
            </w:r>
          </w:p>
        </w:tc>
        <w:tc>
          <w:tcPr>
            <w:tcW w:w="760" w:type="dxa"/>
            <w:vAlign w:val="bottom"/>
            <w:gridSpan w:val="3"/>
            <w:shd w:val="clear" w:color="auto" w:fill="CCEEFF"/>
          </w:tcPr>
          <w:p>
            <w:pPr>
              <w:jc w:val="right"/>
              <w:ind w:right="20"/>
              <w:spacing w:after="0"/>
              <w:rPr>
                <w:sz w:val="20"/>
                <w:szCs w:val="20"/>
                <w:color w:val="auto"/>
              </w:rPr>
            </w:pPr>
            <w:r>
              <w:rPr>
                <w:rFonts w:ascii="Arial" w:cs="Arial" w:eastAsia="Arial" w:hAnsi="Arial"/>
                <w:sz w:val="18"/>
                <w:szCs w:val="18"/>
                <w:color w:val="auto"/>
                <w:w w:val="89"/>
              </w:rPr>
              <w:t>$ 363,868</w:t>
            </w:r>
          </w:p>
        </w:tc>
        <w:tc>
          <w:tcPr>
            <w:tcW w:w="220" w:type="dxa"/>
            <w:vAlign w:val="bottom"/>
            <w:shd w:val="clear" w:color="auto" w:fill="CCEEFF"/>
          </w:tcPr>
          <w:p>
            <w:pPr>
              <w:spacing w:after="0"/>
              <w:rPr>
                <w:sz w:val="18"/>
                <w:szCs w:val="18"/>
                <w:color w:val="auto"/>
              </w:rPr>
            </w:pPr>
          </w:p>
        </w:tc>
        <w:tc>
          <w:tcPr>
            <w:tcW w:w="102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$ 271,658</w:t>
            </w:r>
          </w:p>
        </w:tc>
        <w:tc>
          <w:tcPr>
            <w:tcW w:w="0" w:type="dxa"/>
            <w:vAlign w:val="bottom"/>
          </w:tcPr>
          <w:p>
            <w:pPr>
              <w:spacing w:after="0"/>
              <w:rPr>
                <w:sz w:val="1"/>
                <w:szCs w:val="1"/>
                <w:color w:val="auto"/>
              </w:rPr>
            </w:pPr>
          </w:p>
        </w:tc>
      </w:tr>
      <w:tr>
        <w:trPr>
          <w:trHeight w:val="20"/>
        </w:trPr>
        <w:tc>
          <w:tcPr>
            <w:tcW w:w="6360" w:type="dxa"/>
            <w:vAlign w:val="bottom"/>
            <w:vMerge w:val="restart"/>
          </w:tcPr>
          <w:p>
            <w:pPr>
              <w:spacing w:after="0"/>
              <w:rPr>
                <w:sz w:val="20"/>
                <w:szCs w:val="20"/>
                <w:color w:val="auto"/>
              </w:rPr>
            </w:pPr>
            <w:r>
              <w:rPr>
                <w:rFonts w:ascii="Arial" w:cs="Arial" w:eastAsia="Arial" w:hAnsi="Arial"/>
                <w:sz w:val="18"/>
                <w:szCs w:val="18"/>
                <w:color w:val="auto"/>
              </w:rPr>
              <w:t>Amounts due within one year</w:t>
            </w:r>
          </w:p>
        </w:tc>
        <w:tc>
          <w:tcPr>
            <w:tcW w:w="20" w:type="dxa"/>
            <w:vAlign w:val="bottom"/>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6360" w:type="dxa"/>
            <w:vAlign w:val="bottom"/>
            <w:vMerge w:val="continue"/>
          </w:tcPr>
          <w:p>
            <w:pPr>
              <w:spacing w:after="0"/>
              <w:rPr>
                <w:sz w:val="18"/>
                <w:szCs w:val="18"/>
                <w:color w:val="auto"/>
              </w:rPr>
            </w:pPr>
          </w:p>
        </w:tc>
        <w:tc>
          <w:tcPr>
            <w:tcW w:w="20" w:type="dxa"/>
            <w:vAlign w:val="bottom"/>
          </w:tcPr>
          <w:p>
            <w:pPr>
              <w:spacing w:after="0"/>
              <w:rPr>
                <w:sz w:val="18"/>
                <w:szCs w:val="18"/>
                <w:color w:val="auto"/>
              </w:rPr>
            </w:pPr>
          </w:p>
        </w:tc>
        <w:tc>
          <w:tcPr>
            <w:tcW w:w="720" w:type="dxa"/>
            <w:vAlign w:val="bottom"/>
          </w:tcPr>
          <w:p>
            <w:pPr>
              <w:jc w:val="right"/>
              <w:spacing w:after="0"/>
              <w:rPr>
                <w:sz w:val="20"/>
                <w:szCs w:val="20"/>
                <w:color w:val="auto"/>
              </w:rPr>
            </w:pPr>
            <w:r>
              <w:rPr>
                <w:rFonts w:ascii="Arial" w:cs="Arial" w:eastAsia="Arial" w:hAnsi="Arial"/>
                <w:sz w:val="18"/>
                <w:szCs w:val="18"/>
                <w:color w:val="auto"/>
              </w:rPr>
              <w:t>27,076</w:t>
            </w:r>
          </w:p>
        </w:tc>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20,547</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360" w:type="dxa"/>
            <w:vAlign w:val="bottom"/>
            <w:shd w:val="clear" w:color="auto" w:fill="CCEEFF"/>
          </w:tcPr>
          <w:p>
            <w:pPr>
              <w:spacing w:after="0"/>
              <w:rPr>
                <w:sz w:val="20"/>
                <w:szCs w:val="20"/>
                <w:color w:val="auto"/>
              </w:rPr>
            </w:pPr>
            <w:r>
              <w:rPr>
                <w:rFonts w:ascii="Arial" w:cs="Arial" w:eastAsia="Arial" w:hAnsi="Arial"/>
                <w:sz w:val="18"/>
                <w:szCs w:val="18"/>
                <w:color w:val="auto"/>
              </w:rPr>
              <w:t>Amounts due beyond one year</w:t>
            </w:r>
          </w:p>
        </w:tc>
        <w:tc>
          <w:tcPr>
            <w:tcW w:w="760" w:type="dxa"/>
            <w:vAlign w:val="bottom"/>
            <w:gridSpan w:val="3"/>
            <w:shd w:val="clear" w:color="auto" w:fill="CCEEFF"/>
          </w:tcPr>
          <w:p>
            <w:pPr>
              <w:jc w:val="right"/>
              <w:ind w:right="20"/>
              <w:spacing w:after="0"/>
              <w:rPr>
                <w:sz w:val="20"/>
                <w:szCs w:val="20"/>
                <w:color w:val="auto"/>
              </w:rPr>
            </w:pPr>
            <w:r>
              <w:rPr>
                <w:rFonts w:ascii="Arial" w:cs="Arial" w:eastAsia="Arial" w:hAnsi="Arial"/>
                <w:sz w:val="18"/>
                <w:szCs w:val="18"/>
                <w:color w:val="auto"/>
              </w:rPr>
              <w:t>336,792</w:t>
            </w:r>
          </w:p>
        </w:tc>
        <w:tc>
          <w:tcPr>
            <w:tcW w:w="220" w:type="dxa"/>
            <w:vAlign w:val="bottom"/>
            <w:shd w:val="clear" w:color="auto" w:fill="CCEEFF"/>
          </w:tcPr>
          <w:p>
            <w:pPr>
              <w:spacing w:after="0"/>
              <w:rPr>
                <w:sz w:val="18"/>
                <w:szCs w:val="18"/>
                <w:color w:val="auto"/>
              </w:rPr>
            </w:pPr>
          </w:p>
        </w:tc>
        <w:tc>
          <w:tcPr>
            <w:tcW w:w="102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251,111</w:t>
            </w:r>
          </w:p>
        </w:tc>
        <w:tc>
          <w:tcPr>
            <w:tcW w:w="0" w:type="dxa"/>
            <w:vAlign w:val="bottom"/>
          </w:tcPr>
          <w:p>
            <w:pPr>
              <w:spacing w:after="0"/>
              <w:rPr>
                <w:sz w:val="1"/>
                <w:szCs w:val="1"/>
                <w:color w:val="auto"/>
              </w:rPr>
            </w:pPr>
          </w:p>
        </w:tc>
      </w:tr>
      <w:tr>
        <w:trPr>
          <w:trHeight w:val="223"/>
        </w:trPr>
        <w:tc>
          <w:tcPr>
            <w:tcW w:w="6360" w:type="dxa"/>
            <w:vAlign w:val="bottom"/>
          </w:tcPr>
          <w:p>
            <w:pPr>
              <w:ind w:left="720"/>
              <w:spacing w:after="0"/>
              <w:rPr>
                <w:sz w:val="20"/>
                <w:szCs w:val="20"/>
                <w:color w:val="auto"/>
              </w:rPr>
            </w:pPr>
            <w:r>
              <w:rPr>
                <w:rFonts w:ascii="Arial" w:cs="Arial" w:eastAsia="Arial" w:hAnsi="Arial"/>
                <w:sz w:val="18"/>
                <w:szCs w:val="18"/>
                <w:color w:val="auto"/>
              </w:rPr>
              <w:t>Container leaseback financing receivable, net</w:t>
            </w:r>
          </w:p>
        </w:tc>
        <w:tc>
          <w:tcPr>
            <w:tcW w:w="20" w:type="dxa"/>
            <w:vAlign w:val="bottom"/>
            <w:tcBorders>
              <w:bottom w:val="single" w:sz="8" w:color="auto"/>
            </w:tcBorders>
          </w:tcPr>
          <w:p>
            <w:pPr>
              <w:spacing w:after="0"/>
              <w:rPr>
                <w:sz w:val="19"/>
                <w:szCs w:val="19"/>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$ 363,868</w:t>
            </w:r>
          </w:p>
        </w:tc>
        <w:tc>
          <w:tcPr>
            <w:tcW w:w="20" w:type="dxa"/>
            <w:vAlign w:val="bottom"/>
            <w:tcBorders>
              <w:bottom w:val="single" w:sz="8" w:color="auto"/>
            </w:tcBorders>
          </w:tcPr>
          <w:p>
            <w:pPr>
              <w:spacing w:after="0"/>
              <w:rPr>
                <w:sz w:val="19"/>
                <w:szCs w:val="19"/>
                <w:color w:val="auto"/>
              </w:rPr>
            </w:pPr>
          </w:p>
        </w:tc>
        <w:tc>
          <w:tcPr>
            <w:tcW w:w="2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9"/>
              </w:rPr>
              <w:t>$ 271,658</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63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42" w:lineRule="exact"/>
        <w:rPr>
          <w:sz w:val="20"/>
          <w:szCs w:val="20"/>
          <w:color w:val="auto"/>
        </w:rPr>
      </w:pPr>
    </w:p>
    <w:p>
      <w:pPr>
        <w:ind w:left="424" w:hanging="424"/>
        <w:spacing w:after="0" w:line="342" w:lineRule="auto"/>
        <w:tabs>
          <w:tab w:leader="none" w:pos="424" w:val="left"/>
        </w:tabs>
        <w:numPr>
          <w:ilvl w:val="0"/>
          <w:numId w:val="119"/>
        </w:numPr>
        <w:rPr>
          <w:rFonts w:ascii="Arial" w:cs="Arial" w:eastAsia="Arial" w:hAnsi="Arial"/>
          <w:sz w:val="16"/>
          <w:szCs w:val="16"/>
          <w:color w:val="auto"/>
        </w:rPr>
      </w:pPr>
      <w:r>
        <w:rPr>
          <w:rFonts w:ascii="Arial" w:cs="Arial" w:eastAsia="Arial" w:hAnsi="Arial"/>
          <w:sz w:val="16"/>
          <w:szCs w:val="16"/>
          <w:color w:val="auto"/>
        </w:rPr>
        <w:t>As of December 31, 2020, two customers represented 89.7% and 10.3% of the Company’s container leaseback financing receivable portfolio. As of December 31, 2019, two customers represented 82.9% and 17.1% of the Company’s container leaseback financing receivable portfolio.</w:t>
      </w:r>
    </w:p>
    <w:p>
      <w:pPr>
        <w:spacing w:after="0" w:line="56" w:lineRule="exact"/>
        <w:rPr>
          <w:sz w:val="20"/>
          <w:szCs w:val="20"/>
          <w:color w:val="auto"/>
        </w:rPr>
      </w:pPr>
    </w:p>
    <w:p>
      <w:pPr>
        <w:jc w:val="center"/>
        <w:ind w:right="-143"/>
        <w:spacing w:after="0"/>
        <w:rPr>
          <w:sz w:val="20"/>
          <w:szCs w:val="20"/>
          <w:color w:val="auto"/>
        </w:rPr>
      </w:pPr>
      <w:r>
        <w:rPr>
          <w:rFonts w:ascii="Arial" w:cs="Arial" w:eastAsia="Arial" w:hAnsi="Arial"/>
          <w:sz w:val="18"/>
          <w:szCs w:val="18"/>
          <w:color w:val="auto"/>
        </w:rPr>
        <w:t>F-30</w:t>
      </w:r>
    </w:p>
    <w:p>
      <w:pPr>
        <w:sectPr>
          <w:pgSz w:w="11900" w:h="16838" w:orient="portrait"/>
          <w:cols w:equalWidth="0" w:num="1">
            <w:col w:w="10884"/>
          </w:cols>
          <w:pgMar w:left="436" w:top="274" w:right="579" w:bottom="1440" w:gutter="0" w:footer="0" w:header="0"/>
        </w:sectPr>
      </w:pPr>
    </w:p>
    <w:bookmarkStart w:id="144" w:name="page145"/>
    <w:bookmarkEnd w:id="144"/>
    <w:p>
      <w:pPr>
        <w:ind w:left="444"/>
        <w:spacing w:after="0"/>
        <w:rPr>
          <w:sz w:val="20"/>
          <w:szCs w:val="20"/>
          <w:color w:val="auto"/>
        </w:rPr>
      </w:pPr>
      <w:r>
        <w:rPr>
          <w:rFonts w:ascii="Arial" w:cs="Arial" w:eastAsia="Arial" w:hAnsi="Arial"/>
          <w:sz w:val="18"/>
          <w:szCs w:val="18"/>
          <w:i w:val="1"/>
          <w:i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Net Investment in Finance Leases</w:t>
      </w:r>
    </w:p>
    <w:p>
      <w:pPr>
        <w:spacing w:after="0" w:line="117" w:lineRule="exact"/>
        <w:rPr>
          <w:sz w:val="20"/>
          <w:szCs w:val="20"/>
          <w:color w:val="auto"/>
        </w:rPr>
      </w:pPr>
    </w:p>
    <w:p>
      <w:pPr>
        <w:ind w:left="444"/>
        <w:spacing w:after="0"/>
        <w:rPr>
          <w:sz w:val="20"/>
          <w:szCs w:val="20"/>
          <w:color w:val="auto"/>
        </w:rPr>
      </w:pPr>
      <w:r>
        <w:rPr>
          <w:rFonts w:ascii="Arial" w:cs="Arial" w:eastAsia="Arial" w:hAnsi="Arial"/>
          <w:sz w:val="18"/>
          <w:szCs w:val="18"/>
          <w:color w:val="auto"/>
        </w:rPr>
        <w:t>The following table represents the components of the net investment in finance leases as of December 31, 2020 and 2019:</w:t>
      </w:r>
    </w:p>
    <w:p>
      <w:pPr>
        <w:spacing w:after="0" w:line="244" w:lineRule="exact"/>
        <w:rPr>
          <w:sz w:val="20"/>
          <w:szCs w:val="20"/>
          <w:color w:val="auto"/>
        </w:rPr>
      </w:pPr>
    </w:p>
    <w:tbl>
      <w:tblPr>
        <w:tblLayout w:type="fixed"/>
        <w:tblInd w:w="1324" w:type="dxa"/>
        <w:tblCellMar>
          <w:top w:w="0" w:type="dxa"/>
          <w:left w:w="0" w:type="dxa"/>
          <w:bottom w:w="0" w:type="dxa"/>
          <w:right w:w="0" w:type="dxa"/>
        </w:tblCellMar>
      </w:tblPr>
      <w:tr>
        <w:trPr>
          <w:trHeight w:val="171"/>
        </w:trPr>
        <w:tc>
          <w:tcPr>
            <w:tcW w:w="634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tcPr>
          <w:p>
            <w:pPr>
              <w:jc w:val="right"/>
              <w:ind w:right="172"/>
              <w:spacing w:after="0"/>
              <w:rPr>
                <w:sz w:val="20"/>
                <w:szCs w:val="20"/>
                <w:color w:val="auto"/>
              </w:rPr>
            </w:pPr>
            <w:r>
              <w:rPr>
                <w:rFonts w:ascii="Arial" w:cs="Arial" w:eastAsia="Arial" w:hAnsi="Arial"/>
                <w:sz w:val="14"/>
                <w:szCs w:val="14"/>
                <w:b w:val="1"/>
                <w:bCs w:val="1"/>
                <w:color w:val="auto"/>
              </w:rPr>
              <w:t>2020</w:t>
            </w:r>
          </w:p>
        </w:tc>
        <w:tc>
          <w:tcPr>
            <w:tcW w:w="220" w:type="dxa"/>
            <w:vAlign w:val="bottom"/>
            <w:tcBorders>
              <w:bottom w:val="single" w:sz="8" w:color="CCEEFF"/>
            </w:tcBorders>
          </w:tcPr>
          <w:p>
            <w:pPr>
              <w:spacing w:after="0"/>
              <w:rPr>
                <w:sz w:val="14"/>
                <w:szCs w:val="14"/>
                <w:color w:val="auto"/>
              </w:rPr>
            </w:pPr>
          </w:p>
        </w:tc>
        <w:tc>
          <w:tcPr>
            <w:tcW w:w="14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640" w:type="dxa"/>
            <w:vAlign w:val="bottom"/>
            <w:tcBorders>
              <w:bottom w:val="single" w:sz="8" w:color="auto"/>
            </w:tcBorders>
          </w:tcPr>
          <w:p>
            <w:pPr>
              <w:jc w:val="right"/>
              <w:ind w:right="132"/>
              <w:spacing w:after="0"/>
              <w:rPr>
                <w:sz w:val="20"/>
                <w:szCs w:val="20"/>
                <w:color w:val="auto"/>
              </w:rPr>
            </w:pPr>
            <w:r>
              <w:rPr>
                <w:rFonts w:ascii="Arial" w:cs="Arial" w:eastAsia="Arial" w:hAnsi="Arial"/>
                <w:sz w:val="14"/>
                <w:szCs w:val="14"/>
                <w:b w:val="1"/>
                <w:bCs w:val="1"/>
                <w:color w:val="auto"/>
              </w:rPr>
              <w:t>2019</w:t>
            </w:r>
          </w:p>
        </w:tc>
        <w:tc>
          <w:tcPr>
            <w:tcW w:w="100" w:type="dxa"/>
            <w:vAlign w:val="bottom"/>
            <w:tcBorders>
              <w:bottom w:val="single" w:sz="8" w:color="CCEEFF"/>
            </w:tcBorders>
          </w:tcPr>
          <w:p>
            <w:pPr>
              <w:spacing w:after="0"/>
              <w:rPr>
                <w:sz w:val="14"/>
                <w:szCs w:val="14"/>
                <w:color w:val="auto"/>
              </w:rPr>
            </w:pPr>
          </w:p>
        </w:tc>
      </w:tr>
      <w:tr>
        <w:trPr>
          <w:trHeight w:val="209"/>
        </w:trPr>
        <w:tc>
          <w:tcPr>
            <w:tcW w:w="6340" w:type="dxa"/>
            <w:vAlign w:val="bottom"/>
            <w:shd w:val="clear" w:color="auto" w:fill="CCEEFF"/>
          </w:tcPr>
          <w:p>
            <w:pPr>
              <w:spacing w:after="0"/>
              <w:rPr>
                <w:sz w:val="20"/>
                <w:szCs w:val="20"/>
                <w:color w:val="auto"/>
              </w:rPr>
            </w:pPr>
            <w:r>
              <w:rPr>
                <w:rFonts w:ascii="Arial" w:cs="Arial" w:eastAsia="Arial" w:hAnsi="Arial"/>
                <w:sz w:val="18"/>
                <w:szCs w:val="18"/>
                <w:color w:val="auto"/>
              </w:rPr>
              <w:t>Future minimum lease payments receivable</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1,216,086</w:t>
            </w:r>
          </w:p>
        </w:tc>
        <w:tc>
          <w:tcPr>
            <w:tcW w:w="2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385,589</w:t>
            </w:r>
          </w:p>
        </w:tc>
        <w:tc>
          <w:tcPr>
            <w:tcW w:w="100" w:type="dxa"/>
            <w:vAlign w:val="bottom"/>
            <w:shd w:val="clear" w:color="auto" w:fill="CCEEFF"/>
          </w:tcPr>
          <w:p>
            <w:pPr>
              <w:spacing w:after="0"/>
              <w:rPr>
                <w:sz w:val="18"/>
                <w:szCs w:val="18"/>
                <w:color w:val="auto"/>
              </w:rPr>
            </w:pPr>
          </w:p>
        </w:tc>
      </w:tr>
      <w:tr>
        <w:trPr>
          <w:trHeight w:val="216"/>
        </w:trPr>
        <w:tc>
          <w:tcPr>
            <w:tcW w:w="6340" w:type="dxa"/>
            <w:vAlign w:val="bottom"/>
          </w:tcPr>
          <w:p>
            <w:pPr>
              <w:spacing w:after="0"/>
              <w:rPr>
                <w:sz w:val="20"/>
                <w:szCs w:val="20"/>
                <w:color w:val="auto"/>
              </w:rPr>
            </w:pPr>
            <w:r>
              <w:rPr>
                <w:rFonts w:ascii="Arial" w:cs="Arial" w:eastAsia="Arial" w:hAnsi="Arial"/>
                <w:sz w:val="18"/>
                <w:szCs w:val="18"/>
                <w:color w:val="auto"/>
              </w:rPr>
              <w:t>Residual value of containers</w:t>
            </w:r>
          </w:p>
        </w:tc>
        <w:tc>
          <w:tcPr>
            <w:tcW w:w="100" w:type="dxa"/>
            <w:vAlign w:val="bottom"/>
          </w:tcPr>
          <w:p>
            <w:pPr>
              <w:spacing w:after="0"/>
              <w:rPr>
                <w:sz w:val="18"/>
                <w:szCs w:val="18"/>
                <w:color w:val="auto"/>
              </w:rPr>
            </w:pPr>
          </w:p>
        </w:tc>
        <w:tc>
          <w:tcPr>
            <w:tcW w:w="940" w:type="dxa"/>
            <w:vAlign w:val="bottom"/>
            <w:gridSpan w:val="2"/>
          </w:tcPr>
          <w:p>
            <w:pPr>
              <w:jc w:val="right"/>
              <w:ind w:right="220"/>
              <w:spacing w:after="0"/>
              <w:rPr>
                <w:sz w:val="20"/>
                <w:szCs w:val="20"/>
                <w:color w:val="auto"/>
              </w:rPr>
            </w:pPr>
            <w:r>
              <w:rPr>
                <w:rFonts w:ascii="Arial" w:cs="Arial" w:eastAsia="Arial" w:hAnsi="Arial"/>
                <w:sz w:val="18"/>
                <w:szCs w:val="18"/>
                <w:color w:val="auto"/>
              </w:rPr>
              <w:t>12,601</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11,143</w:t>
            </w:r>
          </w:p>
        </w:tc>
      </w:tr>
      <w:tr>
        <w:trPr>
          <w:trHeight w:val="216"/>
        </w:trPr>
        <w:tc>
          <w:tcPr>
            <w:tcW w:w="63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Less: unearned income</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8"/>
              </w:rPr>
              <w:t>(347,394)</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88"/>
              </w:rPr>
              <w:t>(101,429)</w:t>
            </w:r>
          </w:p>
        </w:tc>
      </w:tr>
      <w:tr>
        <w:trPr>
          <w:trHeight w:val="223"/>
        </w:trPr>
        <w:tc>
          <w:tcPr>
            <w:tcW w:w="6340" w:type="dxa"/>
            <w:vAlign w:val="bottom"/>
          </w:tcPr>
          <w:p>
            <w:pPr>
              <w:ind w:left="720"/>
              <w:spacing w:after="0"/>
              <w:rPr>
                <w:sz w:val="20"/>
                <w:szCs w:val="20"/>
                <w:color w:val="auto"/>
              </w:rPr>
            </w:pPr>
            <w:r>
              <w:rPr>
                <w:rFonts w:ascii="Arial" w:cs="Arial" w:eastAsia="Arial" w:hAnsi="Arial"/>
                <w:sz w:val="18"/>
                <w:szCs w:val="18"/>
                <w:color w:val="auto"/>
              </w:rPr>
              <w:t>Net investment in finance leases (1)</w:t>
            </w:r>
          </w:p>
        </w:tc>
        <w:tc>
          <w:tcPr>
            <w:tcW w:w="1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881,293</w:t>
            </w:r>
          </w:p>
        </w:tc>
        <w:tc>
          <w:tcPr>
            <w:tcW w:w="2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95"/>
              </w:rPr>
              <w:t>295,303</w:t>
            </w:r>
          </w:p>
        </w:tc>
        <w:tc>
          <w:tcPr>
            <w:tcW w:w="100" w:type="dxa"/>
            <w:vAlign w:val="bottom"/>
          </w:tcPr>
          <w:p>
            <w:pPr>
              <w:spacing w:after="0"/>
              <w:rPr>
                <w:sz w:val="19"/>
                <w:szCs w:val="19"/>
                <w:color w:val="auto"/>
              </w:rPr>
            </w:pPr>
          </w:p>
        </w:tc>
      </w:tr>
      <w:tr>
        <w:trPr>
          <w:trHeight w:val="216"/>
        </w:trPr>
        <w:tc>
          <w:tcPr>
            <w:tcW w:w="6340" w:type="dxa"/>
            <w:vAlign w:val="bottom"/>
            <w:shd w:val="clear" w:color="auto" w:fill="CCEEFF"/>
          </w:tcPr>
          <w:p>
            <w:pPr>
              <w:ind w:left="720"/>
              <w:spacing w:after="0"/>
              <w:rPr>
                <w:sz w:val="20"/>
                <w:szCs w:val="20"/>
                <w:color w:val="auto"/>
              </w:rPr>
            </w:pPr>
            <w:r>
              <w:rPr>
                <w:rFonts w:ascii="Arial" w:cs="Arial" w:eastAsia="Arial" w:hAnsi="Arial"/>
                <w:sz w:val="18"/>
                <w:szCs w:val="18"/>
                <w:color w:val="auto"/>
              </w:rPr>
              <w:t>Less: Allowance for credit losses</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(1,333)</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r>
      <w:tr>
        <w:trPr>
          <w:trHeight w:val="230"/>
        </w:trPr>
        <w:tc>
          <w:tcPr>
            <w:tcW w:w="6340" w:type="dxa"/>
            <w:vAlign w:val="bottom"/>
          </w:tcPr>
          <w:p>
            <w:pPr>
              <w:ind w:left="1080"/>
              <w:spacing w:after="0"/>
              <w:rPr>
                <w:sz w:val="20"/>
                <w:szCs w:val="20"/>
                <w:color w:val="auto"/>
              </w:rPr>
            </w:pPr>
            <w:r>
              <w:rPr>
                <w:rFonts w:ascii="Arial" w:cs="Arial" w:eastAsia="Arial" w:hAnsi="Arial"/>
                <w:sz w:val="18"/>
                <w:szCs w:val="18"/>
                <w:color w:val="auto"/>
              </w:rPr>
              <w:t>Net investment in finance leases, net</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879,960</w:t>
            </w:r>
          </w:p>
        </w:tc>
        <w:tc>
          <w:tcPr>
            <w:tcW w:w="2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5"/>
              </w:rPr>
              <w:t>295,303</w:t>
            </w:r>
          </w:p>
        </w:tc>
        <w:tc>
          <w:tcPr>
            <w:tcW w:w="100" w:type="dxa"/>
            <w:vAlign w:val="bottom"/>
          </w:tcPr>
          <w:p>
            <w:pPr>
              <w:spacing w:after="0"/>
              <w:rPr>
                <w:sz w:val="20"/>
                <w:szCs w:val="20"/>
                <w:color w:val="auto"/>
              </w:rPr>
            </w:pPr>
          </w:p>
        </w:tc>
      </w:tr>
      <w:tr>
        <w:trPr>
          <w:trHeight w:val="216"/>
        </w:trPr>
        <w:tc>
          <w:tcPr>
            <w:tcW w:w="6340" w:type="dxa"/>
            <w:vAlign w:val="bottom"/>
            <w:shd w:val="clear" w:color="auto" w:fill="CCEEFF"/>
          </w:tcPr>
          <w:p>
            <w:pPr>
              <w:spacing w:after="0"/>
              <w:rPr>
                <w:sz w:val="20"/>
                <w:szCs w:val="20"/>
                <w:color w:val="auto"/>
              </w:rPr>
            </w:pPr>
            <w:r>
              <w:rPr>
                <w:rFonts w:ascii="Arial" w:cs="Arial" w:eastAsia="Arial" w:hAnsi="Arial"/>
                <w:sz w:val="18"/>
                <w:szCs w:val="18"/>
                <w:color w:val="auto"/>
              </w:rPr>
              <w:t>Amounts due within one year</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78,459</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40,940</w:t>
            </w:r>
          </w:p>
        </w:tc>
      </w:tr>
      <w:tr>
        <w:trPr>
          <w:trHeight w:val="216"/>
        </w:trPr>
        <w:tc>
          <w:tcPr>
            <w:tcW w:w="6340" w:type="dxa"/>
            <w:vAlign w:val="bottom"/>
          </w:tcPr>
          <w:p>
            <w:pPr>
              <w:spacing w:after="0"/>
              <w:rPr>
                <w:sz w:val="20"/>
                <w:szCs w:val="20"/>
                <w:color w:val="auto"/>
              </w:rPr>
            </w:pPr>
            <w:r>
              <w:rPr>
                <w:rFonts w:ascii="Arial" w:cs="Arial" w:eastAsia="Arial" w:hAnsi="Arial"/>
                <w:sz w:val="18"/>
                <w:szCs w:val="18"/>
                <w:color w:val="auto"/>
              </w:rPr>
              <w:t>Amounts due beyond one year</w:t>
            </w:r>
          </w:p>
        </w:tc>
        <w:tc>
          <w:tcPr>
            <w:tcW w:w="100" w:type="dxa"/>
            <w:vAlign w:val="bottom"/>
          </w:tcPr>
          <w:p>
            <w:pPr>
              <w:spacing w:after="0"/>
              <w:rPr>
                <w:sz w:val="18"/>
                <w:szCs w:val="18"/>
                <w:color w:val="auto"/>
              </w:rPr>
            </w:pPr>
          </w:p>
        </w:tc>
        <w:tc>
          <w:tcPr>
            <w:tcW w:w="940" w:type="dxa"/>
            <w:vAlign w:val="bottom"/>
            <w:gridSpan w:val="2"/>
          </w:tcPr>
          <w:p>
            <w:pPr>
              <w:jc w:val="right"/>
              <w:ind w:right="220"/>
              <w:spacing w:after="0"/>
              <w:rPr>
                <w:sz w:val="20"/>
                <w:szCs w:val="20"/>
                <w:color w:val="auto"/>
              </w:rPr>
            </w:pPr>
            <w:r>
              <w:rPr>
                <w:rFonts w:ascii="Arial" w:cs="Arial" w:eastAsia="Arial" w:hAnsi="Arial"/>
                <w:sz w:val="18"/>
                <w:szCs w:val="18"/>
                <w:color w:val="auto"/>
              </w:rPr>
              <w:t>801,501</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w w:val="95"/>
              </w:rPr>
              <w:t>254,363</w:t>
            </w:r>
          </w:p>
        </w:tc>
      </w:tr>
      <w:tr>
        <w:trPr>
          <w:trHeight w:val="27"/>
        </w:trPr>
        <w:tc>
          <w:tcPr>
            <w:tcW w:w="63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16"/>
        </w:trPr>
        <w:tc>
          <w:tcPr>
            <w:tcW w:w="6340" w:type="dxa"/>
            <w:vAlign w:val="bottom"/>
            <w:shd w:val="clear" w:color="auto" w:fill="CCEEFF"/>
          </w:tcPr>
          <w:p>
            <w:pPr>
              <w:ind w:left="1080"/>
              <w:spacing w:after="0"/>
              <w:rPr>
                <w:sz w:val="20"/>
                <w:szCs w:val="20"/>
                <w:color w:val="auto"/>
              </w:rPr>
            </w:pPr>
            <w:r>
              <w:rPr>
                <w:rFonts w:ascii="Arial" w:cs="Arial" w:eastAsia="Arial" w:hAnsi="Arial"/>
                <w:sz w:val="18"/>
                <w:szCs w:val="18"/>
                <w:color w:val="auto"/>
              </w:rPr>
              <w:t>Net investment in finance leases, net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879,960</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95"/>
              </w:rPr>
              <w:t>295,303</w:t>
            </w:r>
          </w:p>
        </w:tc>
      </w:tr>
      <w:tr>
        <w:trPr>
          <w:trHeight w:val="20"/>
        </w:trPr>
        <w:tc>
          <w:tcPr>
            <w:tcW w:w="63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42" w:lineRule="exact"/>
        <w:rPr>
          <w:sz w:val="20"/>
          <w:szCs w:val="20"/>
          <w:color w:val="auto"/>
        </w:rPr>
      </w:pPr>
    </w:p>
    <w:p>
      <w:pPr>
        <w:ind w:left="424" w:right="60" w:hanging="424"/>
        <w:spacing w:after="0" w:line="263" w:lineRule="auto"/>
        <w:tabs>
          <w:tab w:leader="none" w:pos="424" w:val="left"/>
        </w:tabs>
        <w:numPr>
          <w:ilvl w:val="0"/>
          <w:numId w:val="120"/>
        </w:numPr>
        <w:rPr>
          <w:rFonts w:ascii="Arial" w:cs="Arial" w:eastAsia="Arial" w:hAnsi="Arial"/>
          <w:sz w:val="18"/>
          <w:szCs w:val="18"/>
          <w:color w:val="auto"/>
        </w:rPr>
      </w:pPr>
      <w:r>
        <w:rPr>
          <w:rFonts w:ascii="Arial" w:cs="Arial" w:eastAsia="Arial" w:hAnsi="Arial"/>
          <w:sz w:val="18"/>
          <w:szCs w:val="18"/>
          <w:color w:val="auto"/>
        </w:rPr>
        <w:t>As of December 31, 2020, two major customers represented 80.1% and 8.6% of the Company’s finance lease portfolio. As of December 31, 2019, two major customers represented 44.3% and 16.1% of the Company’s finance lease portfolio. No other customer represented more than 10% of the Company’s finance leases portfolio as of December 31, 2020 and 2019.</w:t>
      </w:r>
    </w:p>
    <w:p>
      <w:pPr>
        <w:spacing w:after="0" w:line="184" w:lineRule="exact"/>
        <w:rPr>
          <w:sz w:val="20"/>
          <w:szCs w:val="20"/>
          <w:color w:val="auto"/>
        </w:rPr>
      </w:pPr>
    </w:p>
    <w:p>
      <w:pPr>
        <w:ind w:left="4" w:right="680" w:firstLine="440"/>
        <w:spacing w:after="0" w:line="277" w:lineRule="auto"/>
        <w:rPr>
          <w:sz w:val="20"/>
          <w:szCs w:val="20"/>
          <w:color w:val="auto"/>
        </w:rPr>
      </w:pPr>
      <w:r>
        <w:rPr>
          <w:rFonts w:ascii="Arial" w:cs="Arial" w:eastAsia="Arial" w:hAnsi="Arial"/>
          <w:sz w:val="18"/>
          <w:szCs w:val="18"/>
          <w:color w:val="auto"/>
        </w:rPr>
        <w:t>The following is a schedule by year of future minimum lease payments receivable under container leaseback financing receivable and net investment in finance leases as of December 31, 2020:</w:t>
      </w:r>
    </w:p>
    <w:p>
      <w:pPr>
        <w:spacing w:after="0" w:line="176" w:lineRule="exact"/>
        <w:rPr>
          <w:sz w:val="20"/>
          <w:szCs w:val="20"/>
          <w:color w:val="auto"/>
        </w:rPr>
      </w:pPr>
    </w:p>
    <w:tbl>
      <w:tblPr>
        <w:tblLayout w:type="fixed"/>
        <w:tblInd w:w="884" w:type="dxa"/>
        <w:tblCellMar>
          <w:top w:w="0" w:type="dxa"/>
          <w:left w:w="0" w:type="dxa"/>
          <w:bottom w:w="0" w:type="dxa"/>
          <w:right w:w="0" w:type="dxa"/>
        </w:tblCellMar>
      </w:tblPr>
      <w:tr>
        <w:trPr>
          <w:trHeight w:val="161"/>
        </w:trPr>
        <w:tc>
          <w:tcPr>
            <w:tcW w:w="500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680" w:type="dxa"/>
            <w:vAlign w:val="bottom"/>
            <w:gridSpan w:val="2"/>
          </w:tcPr>
          <w:p>
            <w:pPr>
              <w:jc w:val="right"/>
              <w:spacing w:after="0"/>
              <w:rPr>
                <w:sz w:val="20"/>
                <w:szCs w:val="20"/>
                <w:color w:val="auto"/>
              </w:rPr>
            </w:pPr>
            <w:r>
              <w:rPr>
                <w:rFonts w:ascii="Arial" w:cs="Arial" w:eastAsia="Arial" w:hAnsi="Arial"/>
                <w:sz w:val="14"/>
                <w:szCs w:val="14"/>
                <w:b w:val="1"/>
                <w:bCs w:val="1"/>
                <w:color w:val="auto"/>
                <w:w w:val="94"/>
              </w:rPr>
              <w:t>Container</w:t>
            </w:r>
          </w:p>
        </w:tc>
        <w:tc>
          <w:tcPr>
            <w:tcW w:w="4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4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8"/>
        </w:trPr>
        <w:tc>
          <w:tcPr>
            <w:tcW w:w="500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680" w:type="dxa"/>
            <w:vAlign w:val="bottom"/>
            <w:gridSpan w:val="2"/>
          </w:tcPr>
          <w:p>
            <w:pPr>
              <w:spacing w:after="0" w:line="149" w:lineRule="exact"/>
              <w:rPr>
                <w:sz w:val="20"/>
                <w:szCs w:val="20"/>
                <w:color w:val="auto"/>
              </w:rPr>
            </w:pPr>
            <w:r>
              <w:rPr>
                <w:rFonts w:ascii="Arial" w:cs="Arial" w:eastAsia="Arial" w:hAnsi="Arial"/>
                <w:sz w:val="14"/>
                <w:szCs w:val="14"/>
                <w:b w:val="1"/>
                <w:bCs w:val="1"/>
                <w:color w:val="auto"/>
                <w:w w:val="92"/>
              </w:rPr>
              <w:t>Leaseback</w:t>
            </w:r>
          </w:p>
        </w:tc>
        <w:tc>
          <w:tcPr>
            <w:tcW w:w="1520" w:type="dxa"/>
            <w:vAlign w:val="bottom"/>
            <w:gridSpan w:val="3"/>
            <w:vMerge w:val="restart"/>
          </w:tcPr>
          <w:p>
            <w:pPr>
              <w:ind w:left="400"/>
              <w:spacing w:after="0"/>
              <w:rPr>
                <w:sz w:val="20"/>
                <w:szCs w:val="20"/>
                <w:color w:val="auto"/>
              </w:rPr>
            </w:pPr>
            <w:r>
              <w:rPr>
                <w:rFonts w:ascii="Arial" w:cs="Arial" w:eastAsia="Arial" w:hAnsi="Arial"/>
                <w:sz w:val="14"/>
                <w:szCs w:val="14"/>
                <w:b w:val="1"/>
                <w:bCs w:val="1"/>
                <w:color w:val="auto"/>
                <w:w w:val="94"/>
              </w:rPr>
              <w:t>Net Investment in</w:t>
            </w:r>
          </w:p>
        </w:tc>
        <w:tc>
          <w:tcPr>
            <w:tcW w:w="4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500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680" w:type="dxa"/>
            <w:vAlign w:val="bottom"/>
            <w:gridSpan w:val="2"/>
          </w:tcPr>
          <w:p>
            <w:pPr>
              <w:ind w:left="20"/>
              <w:spacing w:after="0" w:line="149" w:lineRule="exact"/>
              <w:rPr>
                <w:sz w:val="20"/>
                <w:szCs w:val="20"/>
                <w:color w:val="auto"/>
              </w:rPr>
            </w:pPr>
            <w:r>
              <w:rPr>
                <w:rFonts w:ascii="Arial" w:cs="Arial" w:eastAsia="Arial" w:hAnsi="Arial"/>
                <w:sz w:val="14"/>
                <w:szCs w:val="14"/>
                <w:b w:val="1"/>
                <w:bCs w:val="1"/>
                <w:color w:val="auto"/>
                <w:w w:val="96"/>
              </w:rPr>
              <w:t>Financing</w:t>
            </w:r>
          </w:p>
        </w:tc>
        <w:tc>
          <w:tcPr>
            <w:tcW w:w="1520" w:type="dxa"/>
            <w:vAlign w:val="bottom"/>
            <w:gridSpan w:val="3"/>
            <w:vMerge w:val="continue"/>
          </w:tcPr>
          <w:p>
            <w:pPr>
              <w:spacing w:after="0"/>
              <w:rPr>
                <w:sz w:val="12"/>
                <w:szCs w:val="12"/>
                <w:color w:val="auto"/>
              </w:rPr>
            </w:pPr>
          </w:p>
        </w:tc>
        <w:tc>
          <w:tcPr>
            <w:tcW w:w="4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gridSpan w:val="2"/>
            <w:vMerge w:val="restart"/>
          </w:tcPr>
          <w:p>
            <w:pPr>
              <w:ind w:left="160"/>
              <w:spacing w:after="0"/>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171"/>
        </w:trPr>
        <w:tc>
          <w:tcPr>
            <w:tcW w:w="500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680" w:type="dxa"/>
            <w:vAlign w:val="bottom"/>
            <w:gridSpan w:val="2"/>
          </w:tcPr>
          <w:p>
            <w:pPr>
              <w:spacing w:after="0"/>
              <w:rPr>
                <w:sz w:val="20"/>
                <w:szCs w:val="20"/>
                <w:color w:val="auto"/>
              </w:rPr>
            </w:pPr>
            <w:r>
              <w:rPr>
                <w:rFonts w:ascii="Arial" w:cs="Arial" w:eastAsia="Arial" w:hAnsi="Arial"/>
                <w:sz w:val="14"/>
                <w:szCs w:val="14"/>
                <w:b w:val="1"/>
                <w:bCs w:val="1"/>
                <w:color w:val="auto"/>
                <w:w w:val="90"/>
              </w:rPr>
              <w:t>Receivable</w:t>
            </w:r>
          </w:p>
        </w:tc>
        <w:tc>
          <w:tcPr>
            <w:tcW w:w="4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40" w:type="dxa"/>
            <w:vAlign w:val="bottom"/>
          </w:tcPr>
          <w:p>
            <w:pPr>
              <w:jc w:val="right"/>
              <w:ind w:right="13"/>
              <w:spacing w:after="0"/>
              <w:rPr>
                <w:sz w:val="20"/>
                <w:szCs w:val="20"/>
                <w:color w:val="auto"/>
              </w:rPr>
            </w:pPr>
            <w:r>
              <w:rPr>
                <w:rFonts w:ascii="Arial" w:cs="Arial" w:eastAsia="Arial" w:hAnsi="Arial"/>
                <w:sz w:val="14"/>
                <w:szCs w:val="14"/>
                <w:b w:val="1"/>
                <w:bCs w:val="1"/>
                <w:color w:val="auto"/>
                <w:w w:val="88"/>
              </w:rPr>
              <w:t>Finance Leases</w:t>
            </w:r>
          </w:p>
        </w:tc>
        <w:tc>
          <w:tcPr>
            <w:tcW w:w="4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0" w:type="dxa"/>
            <w:vAlign w:val="bottom"/>
            <w:gridSpan w:val="2"/>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96"/>
        </w:trPr>
        <w:tc>
          <w:tcPr>
            <w:tcW w:w="500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color w:val="auto"/>
              </w:rPr>
              <w:t>Year ending December 31:</w:t>
            </w:r>
          </w:p>
        </w:tc>
        <w:tc>
          <w:tcPr>
            <w:tcW w:w="78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600" w:type="dxa"/>
            <w:vAlign w:val="bottom"/>
            <w:tcBorders>
              <w:top w:val="single" w:sz="8" w:color="auto"/>
            </w:tcBorders>
            <w:shd w:val="clear" w:color="auto" w:fill="CCEEFF"/>
          </w:tcPr>
          <w:p>
            <w:pPr>
              <w:spacing w:after="0"/>
              <w:rPr>
                <w:sz w:val="17"/>
                <w:szCs w:val="17"/>
                <w:color w:val="auto"/>
              </w:rPr>
            </w:pPr>
          </w:p>
        </w:tc>
        <w:tc>
          <w:tcPr>
            <w:tcW w:w="40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1040" w:type="dxa"/>
            <w:vAlign w:val="bottom"/>
            <w:tcBorders>
              <w:top w:val="single" w:sz="8" w:color="auto"/>
            </w:tcBorders>
            <w:shd w:val="clear" w:color="auto" w:fill="CCEEFF"/>
          </w:tcPr>
          <w:p>
            <w:pPr>
              <w:spacing w:after="0"/>
              <w:rPr>
                <w:sz w:val="17"/>
                <w:szCs w:val="17"/>
                <w:color w:val="auto"/>
              </w:rPr>
            </w:pPr>
          </w:p>
        </w:tc>
        <w:tc>
          <w:tcPr>
            <w:tcW w:w="40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740" w:type="dxa"/>
            <w:vAlign w:val="bottom"/>
            <w:tcBorders>
              <w:top w:val="single" w:sz="8" w:color="auto"/>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5000" w:type="dxa"/>
            <w:vAlign w:val="bottom"/>
          </w:tcPr>
          <w:p>
            <w:pPr>
              <w:ind w:left="360"/>
              <w:spacing w:after="0"/>
              <w:rPr>
                <w:sz w:val="20"/>
                <w:szCs w:val="20"/>
                <w:color w:val="auto"/>
              </w:rPr>
            </w:pPr>
            <w:r>
              <w:rPr>
                <w:rFonts w:ascii="Arial" w:cs="Arial" w:eastAsia="Arial" w:hAnsi="Arial"/>
                <w:sz w:val="18"/>
                <w:szCs w:val="18"/>
                <w:color w:val="auto"/>
              </w:rPr>
              <w:t>2021</w:t>
            </w:r>
          </w:p>
        </w:tc>
        <w:tc>
          <w:tcPr>
            <w:tcW w:w="860" w:type="dxa"/>
            <w:vAlign w:val="bottom"/>
            <w:gridSpan w:val="2"/>
          </w:tcPr>
          <w:p>
            <w:pPr>
              <w:ind w:left="760"/>
              <w:spacing w:after="0"/>
              <w:rPr>
                <w:sz w:val="20"/>
                <w:szCs w:val="20"/>
                <w:color w:val="auto"/>
              </w:rPr>
            </w:pPr>
            <w:r>
              <w:rPr>
                <w:rFonts w:ascii="Arial" w:cs="Arial" w:eastAsia="Arial" w:hAnsi="Arial"/>
                <w:sz w:val="18"/>
                <w:szCs w:val="18"/>
                <w:color w:val="auto"/>
                <w:w w:val="79"/>
              </w:rPr>
              <w:t>$</w:t>
            </w:r>
          </w:p>
        </w:tc>
        <w:tc>
          <w:tcPr>
            <w:tcW w:w="600" w:type="dxa"/>
            <w:vAlign w:val="bottom"/>
          </w:tcPr>
          <w:p>
            <w:pPr>
              <w:jc w:val="right"/>
              <w:spacing w:after="0"/>
              <w:rPr>
                <w:sz w:val="20"/>
                <w:szCs w:val="20"/>
                <w:color w:val="auto"/>
              </w:rPr>
            </w:pPr>
            <w:r>
              <w:rPr>
                <w:rFonts w:ascii="Arial" w:cs="Arial" w:eastAsia="Arial" w:hAnsi="Arial"/>
                <w:sz w:val="18"/>
                <w:szCs w:val="18"/>
                <w:color w:val="auto"/>
              </w:rPr>
              <w:t>47,819</w:t>
            </w:r>
          </w:p>
        </w:tc>
        <w:tc>
          <w:tcPr>
            <w:tcW w:w="480" w:type="dxa"/>
            <w:vAlign w:val="bottom"/>
            <w:gridSpan w:val="2"/>
          </w:tcPr>
          <w:p>
            <w:pPr>
              <w:ind w:left="400"/>
              <w:spacing w:after="0"/>
              <w:rPr>
                <w:sz w:val="20"/>
                <w:szCs w:val="20"/>
                <w:color w:val="auto"/>
              </w:rPr>
            </w:pPr>
            <w:r>
              <w:rPr>
                <w:rFonts w:ascii="Arial" w:cs="Arial" w:eastAsia="Arial" w:hAnsi="Arial"/>
                <w:sz w:val="15"/>
                <w:szCs w:val="15"/>
                <w:color w:val="auto"/>
                <w:w w:val="71"/>
              </w:rPr>
              <w:t>$</w:t>
            </w:r>
          </w:p>
        </w:tc>
        <w:tc>
          <w:tcPr>
            <w:tcW w:w="1040" w:type="dxa"/>
            <w:vAlign w:val="bottom"/>
          </w:tcPr>
          <w:p>
            <w:pPr>
              <w:jc w:val="right"/>
              <w:spacing w:after="0"/>
              <w:rPr>
                <w:sz w:val="20"/>
                <w:szCs w:val="20"/>
                <w:color w:val="auto"/>
              </w:rPr>
            </w:pPr>
            <w:r>
              <w:rPr>
                <w:rFonts w:ascii="Arial" w:cs="Arial" w:eastAsia="Arial" w:hAnsi="Arial"/>
                <w:sz w:val="18"/>
                <w:szCs w:val="18"/>
                <w:color w:val="auto"/>
              </w:rPr>
              <w:t>126,661</w:t>
            </w:r>
          </w:p>
        </w:tc>
        <w:tc>
          <w:tcPr>
            <w:tcW w:w="4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40" w:type="dxa"/>
            <w:vAlign w:val="bottom"/>
          </w:tcPr>
          <w:p>
            <w:pPr>
              <w:jc w:val="right"/>
              <w:spacing w:after="0"/>
              <w:rPr>
                <w:sz w:val="20"/>
                <w:szCs w:val="20"/>
                <w:color w:val="auto"/>
              </w:rPr>
            </w:pPr>
            <w:r>
              <w:rPr>
                <w:rFonts w:ascii="Arial" w:cs="Arial" w:eastAsia="Arial" w:hAnsi="Arial"/>
                <w:sz w:val="18"/>
                <w:szCs w:val="18"/>
                <w:color w:val="auto"/>
              </w:rPr>
              <w:t>174,480</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0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2022</w:t>
            </w:r>
          </w:p>
        </w:tc>
        <w:tc>
          <w:tcPr>
            <w:tcW w:w="7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47,819</w:t>
            </w:r>
          </w:p>
        </w:tc>
        <w:tc>
          <w:tcPr>
            <w:tcW w:w="4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109,333</w:t>
            </w:r>
          </w:p>
        </w:tc>
        <w:tc>
          <w:tcPr>
            <w:tcW w:w="4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157,152</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000" w:type="dxa"/>
            <w:vAlign w:val="bottom"/>
          </w:tcPr>
          <w:p>
            <w:pPr>
              <w:ind w:left="360"/>
              <w:spacing w:after="0"/>
              <w:rPr>
                <w:sz w:val="20"/>
                <w:szCs w:val="20"/>
                <w:color w:val="auto"/>
              </w:rPr>
            </w:pPr>
            <w:r>
              <w:rPr>
                <w:rFonts w:ascii="Arial" w:cs="Arial" w:eastAsia="Arial" w:hAnsi="Arial"/>
                <w:sz w:val="18"/>
                <w:szCs w:val="18"/>
                <w:color w:val="auto"/>
              </w:rPr>
              <w:t>2023</w:t>
            </w:r>
          </w:p>
        </w:tc>
        <w:tc>
          <w:tcPr>
            <w:tcW w:w="7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rPr>
              <w:t>47,819</w:t>
            </w:r>
          </w:p>
        </w:tc>
        <w:tc>
          <w:tcPr>
            <w:tcW w:w="4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40" w:type="dxa"/>
            <w:vAlign w:val="bottom"/>
          </w:tcPr>
          <w:p>
            <w:pPr>
              <w:jc w:val="right"/>
              <w:spacing w:after="0"/>
              <w:rPr>
                <w:sz w:val="20"/>
                <w:szCs w:val="20"/>
                <w:color w:val="auto"/>
              </w:rPr>
            </w:pPr>
            <w:r>
              <w:rPr>
                <w:rFonts w:ascii="Arial" w:cs="Arial" w:eastAsia="Arial" w:hAnsi="Arial"/>
                <w:sz w:val="18"/>
                <w:szCs w:val="18"/>
                <w:color w:val="auto"/>
              </w:rPr>
              <w:t>103,757</w:t>
            </w:r>
          </w:p>
        </w:tc>
        <w:tc>
          <w:tcPr>
            <w:tcW w:w="4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151,576</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0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2024</w:t>
            </w:r>
          </w:p>
        </w:tc>
        <w:tc>
          <w:tcPr>
            <w:tcW w:w="7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43,723</w:t>
            </w:r>
          </w:p>
        </w:tc>
        <w:tc>
          <w:tcPr>
            <w:tcW w:w="4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97,527</w:t>
            </w:r>
          </w:p>
        </w:tc>
        <w:tc>
          <w:tcPr>
            <w:tcW w:w="4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141,250</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5000" w:type="dxa"/>
            <w:vAlign w:val="bottom"/>
          </w:tcPr>
          <w:p>
            <w:pPr>
              <w:ind w:left="360"/>
              <w:spacing w:after="0"/>
              <w:rPr>
                <w:sz w:val="20"/>
                <w:szCs w:val="20"/>
                <w:color w:val="auto"/>
              </w:rPr>
            </w:pPr>
            <w:r>
              <w:rPr>
                <w:rFonts w:ascii="Arial" w:cs="Arial" w:eastAsia="Arial" w:hAnsi="Arial"/>
                <w:sz w:val="18"/>
                <w:szCs w:val="18"/>
                <w:color w:val="auto"/>
              </w:rPr>
              <w:t>2025 and thereafter</w:t>
            </w:r>
          </w:p>
        </w:tc>
        <w:tc>
          <w:tcPr>
            <w:tcW w:w="780" w:type="dxa"/>
            <w:vAlign w:val="bottom"/>
          </w:tcPr>
          <w:p>
            <w:pPr>
              <w:spacing w:after="0"/>
              <w:rPr>
                <w:sz w:val="19"/>
                <w:szCs w:val="19"/>
                <w:color w:val="auto"/>
              </w:rPr>
            </w:pPr>
          </w:p>
        </w:tc>
        <w:tc>
          <w:tcPr>
            <w:tcW w:w="80" w:type="dxa"/>
            <w:vAlign w:val="bottom"/>
            <w:tcBorders>
              <w:bottom w:val="single" w:sz="8" w:color="auto"/>
            </w:tcBorders>
          </w:tcPr>
          <w:p>
            <w:pPr>
              <w:spacing w:after="0"/>
              <w:rPr>
                <w:sz w:val="19"/>
                <w:szCs w:val="19"/>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9"/>
              </w:rPr>
              <w:t>318,293</w:t>
            </w:r>
          </w:p>
        </w:tc>
        <w:tc>
          <w:tcPr>
            <w:tcW w:w="400" w:type="dxa"/>
            <w:vAlign w:val="bottom"/>
          </w:tcPr>
          <w:p>
            <w:pPr>
              <w:spacing w:after="0"/>
              <w:rPr>
                <w:sz w:val="19"/>
                <w:szCs w:val="19"/>
                <w:color w:val="auto"/>
              </w:rPr>
            </w:pPr>
          </w:p>
        </w:tc>
        <w:tc>
          <w:tcPr>
            <w:tcW w:w="80" w:type="dxa"/>
            <w:vAlign w:val="bottom"/>
            <w:tcBorders>
              <w:bottom w:val="single" w:sz="8" w:color="auto"/>
            </w:tcBorders>
          </w:tcPr>
          <w:p>
            <w:pPr>
              <w:spacing w:after="0"/>
              <w:rPr>
                <w:sz w:val="19"/>
                <w:szCs w:val="19"/>
                <w:color w:val="auto"/>
              </w:rPr>
            </w:pPr>
          </w:p>
        </w:tc>
        <w:tc>
          <w:tcPr>
            <w:tcW w:w="10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778,808</w:t>
            </w:r>
          </w:p>
        </w:tc>
        <w:tc>
          <w:tcPr>
            <w:tcW w:w="400" w:type="dxa"/>
            <w:vAlign w:val="bottom"/>
          </w:tcPr>
          <w:p>
            <w:pPr>
              <w:spacing w:after="0"/>
              <w:rPr>
                <w:sz w:val="19"/>
                <w:szCs w:val="19"/>
                <w:color w:val="auto"/>
              </w:rPr>
            </w:pPr>
          </w:p>
        </w:tc>
        <w:tc>
          <w:tcPr>
            <w:tcW w:w="80" w:type="dxa"/>
            <w:vAlign w:val="bottom"/>
            <w:tcBorders>
              <w:bottom w:val="single" w:sz="8" w:color="auto"/>
            </w:tcBorders>
          </w:tcPr>
          <w:p>
            <w:pPr>
              <w:spacing w:after="0"/>
              <w:rPr>
                <w:sz w:val="19"/>
                <w:szCs w:val="19"/>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9"/>
              </w:rPr>
              <w:t>1,097,101</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5000" w:type="dxa"/>
            <w:vAlign w:val="bottom"/>
            <w:shd w:val="clear" w:color="auto" w:fill="CCEEFF"/>
          </w:tcPr>
          <w:p>
            <w:pPr>
              <w:ind w:left="720"/>
              <w:spacing w:after="0"/>
              <w:rPr>
                <w:sz w:val="20"/>
                <w:szCs w:val="20"/>
                <w:color w:val="auto"/>
              </w:rPr>
            </w:pPr>
            <w:r>
              <w:rPr>
                <w:rFonts w:ascii="Arial" w:cs="Arial" w:eastAsia="Arial" w:hAnsi="Arial"/>
                <w:sz w:val="18"/>
                <w:szCs w:val="18"/>
                <w:color w:val="auto"/>
              </w:rPr>
              <w:t>Total future minimum lease payments receivable</w:t>
            </w:r>
          </w:p>
        </w:tc>
        <w:tc>
          <w:tcPr>
            <w:tcW w:w="860" w:type="dxa"/>
            <w:vAlign w:val="bottom"/>
            <w:gridSpan w:val="2"/>
            <w:shd w:val="clear" w:color="auto" w:fill="CCEEFF"/>
          </w:tcPr>
          <w:p>
            <w:pPr>
              <w:ind w:left="760"/>
              <w:spacing w:after="0"/>
              <w:rPr>
                <w:sz w:val="20"/>
                <w:szCs w:val="20"/>
                <w:color w:val="auto"/>
              </w:rPr>
            </w:pPr>
            <w:r>
              <w:rPr>
                <w:rFonts w:ascii="Arial" w:cs="Arial" w:eastAsia="Arial" w:hAnsi="Arial"/>
                <w:sz w:val="18"/>
                <w:szCs w:val="18"/>
                <w:u w:val="single" w:color="auto"/>
                <w:color w:val="auto"/>
                <w:w w:val="79"/>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505,473</w:t>
            </w:r>
          </w:p>
        </w:tc>
        <w:tc>
          <w:tcPr>
            <w:tcW w:w="480" w:type="dxa"/>
            <w:vAlign w:val="bottom"/>
            <w:gridSpan w:val="2"/>
            <w:shd w:val="clear" w:color="auto" w:fill="CCEEFF"/>
          </w:tcPr>
          <w:p>
            <w:pPr>
              <w:ind w:left="400"/>
              <w:spacing w:after="0"/>
              <w:rPr>
                <w:sz w:val="20"/>
                <w:szCs w:val="20"/>
                <w:color w:val="auto"/>
              </w:rPr>
            </w:pPr>
            <w:r>
              <w:rPr>
                <w:rFonts w:ascii="Arial" w:cs="Arial" w:eastAsia="Arial" w:hAnsi="Arial"/>
                <w:sz w:val="15"/>
                <w:szCs w:val="15"/>
                <w:color w:val="auto"/>
                <w:w w:val="71"/>
              </w:rPr>
              <w:t>$</w:t>
            </w:r>
          </w:p>
        </w:tc>
        <w:tc>
          <w:tcPr>
            <w:tcW w:w="10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1,216,086</w:t>
            </w: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1,721,559</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00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4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38" w:lineRule="exact"/>
        <w:rPr>
          <w:sz w:val="20"/>
          <w:szCs w:val="20"/>
          <w:color w:val="auto"/>
        </w:rPr>
      </w:pPr>
    </w:p>
    <w:p>
      <w:pPr>
        <w:ind w:left="424" w:hanging="424"/>
        <w:spacing w:after="0"/>
        <w:tabs>
          <w:tab w:leader="none" w:pos="424" w:val="left"/>
        </w:tabs>
        <w:numPr>
          <w:ilvl w:val="0"/>
          <w:numId w:val="121"/>
        </w:numPr>
        <w:rPr>
          <w:rFonts w:ascii="Arial" w:cs="Arial" w:eastAsia="Arial" w:hAnsi="Arial"/>
          <w:sz w:val="18"/>
          <w:szCs w:val="18"/>
          <w:b w:val="1"/>
          <w:bCs w:val="1"/>
          <w:color w:val="auto"/>
        </w:rPr>
      </w:pPr>
      <w:r>
        <w:rPr>
          <w:rFonts w:ascii="Arial" w:cs="Arial" w:eastAsia="Arial" w:hAnsi="Arial"/>
          <w:sz w:val="18"/>
          <w:szCs w:val="18"/>
          <w:b w:val="1"/>
          <w:bCs w:val="1"/>
          <w:color w:val="auto"/>
        </w:rPr>
        <w:t>Lessee</w:t>
      </w:r>
    </w:p>
    <w:p>
      <w:pPr>
        <w:spacing w:after="0" w:line="121" w:lineRule="exact"/>
        <w:rPr>
          <w:sz w:val="20"/>
          <w:szCs w:val="20"/>
          <w:color w:val="auto"/>
        </w:rPr>
      </w:pPr>
    </w:p>
    <w:p>
      <w:pPr>
        <w:ind w:left="4" w:right="20" w:firstLine="440"/>
        <w:spacing w:after="0" w:line="259" w:lineRule="auto"/>
        <w:rPr>
          <w:sz w:val="20"/>
          <w:szCs w:val="20"/>
          <w:color w:val="auto"/>
        </w:rPr>
      </w:pPr>
      <w:r>
        <w:rPr>
          <w:rFonts w:ascii="Arial" w:cs="Arial" w:eastAsia="Arial" w:hAnsi="Arial"/>
          <w:sz w:val="18"/>
          <w:szCs w:val="18"/>
          <w:color w:val="auto"/>
        </w:rPr>
        <w:t>Right-of-use (“ROU”) lease assets and lease liability are recognized for the Company’s office space leases at the commencement date based on the present value of lease payments over the lease term. The Company’s lease terms may include options to extend or terminate the lease when it is reasonably certain that the Company will exercise that option. The Company does not recognize a related ROU asset and lease liability for short-term leases having a lease term of twelve months or less.</w:t>
      </w:r>
    </w:p>
    <w:p>
      <w:pPr>
        <w:spacing w:after="0" w:line="187" w:lineRule="exact"/>
        <w:rPr>
          <w:sz w:val="20"/>
          <w:szCs w:val="20"/>
          <w:color w:val="auto"/>
        </w:rPr>
      </w:pPr>
    </w:p>
    <w:p>
      <w:pPr>
        <w:ind w:left="444"/>
        <w:spacing w:after="0"/>
        <w:rPr>
          <w:sz w:val="20"/>
          <w:szCs w:val="20"/>
          <w:color w:val="auto"/>
        </w:rPr>
      </w:pPr>
      <w:r>
        <w:rPr>
          <w:rFonts w:ascii="Arial" w:cs="Arial" w:eastAsia="Arial" w:hAnsi="Arial"/>
          <w:sz w:val="16"/>
          <w:szCs w:val="16"/>
          <w:color w:val="auto"/>
        </w:rPr>
        <w:t>As of December 31, 2020 and 2019, operating leases included in ROU lease assets amounted to $10,331 and $11,276, respectively, which were</w:t>
      </w:r>
    </w:p>
    <w:p>
      <w:pPr>
        <w:spacing w:after="0" w:line="46" w:lineRule="exact"/>
        <w:rPr>
          <w:sz w:val="20"/>
          <w:szCs w:val="20"/>
          <w:color w:val="auto"/>
        </w:rPr>
      </w:pPr>
    </w:p>
    <w:p>
      <w:pPr>
        <w:ind w:left="4"/>
        <w:spacing w:after="0"/>
        <w:rPr>
          <w:sz w:val="20"/>
          <w:szCs w:val="20"/>
          <w:color w:val="auto"/>
        </w:rPr>
      </w:pPr>
      <w:r>
        <w:rPr>
          <w:rFonts w:ascii="Arial" w:cs="Arial" w:eastAsia="Arial" w:hAnsi="Arial"/>
          <w:sz w:val="17"/>
          <w:szCs w:val="17"/>
          <w:color w:val="auto"/>
        </w:rPr>
        <w:t>reported in “other assets” in the consolidated balance sheets. As of December 31, 2020 and 2019, total lease liabilities amounted to $12,636 and</w:t>
      </w:r>
    </w:p>
    <w:p>
      <w:pPr>
        <w:spacing w:after="0" w:line="21" w:lineRule="exact"/>
        <w:rPr>
          <w:sz w:val="20"/>
          <w:szCs w:val="20"/>
          <w:color w:val="auto"/>
        </w:rPr>
      </w:pPr>
    </w:p>
    <w:p>
      <w:pPr>
        <w:ind w:left="4"/>
        <w:spacing w:after="0"/>
        <w:rPr>
          <w:sz w:val="20"/>
          <w:szCs w:val="20"/>
          <w:color w:val="auto"/>
        </w:rPr>
      </w:pPr>
      <w:r>
        <w:rPr>
          <w:rFonts w:ascii="Arial" w:cs="Arial" w:eastAsia="Arial" w:hAnsi="Arial"/>
          <w:sz w:val="16"/>
          <w:szCs w:val="16"/>
          <w:color w:val="auto"/>
        </w:rPr>
        <w:t>$13,736, respectively, of which amounts due within one year of $1,779 and $1,706, respectively, were reported in “other liabilities – current.” Long-term</w:t>
      </w:r>
    </w:p>
    <w:p>
      <w:pPr>
        <w:spacing w:after="0" w:line="32" w:lineRule="exact"/>
        <w:rPr>
          <w:sz w:val="20"/>
          <w:szCs w:val="20"/>
          <w:color w:val="auto"/>
        </w:rPr>
      </w:pPr>
    </w:p>
    <w:p>
      <w:pPr>
        <w:ind w:left="4"/>
        <w:spacing w:after="0"/>
        <w:rPr>
          <w:sz w:val="20"/>
          <w:szCs w:val="20"/>
          <w:color w:val="auto"/>
        </w:rPr>
      </w:pPr>
      <w:r>
        <w:rPr>
          <w:rFonts w:ascii="Arial" w:cs="Arial" w:eastAsia="Arial" w:hAnsi="Arial"/>
          <w:sz w:val="16"/>
          <w:szCs w:val="16"/>
          <w:color w:val="auto"/>
        </w:rPr>
        <w:t>lease obligations that are due beyond one year of $10,857 and $12,030, respectively, were reported in “other liabilities – non-current” in the consolidated</w:t>
      </w:r>
    </w:p>
    <w:p>
      <w:pPr>
        <w:spacing w:after="0" w:line="32" w:lineRule="exact"/>
        <w:rPr>
          <w:sz w:val="20"/>
          <w:szCs w:val="20"/>
          <w:color w:val="auto"/>
        </w:rPr>
      </w:pPr>
    </w:p>
    <w:p>
      <w:pPr>
        <w:ind w:left="4"/>
        <w:spacing w:after="0"/>
        <w:rPr>
          <w:sz w:val="20"/>
          <w:szCs w:val="20"/>
          <w:color w:val="auto"/>
        </w:rPr>
      </w:pPr>
      <w:r>
        <w:rPr>
          <w:rFonts w:ascii="Arial" w:cs="Arial" w:eastAsia="Arial" w:hAnsi="Arial"/>
          <w:sz w:val="18"/>
          <w:szCs w:val="18"/>
          <w:color w:val="auto"/>
        </w:rPr>
        <w:t>balance sheets.</w:t>
      </w:r>
    </w:p>
    <w:p>
      <w:pPr>
        <w:spacing w:after="0" w:line="14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F-31</w:t>
      </w:r>
    </w:p>
    <w:p>
      <w:pPr>
        <w:sectPr>
          <w:pgSz w:w="11900" w:h="16838" w:orient="portrait"/>
          <w:cols w:equalWidth="0" w:num="1">
            <w:col w:w="11024"/>
          </w:cols>
          <w:pgMar w:left="436" w:top="274" w:right="439" w:bottom="1440" w:gutter="0" w:footer="0" w:header="0"/>
        </w:sectPr>
      </w:pPr>
    </w:p>
    <w:bookmarkStart w:id="145" w:name="page146"/>
    <w:bookmarkEnd w:id="145"/>
    <w:p>
      <w:pPr>
        <w:ind w:right="280" w:firstLine="44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Operating lease expense is recognized on a straight-line basis over the lease term and is reported in “general and administrative expense” in the consolidated statements of operations. Rent expense amounted to $2,231, $2,233 and $2,049 during 2020, 2019 and 2018, respectively. Other information related to the Company’s operating leases are as follows:</w:t>
      </w:r>
    </w:p>
    <w:p>
      <w:pPr>
        <w:spacing w:after="0" w:line="202" w:lineRule="exact"/>
        <w:rPr>
          <w:sz w:val="20"/>
          <w:szCs w:val="20"/>
          <w:color w:val="auto"/>
        </w:rPr>
      </w:pPr>
    </w:p>
    <w:tbl>
      <w:tblPr>
        <w:tblLayout w:type="fixed"/>
        <w:tblInd w:w="1320" w:type="dxa"/>
        <w:tblCellMar>
          <w:top w:w="0" w:type="dxa"/>
          <w:left w:w="0" w:type="dxa"/>
          <w:bottom w:w="0" w:type="dxa"/>
          <w:right w:w="0" w:type="dxa"/>
        </w:tblCellMar>
      </w:tblPr>
      <w:tr>
        <w:trPr>
          <w:trHeight w:val="171"/>
        </w:trPr>
        <w:tc>
          <w:tcPr>
            <w:tcW w:w="5680" w:type="dxa"/>
            <w:vAlign w:val="bottom"/>
            <w:tcBorders>
              <w:bottom w:val="single" w:sz="8" w:color="CCEEFF"/>
            </w:tcBorders>
          </w:tcPr>
          <w:p>
            <w:pPr>
              <w:spacing w:after="0"/>
              <w:rPr>
                <w:sz w:val="14"/>
                <w:szCs w:val="14"/>
                <w:color w:val="auto"/>
              </w:rPr>
            </w:pPr>
          </w:p>
        </w:tc>
        <w:tc>
          <w:tcPr>
            <w:tcW w:w="62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ind w:left="140"/>
              <w:spacing w:after="0"/>
              <w:rPr>
                <w:sz w:val="20"/>
                <w:szCs w:val="20"/>
                <w:color w:val="auto"/>
              </w:rPr>
            </w:pPr>
            <w:r>
              <w:rPr>
                <w:rFonts w:ascii="Arial" w:cs="Arial" w:eastAsia="Arial" w:hAnsi="Arial"/>
                <w:sz w:val="14"/>
                <w:szCs w:val="14"/>
                <w:b w:val="1"/>
                <w:bCs w:val="1"/>
                <w:color w:val="auto"/>
              </w:rPr>
              <w:t>2020</w:t>
            </w:r>
          </w:p>
        </w:tc>
        <w:tc>
          <w:tcPr>
            <w:tcW w:w="50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ind w:left="140"/>
              <w:spacing w:after="0"/>
              <w:rPr>
                <w:sz w:val="20"/>
                <w:szCs w:val="20"/>
                <w:color w:val="auto"/>
              </w:rPr>
            </w:pPr>
            <w:r>
              <w:rPr>
                <w:rFonts w:ascii="Arial" w:cs="Arial" w:eastAsia="Arial" w:hAnsi="Arial"/>
                <w:sz w:val="14"/>
                <w:szCs w:val="14"/>
                <w:b w:val="1"/>
                <w:bCs w:val="1"/>
                <w:color w:val="auto"/>
              </w:rPr>
              <w:t>2019</w:t>
            </w:r>
          </w:p>
        </w:tc>
        <w:tc>
          <w:tcPr>
            <w:tcW w:w="4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5680" w:type="dxa"/>
            <w:vAlign w:val="bottom"/>
            <w:shd w:val="clear" w:color="auto" w:fill="CCEEFF"/>
          </w:tcPr>
          <w:p>
            <w:pPr>
              <w:spacing w:after="0"/>
              <w:rPr>
                <w:sz w:val="20"/>
                <w:szCs w:val="20"/>
                <w:color w:val="auto"/>
              </w:rPr>
            </w:pPr>
            <w:r>
              <w:rPr>
                <w:rFonts w:ascii="Arial" w:cs="Arial" w:eastAsia="Arial" w:hAnsi="Arial"/>
                <w:sz w:val="18"/>
                <w:szCs w:val="18"/>
                <w:color w:val="auto"/>
              </w:rPr>
              <w:t>Operating lease cost</w:t>
            </w:r>
          </w:p>
        </w:tc>
        <w:tc>
          <w:tcPr>
            <w:tcW w:w="62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2,103</w:t>
            </w:r>
          </w:p>
        </w:tc>
        <w:tc>
          <w:tcPr>
            <w:tcW w:w="50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2,095</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5680" w:type="dxa"/>
            <w:vAlign w:val="bottom"/>
          </w:tcPr>
          <w:p>
            <w:pPr>
              <w:spacing w:after="0"/>
              <w:rPr>
                <w:sz w:val="20"/>
                <w:szCs w:val="20"/>
                <w:color w:val="auto"/>
              </w:rPr>
            </w:pPr>
            <w:r>
              <w:rPr>
                <w:rFonts w:ascii="Arial" w:cs="Arial" w:eastAsia="Arial" w:hAnsi="Arial"/>
                <w:sz w:val="18"/>
                <w:szCs w:val="18"/>
                <w:color w:val="auto"/>
              </w:rPr>
              <w:t>Short-term and variable lease cost</w:t>
            </w:r>
          </w:p>
        </w:tc>
        <w:tc>
          <w:tcPr>
            <w:tcW w:w="62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128</w:t>
            </w:r>
          </w:p>
        </w:tc>
        <w:tc>
          <w:tcPr>
            <w:tcW w:w="50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138</w:t>
            </w: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56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 rent expense</w:t>
            </w:r>
          </w:p>
        </w:tc>
        <w:tc>
          <w:tcPr>
            <w:tcW w:w="62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2,231</w:t>
            </w:r>
          </w:p>
        </w:tc>
        <w:tc>
          <w:tcPr>
            <w:tcW w:w="50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2,233</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680" w:type="dxa"/>
            <w:vAlign w:val="bottom"/>
            <w:vMerge w:val="restart"/>
          </w:tcPr>
          <w:p>
            <w:pPr>
              <w:spacing w:after="0"/>
              <w:rPr>
                <w:sz w:val="20"/>
                <w:szCs w:val="20"/>
                <w:color w:val="auto"/>
              </w:rPr>
            </w:pPr>
            <w:r>
              <w:rPr>
                <w:rFonts w:ascii="Arial" w:cs="Arial" w:eastAsia="Arial" w:hAnsi="Arial"/>
                <w:sz w:val="18"/>
                <w:szCs w:val="18"/>
                <w:color w:val="auto"/>
              </w:rPr>
              <w:t>Cash paid for amounts included in the measurement of lease liabilities</w:t>
            </w:r>
          </w:p>
        </w:tc>
        <w:tc>
          <w:tcPr>
            <w:tcW w:w="720" w:type="dxa"/>
            <w:vAlign w:val="bottom"/>
            <w:gridSpan w:val="2"/>
          </w:tcPr>
          <w:p>
            <w:pPr>
              <w:spacing w:after="0" w:line="20" w:lineRule="exact"/>
              <w:rPr>
                <w:sz w:val="1"/>
                <w:szCs w:val="1"/>
                <w:color w:val="auto"/>
              </w:rPr>
            </w:pPr>
          </w:p>
        </w:tc>
        <w:tc>
          <w:tcPr>
            <w:tcW w:w="116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1"/>
        </w:trPr>
        <w:tc>
          <w:tcPr>
            <w:tcW w:w="5680" w:type="dxa"/>
            <w:vAlign w:val="bottom"/>
            <w:vMerge w:val="continue"/>
          </w:tcPr>
          <w:p>
            <w:pPr>
              <w:spacing w:after="0"/>
              <w:rPr>
                <w:sz w:val="18"/>
                <w:szCs w:val="18"/>
                <w:color w:val="auto"/>
              </w:rPr>
            </w:pPr>
          </w:p>
        </w:tc>
        <w:tc>
          <w:tcPr>
            <w:tcW w:w="620" w:type="dxa"/>
            <w:vAlign w:val="bottom"/>
          </w:tcPr>
          <w:p>
            <w:pPr>
              <w:spacing w:after="0"/>
              <w:rPr>
                <w:sz w:val="18"/>
                <w:szCs w:val="18"/>
                <w:color w:val="auto"/>
              </w:rPr>
            </w:pPr>
          </w:p>
        </w:tc>
        <w:tc>
          <w:tcPr>
            <w:tcW w:w="1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6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2,221</w:t>
            </w:r>
          </w:p>
        </w:tc>
        <w:tc>
          <w:tcPr>
            <w:tcW w:w="500" w:type="dxa"/>
            <w:vAlign w:val="bottom"/>
          </w:tcPr>
          <w:p>
            <w:pPr>
              <w:spacing w:after="0"/>
              <w:rPr>
                <w:sz w:val="18"/>
                <w:szCs w:val="18"/>
                <w:color w:val="auto"/>
              </w:rPr>
            </w:pPr>
          </w:p>
        </w:tc>
        <w:tc>
          <w:tcPr>
            <w:tcW w:w="10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2,098</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64"/>
        </w:trPr>
        <w:tc>
          <w:tcPr>
            <w:tcW w:w="5680" w:type="dxa"/>
            <w:vAlign w:val="bottom"/>
            <w:tcBorders>
              <w:bottom w:val="single" w:sz="8" w:color="CCEEFF"/>
            </w:tcBorders>
          </w:tcPr>
          <w:p>
            <w:pPr>
              <w:spacing w:after="0"/>
              <w:rPr>
                <w:sz w:val="24"/>
                <w:szCs w:val="24"/>
                <w:color w:val="auto"/>
              </w:rPr>
            </w:pPr>
          </w:p>
        </w:tc>
        <w:tc>
          <w:tcPr>
            <w:tcW w:w="620" w:type="dxa"/>
            <w:vAlign w:val="bottom"/>
            <w:tcBorders>
              <w:bottom w:val="single" w:sz="8" w:color="CCEEFF"/>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660" w:type="dxa"/>
            <w:vAlign w:val="bottom"/>
            <w:tcBorders>
              <w:bottom w:val="single" w:sz="8" w:color="auto"/>
            </w:tcBorders>
          </w:tcPr>
          <w:p>
            <w:pPr>
              <w:ind w:left="140"/>
              <w:spacing w:after="0"/>
              <w:rPr>
                <w:sz w:val="20"/>
                <w:szCs w:val="20"/>
                <w:color w:val="auto"/>
              </w:rPr>
            </w:pPr>
            <w:r>
              <w:rPr>
                <w:rFonts w:ascii="Arial" w:cs="Arial" w:eastAsia="Arial" w:hAnsi="Arial"/>
                <w:sz w:val="14"/>
                <w:szCs w:val="14"/>
                <w:b w:val="1"/>
                <w:bCs w:val="1"/>
                <w:color w:val="auto"/>
              </w:rPr>
              <w:t>2020</w:t>
            </w:r>
          </w:p>
        </w:tc>
        <w:tc>
          <w:tcPr>
            <w:tcW w:w="500" w:type="dxa"/>
            <w:vAlign w:val="bottom"/>
            <w:tcBorders>
              <w:bottom w:val="single" w:sz="8" w:color="CCEEFF"/>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660" w:type="dxa"/>
            <w:vAlign w:val="bottom"/>
            <w:tcBorders>
              <w:bottom w:val="single" w:sz="8" w:color="auto"/>
            </w:tcBorders>
          </w:tcPr>
          <w:p>
            <w:pPr>
              <w:ind w:left="140"/>
              <w:spacing w:after="0"/>
              <w:rPr>
                <w:sz w:val="20"/>
                <w:szCs w:val="20"/>
                <w:color w:val="auto"/>
              </w:rPr>
            </w:pPr>
            <w:r>
              <w:rPr>
                <w:rFonts w:ascii="Arial" w:cs="Arial" w:eastAsia="Arial" w:hAnsi="Arial"/>
                <w:sz w:val="14"/>
                <w:szCs w:val="14"/>
                <w:b w:val="1"/>
                <w:bCs w:val="1"/>
                <w:color w:val="auto"/>
              </w:rPr>
              <w:t>2019</w:t>
            </w:r>
          </w:p>
        </w:tc>
        <w:tc>
          <w:tcPr>
            <w:tcW w:w="40" w:type="dxa"/>
            <w:vAlign w:val="bottom"/>
            <w:tcBorders>
              <w:bottom w:val="single" w:sz="8" w:color="CCEEFF"/>
            </w:tcBorders>
          </w:tcPr>
          <w:p>
            <w:pPr>
              <w:spacing w:after="0"/>
              <w:rPr>
                <w:sz w:val="24"/>
                <w:szCs w:val="24"/>
                <w:color w:val="auto"/>
              </w:rPr>
            </w:pPr>
          </w:p>
        </w:tc>
        <w:tc>
          <w:tcPr>
            <w:tcW w:w="0" w:type="dxa"/>
            <w:vAlign w:val="bottom"/>
          </w:tcPr>
          <w:p>
            <w:pPr>
              <w:spacing w:after="0"/>
              <w:rPr>
                <w:sz w:val="1"/>
                <w:szCs w:val="1"/>
                <w:color w:val="auto"/>
              </w:rPr>
            </w:pPr>
          </w:p>
        </w:tc>
      </w:tr>
      <w:tr>
        <w:trPr>
          <w:trHeight w:val="209"/>
        </w:trPr>
        <w:tc>
          <w:tcPr>
            <w:tcW w:w="5680" w:type="dxa"/>
            <w:vAlign w:val="bottom"/>
            <w:shd w:val="clear" w:color="auto" w:fill="CCEEFF"/>
          </w:tcPr>
          <w:p>
            <w:pPr>
              <w:spacing w:after="0"/>
              <w:rPr>
                <w:sz w:val="20"/>
                <w:szCs w:val="20"/>
                <w:color w:val="auto"/>
              </w:rPr>
            </w:pPr>
            <w:r>
              <w:rPr>
                <w:rFonts w:ascii="Arial" w:cs="Arial" w:eastAsia="Arial" w:hAnsi="Arial"/>
                <w:sz w:val="18"/>
                <w:szCs w:val="18"/>
                <w:color w:val="auto"/>
              </w:rPr>
              <w:t>Weighted-average remaining lease term</w:t>
            </w:r>
          </w:p>
        </w:tc>
        <w:tc>
          <w:tcPr>
            <w:tcW w:w="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6"/>
              </w:rPr>
              <w:t>4.8 years</w:t>
            </w:r>
          </w:p>
        </w:tc>
        <w:tc>
          <w:tcPr>
            <w:tcW w:w="5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3"/>
              </w:rPr>
              <w:t>5.4 years</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5680" w:type="dxa"/>
            <w:vAlign w:val="bottom"/>
          </w:tcPr>
          <w:p>
            <w:pPr>
              <w:spacing w:after="0"/>
              <w:rPr>
                <w:sz w:val="20"/>
                <w:szCs w:val="20"/>
                <w:color w:val="auto"/>
              </w:rPr>
            </w:pPr>
            <w:r>
              <w:rPr>
                <w:rFonts w:ascii="Arial" w:cs="Arial" w:eastAsia="Arial" w:hAnsi="Arial"/>
                <w:sz w:val="18"/>
                <w:szCs w:val="18"/>
                <w:color w:val="auto"/>
              </w:rPr>
              <w:t>Weighted-average discount rate</w:t>
            </w:r>
          </w:p>
        </w:tc>
        <w:tc>
          <w:tcPr>
            <w:tcW w:w="6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60" w:type="dxa"/>
            <w:vAlign w:val="bottom"/>
          </w:tcPr>
          <w:p>
            <w:pPr>
              <w:ind w:left="140"/>
              <w:spacing w:after="0"/>
              <w:rPr>
                <w:sz w:val="20"/>
                <w:szCs w:val="20"/>
                <w:color w:val="auto"/>
              </w:rPr>
            </w:pPr>
            <w:r>
              <w:rPr>
                <w:rFonts w:ascii="Arial" w:cs="Arial" w:eastAsia="Arial" w:hAnsi="Arial"/>
                <w:sz w:val="18"/>
                <w:szCs w:val="18"/>
                <w:color w:val="auto"/>
              </w:rPr>
              <w:t>4.6%</w:t>
            </w:r>
          </w:p>
        </w:tc>
        <w:tc>
          <w:tcPr>
            <w:tcW w:w="5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60" w:type="dxa"/>
            <w:vAlign w:val="bottom"/>
          </w:tcPr>
          <w:p>
            <w:pPr>
              <w:ind w:left="140"/>
              <w:spacing w:after="0"/>
              <w:rPr>
                <w:sz w:val="20"/>
                <w:szCs w:val="20"/>
                <w:color w:val="auto"/>
              </w:rPr>
            </w:pPr>
            <w:r>
              <w:rPr>
                <w:rFonts w:ascii="Arial" w:cs="Arial" w:eastAsia="Arial" w:hAnsi="Arial"/>
                <w:sz w:val="18"/>
                <w:szCs w:val="18"/>
                <w:color w:val="auto"/>
              </w:rPr>
              <w:t>4.2%</w:t>
            </w: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187" w:lineRule="exact"/>
        <w:rPr>
          <w:sz w:val="20"/>
          <w:szCs w:val="20"/>
          <w:color w:val="auto"/>
        </w:rPr>
      </w:pPr>
    </w:p>
    <w:p>
      <w:pPr>
        <w:ind w:left="440"/>
        <w:spacing w:after="0"/>
        <w:rPr>
          <w:sz w:val="20"/>
          <w:szCs w:val="20"/>
          <w:color w:val="auto"/>
        </w:rPr>
      </w:pPr>
      <w:r>
        <w:rPr>
          <w:rFonts w:ascii="Arial" w:cs="Arial" w:eastAsia="Arial" w:hAnsi="Arial"/>
          <w:sz w:val="17"/>
          <w:szCs w:val="17"/>
          <w:color w:val="auto"/>
        </w:rPr>
        <w:t>Future minimum lease payment obligations under the Company’s nocancelable operating leases at December 31, 2020 were as follows:</w:t>
      </w:r>
    </w:p>
    <w:p>
      <w:pPr>
        <w:spacing w:after="0" w:line="243" w:lineRule="exact"/>
        <w:rPr>
          <w:sz w:val="20"/>
          <w:szCs w:val="20"/>
          <w:color w:val="auto"/>
        </w:rPr>
      </w:pPr>
    </w:p>
    <w:tbl>
      <w:tblPr>
        <w:tblLayout w:type="fixed"/>
        <w:tblInd w:w="1760" w:type="dxa"/>
        <w:tblCellMar>
          <w:top w:w="0" w:type="dxa"/>
          <w:left w:w="0" w:type="dxa"/>
          <w:bottom w:w="0" w:type="dxa"/>
          <w:right w:w="0" w:type="dxa"/>
        </w:tblCellMar>
      </w:tblPr>
      <w:tr>
        <w:trPr>
          <w:trHeight w:val="161"/>
        </w:trPr>
        <w:tc>
          <w:tcPr>
            <w:tcW w:w="6740" w:type="dxa"/>
            <w:vAlign w:val="bottom"/>
          </w:tcPr>
          <w:p>
            <w:pPr>
              <w:spacing w:after="0"/>
              <w:rPr>
                <w:sz w:val="14"/>
                <w:szCs w:val="14"/>
                <w:color w:val="auto"/>
              </w:rPr>
            </w:pPr>
          </w:p>
        </w:tc>
        <w:tc>
          <w:tcPr>
            <w:tcW w:w="74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auto"/>
                <w:w w:val="93"/>
              </w:rPr>
              <w:t>Operating</w:t>
            </w:r>
          </w:p>
        </w:tc>
      </w:tr>
      <w:tr>
        <w:trPr>
          <w:trHeight w:val="171"/>
        </w:trPr>
        <w:tc>
          <w:tcPr>
            <w:tcW w:w="6740" w:type="dxa"/>
            <w:vAlign w:val="bottom"/>
          </w:tcPr>
          <w:p>
            <w:pPr>
              <w:spacing w:after="0"/>
              <w:rPr>
                <w:sz w:val="14"/>
                <w:szCs w:val="14"/>
                <w:color w:val="auto"/>
              </w:rPr>
            </w:pPr>
          </w:p>
        </w:tc>
        <w:tc>
          <w:tcPr>
            <w:tcW w:w="74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rPr>
              <w:t>leasing</w:t>
            </w:r>
          </w:p>
        </w:tc>
      </w:tr>
      <w:tr>
        <w:trPr>
          <w:trHeight w:val="196"/>
        </w:trPr>
        <w:tc>
          <w:tcPr>
            <w:tcW w:w="674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color w:val="auto"/>
              </w:rPr>
              <w:t>Year ending December 31:</w:t>
            </w:r>
          </w:p>
        </w:tc>
        <w:tc>
          <w:tcPr>
            <w:tcW w:w="64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r>
      <w:tr>
        <w:trPr>
          <w:trHeight w:val="216"/>
        </w:trPr>
        <w:tc>
          <w:tcPr>
            <w:tcW w:w="6740" w:type="dxa"/>
            <w:vAlign w:val="bottom"/>
          </w:tcPr>
          <w:p>
            <w:pPr>
              <w:ind w:left="360"/>
              <w:spacing w:after="0"/>
              <w:rPr>
                <w:sz w:val="20"/>
                <w:szCs w:val="20"/>
                <w:color w:val="auto"/>
              </w:rPr>
            </w:pPr>
            <w:r>
              <w:rPr>
                <w:rFonts w:ascii="Arial" w:cs="Arial" w:eastAsia="Arial" w:hAnsi="Arial"/>
                <w:sz w:val="18"/>
                <w:szCs w:val="18"/>
                <w:color w:val="auto"/>
              </w:rPr>
              <w:t>2021</w:t>
            </w: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2,273</w:t>
            </w:r>
          </w:p>
        </w:tc>
      </w:tr>
      <w:tr>
        <w:trPr>
          <w:trHeight w:val="216"/>
        </w:trPr>
        <w:tc>
          <w:tcPr>
            <w:tcW w:w="67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2022</w:t>
            </w: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2,253</w:t>
            </w:r>
          </w:p>
        </w:tc>
      </w:tr>
      <w:tr>
        <w:trPr>
          <w:trHeight w:val="216"/>
        </w:trPr>
        <w:tc>
          <w:tcPr>
            <w:tcW w:w="6740" w:type="dxa"/>
            <w:vAlign w:val="bottom"/>
          </w:tcPr>
          <w:p>
            <w:pPr>
              <w:ind w:left="360"/>
              <w:spacing w:after="0"/>
              <w:rPr>
                <w:sz w:val="20"/>
                <w:szCs w:val="20"/>
                <w:color w:val="auto"/>
              </w:rPr>
            </w:pPr>
            <w:r>
              <w:rPr>
                <w:rFonts w:ascii="Arial" w:cs="Arial" w:eastAsia="Arial" w:hAnsi="Arial"/>
                <w:sz w:val="18"/>
                <w:szCs w:val="18"/>
                <w:color w:val="auto"/>
              </w:rPr>
              <w:t>2023</w:t>
            </w: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2,328</w:t>
            </w:r>
          </w:p>
        </w:tc>
      </w:tr>
      <w:tr>
        <w:trPr>
          <w:trHeight w:val="216"/>
        </w:trPr>
        <w:tc>
          <w:tcPr>
            <w:tcW w:w="67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2024</w:t>
            </w: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2,305</w:t>
            </w:r>
          </w:p>
        </w:tc>
      </w:tr>
      <w:tr>
        <w:trPr>
          <w:trHeight w:val="223"/>
        </w:trPr>
        <w:tc>
          <w:tcPr>
            <w:tcW w:w="6740" w:type="dxa"/>
            <w:vAlign w:val="bottom"/>
          </w:tcPr>
          <w:p>
            <w:pPr>
              <w:ind w:left="360"/>
              <w:spacing w:after="0"/>
              <w:rPr>
                <w:sz w:val="20"/>
                <w:szCs w:val="20"/>
                <w:color w:val="auto"/>
              </w:rPr>
            </w:pPr>
            <w:r>
              <w:rPr>
                <w:rFonts w:ascii="Arial" w:cs="Arial" w:eastAsia="Arial" w:hAnsi="Arial"/>
                <w:sz w:val="18"/>
                <w:szCs w:val="18"/>
                <w:color w:val="auto"/>
              </w:rPr>
              <w:t>2025 and thereafter</w:t>
            </w: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5,236</w:t>
            </w:r>
          </w:p>
        </w:tc>
        <w:tc>
          <w:tcPr>
            <w:tcW w:w="100" w:type="dxa"/>
            <w:vAlign w:val="bottom"/>
          </w:tcPr>
          <w:p>
            <w:pPr>
              <w:spacing w:after="0"/>
              <w:rPr>
                <w:sz w:val="19"/>
                <w:szCs w:val="19"/>
                <w:color w:val="auto"/>
              </w:rPr>
            </w:pPr>
          </w:p>
        </w:tc>
      </w:tr>
      <w:tr>
        <w:trPr>
          <w:trHeight w:val="216"/>
        </w:trPr>
        <w:tc>
          <w:tcPr>
            <w:tcW w:w="67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 minimum lease payments</w:t>
            </w: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14,395</w:t>
            </w:r>
          </w:p>
        </w:tc>
      </w:tr>
      <w:tr>
        <w:trPr>
          <w:trHeight w:val="223"/>
        </w:trPr>
        <w:tc>
          <w:tcPr>
            <w:tcW w:w="6740" w:type="dxa"/>
            <w:vAlign w:val="bottom"/>
          </w:tcPr>
          <w:p>
            <w:pPr>
              <w:ind w:left="360"/>
              <w:spacing w:after="0"/>
              <w:rPr>
                <w:sz w:val="20"/>
                <w:szCs w:val="20"/>
                <w:color w:val="auto"/>
              </w:rPr>
            </w:pPr>
            <w:r>
              <w:rPr>
                <w:rFonts w:ascii="Arial" w:cs="Arial" w:eastAsia="Arial" w:hAnsi="Arial"/>
                <w:sz w:val="18"/>
                <w:szCs w:val="18"/>
                <w:color w:val="auto"/>
              </w:rPr>
              <w:t>Less imputed interest</w:t>
            </w:r>
          </w:p>
        </w:tc>
        <w:tc>
          <w:tcPr>
            <w:tcW w:w="740" w:type="dxa"/>
            <w:vAlign w:val="bottom"/>
            <w:gridSpan w:val="2"/>
          </w:tcPr>
          <w:p>
            <w:pPr>
              <w:jc w:val="right"/>
              <w:ind w:right="40"/>
              <w:spacing w:after="0"/>
              <w:rPr>
                <w:sz w:val="20"/>
                <w:szCs w:val="20"/>
                <w:color w:val="auto"/>
              </w:rPr>
            </w:pPr>
            <w:r>
              <w:rPr>
                <w:rFonts w:ascii="Arial" w:cs="Arial" w:eastAsia="Arial" w:hAnsi="Arial"/>
                <w:sz w:val="18"/>
                <w:szCs w:val="18"/>
                <w:color w:val="auto"/>
              </w:rPr>
              <w:t>(1,759)</w:t>
            </w:r>
          </w:p>
        </w:tc>
      </w:tr>
      <w:tr>
        <w:trPr>
          <w:trHeight w:val="216"/>
        </w:trPr>
        <w:tc>
          <w:tcPr>
            <w:tcW w:w="6740" w:type="dxa"/>
            <w:vAlign w:val="bottom"/>
            <w:shd w:val="clear" w:color="auto" w:fill="CCEEFF"/>
          </w:tcPr>
          <w:p>
            <w:pPr>
              <w:ind w:left="720"/>
              <w:spacing w:after="0"/>
              <w:rPr>
                <w:sz w:val="20"/>
                <w:szCs w:val="20"/>
                <w:color w:val="auto"/>
              </w:rPr>
            </w:pPr>
            <w:r>
              <w:rPr>
                <w:rFonts w:ascii="Arial" w:cs="Arial" w:eastAsia="Arial" w:hAnsi="Arial"/>
                <w:sz w:val="18"/>
                <w:szCs w:val="18"/>
                <w:color w:val="auto"/>
              </w:rPr>
              <w:t>Total present value of operating lease liabilities</w:t>
            </w:r>
          </w:p>
        </w:tc>
        <w:tc>
          <w:tcPr>
            <w:tcW w:w="6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8"/>
              </w:rPr>
              <w:t>$ 12,636</w:t>
            </w:r>
          </w:p>
        </w:tc>
        <w:tc>
          <w:tcPr>
            <w:tcW w:w="100" w:type="dxa"/>
            <w:vAlign w:val="bottom"/>
            <w:shd w:val="clear" w:color="auto" w:fill="CCEEFF"/>
          </w:tcPr>
          <w:p>
            <w:pPr>
              <w:spacing w:after="0"/>
              <w:rPr>
                <w:sz w:val="18"/>
                <w:szCs w:val="18"/>
                <w:color w:val="auto"/>
              </w:rPr>
            </w:pPr>
          </w:p>
        </w:tc>
      </w:tr>
      <w:tr>
        <w:trPr>
          <w:trHeight w:val="20"/>
        </w:trPr>
        <w:tc>
          <w:tcPr>
            <w:tcW w:w="6740" w:type="dxa"/>
            <w:vAlign w:val="bottom"/>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1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(6) Allowance for Credit Losses</w:t>
      </w:r>
    </w:p>
    <w:p>
      <w:pPr>
        <w:spacing w:after="0" w:line="121" w:lineRule="exact"/>
        <w:rPr>
          <w:sz w:val="20"/>
          <w:szCs w:val="20"/>
          <w:color w:val="auto"/>
        </w:rPr>
      </w:pPr>
    </w:p>
    <w:p>
      <w:pPr>
        <w:jc w:val="both"/>
        <w:ind w:right="100" w:firstLine="440"/>
        <w:spacing w:after="0" w:line="263" w:lineRule="auto"/>
        <w:rPr>
          <w:sz w:val="20"/>
          <w:szCs w:val="20"/>
          <w:color w:val="auto"/>
        </w:rPr>
      </w:pPr>
      <w:r>
        <w:rPr>
          <w:rFonts w:ascii="Arial" w:cs="Arial" w:eastAsia="Arial" w:hAnsi="Arial"/>
          <w:sz w:val="18"/>
          <w:szCs w:val="18"/>
          <w:color w:val="auto"/>
        </w:rPr>
        <w:t>The Company’s allowance for credit losses is estimated based on historical losses, current economic conditions, and ongoing review of the credit worthiness, but not limited to, each lessee’s payment history, lessee credit ratings, management’s current assessment of each lessee’s financial condition and the recoverability.</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Accounts Receivable</w:t>
      </w:r>
    </w:p>
    <w:p>
      <w:pPr>
        <w:spacing w:after="0" w:line="117" w:lineRule="exact"/>
        <w:rPr>
          <w:sz w:val="20"/>
          <w:szCs w:val="20"/>
          <w:color w:val="auto"/>
        </w:rPr>
      </w:pPr>
    </w:p>
    <w:p>
      <w:pPr>
        <w:ind w:right="200" w:firstLine="440"/>
        <w:spacing w:after="0" w:line="259" w:lineRule="auto"/>
        <w:rPr>
          <w:sz w:val="20"/>
          <w:szCs w:val="20"/>
          <w:color w:val="auto"/>
        </w:rPr>
      </w:pPr>
      <w:r>
        <w:rPr>
          <w:rFonts w:ascii="Arial" w:cs="Arial" w:eastAsia="Arial" w:hAnsi="Arial"/>
          <w:sz w:val="18"/>
          <w:szCs w:val="18"/>
          <w:color w:val="auto"/>
        </w:rPr>
        <w:t>The Company maintains allowances, if necessary, for doubtful accounts against accounts receivables resulting from the inability of its lessees to make required payments related to billed amounts under the operating leases, finance leases, container leaseback financing receivable, sales of owned fleet containers and trading containers. The allowance for credit losses included in accounts receivable, net, amounted to $2,663 and $6,299 as of December 31, 2020 and 2019, respectively.</w:t>
      </w:r>
    </w:p>
    <w:p>
      <w:pPr>
        <w:spacing w:after="0" w:line="187" w:lineRule="exact"/>
        <w:rPr>
          <w:sz w:val="20"/>
          <w:szCs w:val="20"/>
          <w:color w:val="auto"/>
        </w:rPr>
      </w:pPr>
    </w:p>
    <w:p>
      <w:pPr>
        <w:ind w:firstLine="440"/>
        <w:spacing w:after="0" w:line="311" w:lineRule="auto"/>
        <w:rPr>
          <w:sz w:val="20"/>
          <w:szCs w:val="20"/>
          <w:color w:val="auto"/>
        </w:rPr>
      </w:pPr>
      <w:r>
        <w:rPr>
          <w:rFonts w:ascii="Arial" w:cs="Arial" w:eastAsia="Arial" w:hAnsi="Arial"/>
          <w:sz w:val="16"/>
          <w:szCs w:val="16"/>
          <w:color w:val="auto"/>
        </w:rPr>
        <w:t>As of December 31, 2020 and 2019, the Company does not have an allowance for credit losses related to the billed amounts under the container leaseback financing receivable and does not have any past due balances relating to such transactions. As of December 31, 2020 and 2019, the allowance for credit losses related to the billed amounts under the finance leases and included in accounts receivable, net, amounted to $735 and $675, respectively.</w:t>
      </w:r>
    </w:p>
    <w:p>
      <w:pPr>
        <w:spacing w:after="0" w:line="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F-32</w:t>
      </w:r>
    </w:p>
    <w:p>
      <w:pPr>
        <w:sectPr>
          <w:pgSz w:w="11900" w:h="16838" w:orient="portrait"/>
          <w:cols w:equalWidth="0" w:num="1">
            <w:col w:w="11020"/>
          </w:cols>
          <w:pgMar w:left="440" w:top="274" w:right="439" w:bottom="1440" w:gutter="0" w:footer="0" w:header="0"/>
        </w:sectPr>
      </w:pPr>
    </w:p>
    <w:bookmarkStart w:id="146" w:name="page147"/>
    <w:bookmarkEnd w:id="146"/>
    <w:p>
      <w:pPr>
        <w:spacing w:after="0"/>
        <w:rPr>
          <w:sz w:val="20"/>
          <w:szCs w:val="20"/>
          <w:color w:val="auto"/>
        </w:rPr>
      </w:pPr>
      <w:r>
        <w:rPr>
          <w:rFonts w:ascii="Arial" w:cs="Arial" w:eastAsia="Arial" w:hAnsi="Arial"/>
          <w:sz w:val="18"/>
          <w:szCs w:val="18"/>
          <w:i w:val="1"/>
          <w:i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Net Investment in Finance Leases and Container Leaseback Financing Receivable</w:t>
      </w:r>
    </w:p>
    <w:p>
      <w:pPr>
        <w:spacing w:after="0" w:line="117" w:lineRule="exact"/>
        <w:rPr>
          <w:sz w:val="20"/>
          <w:szCs w:val="20"/>
          <w:color w:val="auto"/>
        </w:rPr>
      </w:pPr>
    </w:p>
    <w:p>
      <w:pPr>
        <w:ind w:right="100" w:firstLine="440"/>
        <w:spacing w:after="0" w:line="257" w:lineRule="auto"/>
        <w:rPr>
          <w:sz w:val="20"/>
          <w:szCs w:val="20"/>
          <w:color w:val="auto"/>
        </w:rPr>
      </w:pPr>
      <w:r>
        <w:rPr>
          <w:rFonts w:ascii="Arial" w:cs="Arial" w:eastAsia="Arial" w:hAnsi="Arial"/>
          <w:sz w:val="18"/>
          <w:szCs w:val="18"/>
          <w:color w:val="auto"/>
        </w:rPr>
        <w:t>The Company maintains allowances for credit losses against net investment in finance leases and container leaseback financing receivable related to unbilled amounts under the finance leases and the sales-type leaseback arrangements accounted for as financing receivable. The allowance for credit losses related to unbilled amounts under finance leases and included in net investment in finance leases, net, amounted to $1,333 as of December 31, 2020. The allowance for credit losses related to unbilled amounts under the financing arrangements and included in container leaseback financing receivable, net, amounted to $424 as of December 31, 2020.</w:t>
      </w:r>
    </w:p>
    <w:p>
      <w:pPr>
        <w:spacing w:after="0" w:line="188" w:lineRule="exact"/>
        <w:rPr>
          <w:sz w:val="20"/>
          <w:szCs w:val="20"/>
          <w:color w:val="auto"/>
        </w:rPr>
      </w:pPr>
    </w:p>
    <w:p>
      <w:pPr>
        <w:ind w:right="120" w:firstLine="440"/>
        <w:spacing w:after="0" w:line="279" w:lineRule="auto"/>
        <w:rPr>
          <w:sz w:val="20"/>
          <w:szCs w:val="20"/>
          <w:color w:val="auto"/>
        </w:rPr>
      </w:pPr>
      <w:r>
        <w:rPr>
          <w:rFonts w:ascii="Arial" w:cs="Arial" w:eastAsia="Arial" w:hAnsi="Arial"/>
          <w:sz w:val="17"/>
          <w:szCs w:val="17"/>
          <w:color w:val="auto"/>
        </w:rPr>
        <w:t>The Company evaluates its exposure by portfolio with similar risk characteristics based on the credit worthiness, external credit data and overall credit quality of its lessees. As of December 31, 2020, the Company’s net investment in finance leases and container leaseback financing receivable are primarily comprised of the largest shipping lines under “Tier 1” risk rating which represented 86.4% and 89.7%, respectively, of the Company’s portfolio (see Note (f) “Nature of Business and Summary of Significant Accounting Policies” for description of internal risk ratings).</w:t>
      </w:r>
    </w:p>
    <w:p>
      <w:pPr>
        <w:spacing w:after="0" w:line="171" w:lineRule="exact"/>
        <w:rPr>
          <w:sz w:val="20"/>
          <w:szCs w:val="20"/>
          <w:color w:val="auto"/>
        </w:rPr>
      </w:pPr>
    </w:p>
    <w:p>
      <w:pPr>
        <w:ind w:right="260" w:firstLine="440"/>
        <w:spacing w:after="0" w:line="277" w:lineRule="auto"/>
        <w:rPr>
          <w:sz w:val="20"/>
          <w:szCs w:val="20"/>
          <w:color w:val="auto"/>
        </w:rPr>
      </w:pPr>
      <w:r>
        <w:rPr>
          <w:rFonts w:ascii="Arial" w:cs="Arial" w:eastAsia="Arial" w:hAnsi="Arial"/>
          <w:sz w:val="18"/>
          <w:szCs w:val="18"/>
          <w:color w:val="auto"/>
        </w:rPr>
        <w:t>The following table presents the net investment in finance leases and container leaseback financing receivable by internal credit rating category and year of origination as of December 31, 2020:</w:t>
      </w:r>
    </w:p>
    <w:p>
      <w:pPr>
        <w:spacing w:after="0" w:line="176"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5020" w:type="dxa"/>
            <w:vAlign w:val="bottom"/>
          </w:tcPr>
          <w:p>
            <w:pPr>
              <w:spacing w:after="0"/>
              <w:rPr>
                <w:sz w:val="14"/>
                <w:szCs w:val="14"/>
                <w:color w:val="auto"/>
              </w:rPr>
            </w:pPr>
          </w:p>
        </w:tc>
        <w:tc>
          <w:tcPr>
            <w:tcW w:w="860" w:type="dxa"/>
            <w:vAlign w:val="bottom"/>
            <w:gridSpan w:val="3"/>
          </w:tcPr>
          <w:p>
            <w:pPr>
              <w:ind w:left="60"/>
              <w:spacing w:after="0"/>
              <w:rPr>
                <w:sz w:val="20"/>
                <w:szCs w:val="20"/>
                <w:color w:val="auto"/>
              </w:rPr>
            </w:pPr>
            <w:r>
              <w:rPr>
                <w:rFonts w:ascii="Arial" w:cs="Arial" w:eastAsia="Arial" w:hAnsi="Arial"/>
                <w:sz w:val="14"/>
                <w:szCs w:val="14"/>
                <w:b w:val="1"/>
                <w:bCs w:val="1"/>
                <w:color w:val="auto"/>
              </w:rPr>
              <w:t>Year Ended</w:t>
            </w:r>
          </w:p>
        </w:tc>
        <w:tc>
          <w:tcPr>
            <w:tcW w:w="24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8"/>
        </w:trPr>
        <w:tc>
          <w:tcPr>
            <w:tcW w:w="5020" w:type="dxa"/>
            <w:vAlign w:val="bottom"/>
          </w:tcPr>
          <w:p>
            <w:pPr>
              <w:spacing w:after="0"/>
              <w:rPr>
                <w:sz w:val="12"/>
                <w:szCs w:val="12"/>
                <w:color w:val="auto"/>
              </w:rPr>
            </w:pPr>
          </w:p>
        </w:tc>
        <w:tc>
          <w:tcPr>
            <w:tcW w:w="860" w:type="dxa"/>
            <w:vAlign w:val="bottom"/>
            <w:gridSpan w:val="3"/>
          </w:tcPr>
          <w:p>
            <w:pPr>
              <w:spacing w:after="0" w:line="149" w:lineRule="exact"/>
              <w:rPr>
                <w:sz w:val="20"/>
                <w:szCs w:val="20"/>
                <w:color w:val="auto"/>
              </w:rPr>
            </w:pPr>
            <w:r>
              <w:rPr>
                <w:rFonts w:ascii="Arial" w:cs="Arial" w:eastAsia="Arial" w:hAnsi="Arial"/>
                <w:sz w:val="14"/>
                <w:szCs w:val="14"/>
                <w:b w:val="1"/>
                <w:bCs w:val="1"/>
                <w:color w:val="auto"/>
                <w:w w:val="92"/>
              </w:rPr>
              <w:t>December 31,</w:t>
            </w:r>
          </w:p>
        </w:tc>
        <w:tc>
          <w:tcPr>
            <w:tcW w:w="920" w:type="dxa"/>
            <w:vAlign w:val="bottom"/>
            <w:gridSpan w:val="2"/>
            <w:vMerge w:val="restart"/>
          </w:tcPr>
          <w:p>
            <w:pPr>
              <w:jc w:val="right"/>
              <w:ind w:right="110"/>
              <w:spacing w:after="0"/>
              <w:rPr>
                <w:sz w:val="20"/>
                <w:szCs w:val="20"/>
                <w:color w:val="auto"/>
              </w:rPr>
            </w:pPr>
            <w:r>
              <w:rPr>
                <w:rFonts w:ascii="Arial" w:cs="Arial" w:eastAsia="Arial" w:hAnsi="Arial"/>
                <w:sz w:val="14"/>
                <w:szCs w:val="14"/>
                <w:b w:val="1"/>
                <w:bCs w:val="1"/>
                <w:color w:val="auto"/>
              </w:rPr>
              <w:t>2019</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00" w:type="dxa"/>
            <w:vAlign w:val="bottom"/>
            <w:vMerge w:val="restart"/>
          </w:tcPr>
          <w:p>
            <w:pPr>
              <w:jc w:val="right"/>
              <w:ind w:right="72"/>
              <w:spacing w:after="0"/>
              <w:rPr>
                <w:sz w:val="20"/>
                <w:szCs w:val="20"/>
                <w:color w:val="auto"/>
              </w:rPr>
            </w:pPr>
            <w:r>
              <w:rPr>
                <w:rFonts w:ascii="Arial" w:cs="Arial" w:eastAsia="Arial" w:hAnsi="Arial"/>
                <w:sz w:val="14"/>
                <w:szCs w:val="14"/>
                <w:b w:val="1"/>
                <w:bCs w:val="1"/>
                <w:color w:val="auto"/>
              </w:rPr>
              <w:t>2018</w:t>
            </w:r>
          </w:p>
        </w:tc>
        <w:tc>
          <w:tcPr>
            <w:tcW w:w="2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0" w:type="dxa"/>
            <w:vAlign w:val="bottom"/>
            <w:vMerge w:val="restart"/>
          </w:tcPr>
          <w:p>
            <w:pPr>
              <w:jc w:val="right"/>
              <w:ind w:right="12"/>
              <w:spacing w:after="0"/>
              <w:rPr>
                <w:sz w:val="20"/>
                <w:szCs w:val="20"/>
                <w:color w:val="auto"/>
              </w:rPr>
            </w:pPr>
            <w:r>
              <w:rPr>
                <w:rFonts w:ascii="Arial" w:cs="Arial" w:eastAsia="Arial" w:hAnsi="Arial"/>
                <w:sz w:val="14"/>
                <w:szCs w:val="14"/>
                <w:b w:val="1"/>
                <w:bCs w:val="1"/>
                <w:color w:val="auto"/>
                <w:w w:val="89"/>
              </w:rPr>
              <w:t>2017</w:t>
            </w:r>
          </w:p>
        </w:tc>
        <w:tc>
          <w:tcPr>
            <w:tcW w:w="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0" w:type="dxa"/>
            <w:vAlign w:val="bottom"/>
            <w:vMerge w:val="restart"/>
          </w:tcPr>
          <w:p>
            <w:pPr>
              <w:jc w:val="right"/>
              <w:ind w:right="12"/>
              <w:spacing w:after="0"/>
              <w:rPr>
                <w:sz w:val="20"/>
                <w:szCs w:val="20"/>
                <w:color w:val="auto"/>
              </w:rPr>
            </w:pPr>
            <w:r>
              <w:rPr>
                <w:rFonts w:ascii="Arial" w:cs="Arial" w:eastAsia="Arial" w:hAnsi="Arial"/>
                <w:sz w:val="14"/>
                <w:szCs w:val="14"/>
                <w:b w:val="1"/>
                <w:bCs w:val="1"/>
                <w:color w:val="auto"/>
                <w:w w:val="89"/>
              </w:rPr>
              <w:t>2016</w:t>
            </w:r>
          </w:p>
        </w:tc>
        <w:tc>
          <w:tcPr>
            <w:tcW w:w="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20" w:type="dxa"/>
            <w:vAlign w:val="bottom"/>
            <w:gridSpan w:val="2"/>
            <w:vMerge w:val="restart"/>
          </w:tcPr>
          <w:p>
            <w:pPr>
              <w:ind w:left="40"/>
              <w:spacing w:after="0"/>
              <w:rPr>
                <w:sz w:val="20"/>
                <w:szCs w:val="20"/>
                <w:color w:val="auto"/>
              </w:rPr>
            </w:pPr>
            <w:r>
              <w:rPr>
                <w:rFonts w:ascii="Arial" w:cs="Arial" w:eastAsia="Arial" w:hAnsi="Arial"/>
                <w:sz w:val="14"/>
                <w:szCs w:val="14"/>
                <w:b w:val="1"/>
                <w:bCs w:val="1"/>
                <w:color w:val="auto"/>
              </w:rPr>
              <w:t>Prior</w:t>
            </w:r>
          </w:p>
        </w:tc>
        <w:tc>
          <w:tcPr>
            <w:tcW w:w="120" w:type="dxa"/>
            <w:vAlign w:val="bottom"/>
          </w:tcPr>
          <w:p>
            <w:pPr>
              <w:spacing w:after="0"/>
              <w:rPr>
                <w:sz w:val="12"/>
                <w:szCs w:val="12"/>
                <w:color w:val="auto"/>
              </w:rPr>
            </w:pPr>
          </w:p>
        </w:tc>
        <w:tc>
          <w:tcPr>
            <w:tcW w:w="760" w:type="dxa"/>
            <w:vAlign w:val="bottom"/>
            <w:gridSpan w:val="2"/>
            <w:vMerge w:val="restart"/>
          </w:tcPr>
          <w:p>
            <w:pPr>
              <w:ind w:left="200"/>
              <w:spacing w:after="0"/>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171"/>
        </w:trPr>
        <w:tc>
          <w:tcPr>
            <w:tcW w:w="50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80" w:type="dxa"/>
            <w:vAlign w:val="bottom"/>
          </w:tcPr>
          <w:p>
            <w:pPr>
              <w:jc w:val="right"/>
              <w:ind w:right="192"/>
              <w:spacing w:after="0"/>
              <w:rPr>
                <w:sz w:val="20"/>
                <w:szCs w:val="20"/>
                <w:color w:val="auto"/>
              </w:rPr>
            </w:pPr>
            <w:r>
              <w:rPr>
                <w:rFonts w:ascii="Arial" w:cs="Arial" w:eastAsia="Arial" w:hAnsi="Arial"/>
                <w:sz w:val="14"/>
                <w:szCs w:val="14"/>
                <w:b w:val="1"/>
                <w:bCs w:val="1"/>
                <w:color w:val="auto"/>
              </w:rPr>
              <w:t>2020</w:t>
            </w:r>
          </w:p>
        </w:tc>
        <w:tc>
          <w:tcPr>
            <w:tcW w:w="20" w:type="dxa"/>
            <w:vAlign w:val="bottom"/>
          </w:tcPr>
          <w:p>
            <w:pPr>
              <w:spacing w:after="0"/>
              <w:rPr>
                <w:sz w:val="14"/>
                <w:szCs w:val="14"/>
                <w:color w:val="auto"/>
              </w:rPr>
            </w:pPr>
          </w:p>
        </w:tc>
        <w:tc>
          <w:tcPr>
            <w:tcW w:w="920" w:type="dxa"/>
            <w:vAlign w:val="bottom"/>
            <w:gridSpan w:val="2"/>
            <w:vMerge w:val="continue"/>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00" w:type="dxa"/>
            <w:vAlign w:val="bottom"/>
            <w:vMerge w:val="continue"/>
          </w:tcPr>
          <w:p>
            <w:pPr>
              <w:spacing w:after="0"/>
              <w:rPr>
                <w:sz w:val="14"/>
                <w:szCs w:val="14"/>
                <w:color w:val="auto"/>
              </w:rPr>
            </w:pPr>
          </w:p>
        </w:tc>
        <w:tc>
          <w:tcPr>
            <w:tcW w:w="2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0" w:type="dxa"/>
            <w:vAlign w:val="bottom"/>
            <w:vMerge w:val="continue"/>
          </w:tcPr>
          <w:p>
            <w:pPr>
              <w:spacing w:after="0"/>
              <w:rPr>
                <w:sz w:val="14"/>
                <w:szCs w:val="14"/>
                <w:color w:val="auto"/>
              </w:rPr>
            </w:pPr>
          </w:p>
        </w:tc>
        <w:tc>
          <w:tcPr>
            <w:tcW w:w="2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0" w:type="dxa"/>
            <w:vAlign w:val="bottom"/>
            <w:vMerge w:val="continue"/>
          </w:tcPr>
          <w:p>
            <w:pPr>
              <w:spacing w:after="0"/>
              <w:rPr>
                <w:sz w:val="14"/>
                <w:szCs w:val="14"/>
                <w:color w:val="auto"/>
              </w:rPr>
            </w:pPr>
          </w:p>
        </w:tc>
        <w:tc>
          <w:tcPr>
            <w:tcW w:w="2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20" w:type="dxa"/>
            <w:vAlign w:val="bottom"/>
            <w:gridSpan w:val="2"/>
            <w:vMerge w:val="continue"/>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gridSpan w:val="2"/>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502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Tier 1</w:t>
            </w:r>
          </w:p>
        </w:tc>
        <w:tc>
          <w:tcPr>
            <w:tcW w:w="1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6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571,226</w:t>
            </w:r>
          </w:p>
        </w:tc>
        <w:tc>
          <w:tcPr>
            <w:tcW w:w="20" w:type="dxa"/>
            <w:vAlign w:val="bottom"/>
            <w:tcBorders>
              <w:top w:val="single" w:sz="8" w:color="CCEEFF"/>
            </w:tcBorders>
            <w:shd w:val="clear" w:color="auto" w:fill="CCEEFF"/>
          </w:tcPr>
          <w:p>
            <w:pPr>
              <w:spacing w:after="0"/>
              <w:rPr>
                <w:sz w:val="18"/>
                <w:szCs w:val="18"/>
                <w:color w:val="auto"/>
              </w:rPr>
            </w:pPr>
          </w:p>
        </w:tc>
        <w:tc>
          <w:tcPr>
            <w:tcW w:w="240" w:type="dxa"/>
            <w:vAlign w:val="bottom"/>
            <w:tcBorders>
              <w:top w:val="single" w:sz="8" w:color="CCEEFF"/>
            </w:tcBorders>
            <w:shd w:val="clear" w:color="auto" w:fill="CCEEFF"/>
          </w:tcPr>
          <w:p>
            <w:pPr>
              <w:spacing w:after="0"/>
              <w:rPr>
                <w:sz w:val="18"/>
                <w:szCs w:val="18"/>
                <w:color w:val="auto"/>
              </w:rPr>
            </w:pPr>
          </w:p>
        </w:tc>
        <w:tc>
          <w:tcPr>
            <w:tcW w:w="6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2"/>
              </w:rPr>
              <w:t>$ 111,206</w:t>
            </w:r>
          </w:p>
        </w:tc>
        <w:tc>
          <w:tcPr>
            <w:tcW w:w="120" w:type="dxa"/>
            <w:vAlign w:val="bottom"/>
            <w:tcBorders>
              <w:top w:val="single" w:sz="8" w:color="CCEEFF"/>
            </w:tcBorders>
            <w:shd w:val="clear" w:color="auto" w:fill="CCEEFF"/>
          </w:tcPr>
          <w:p>
            <w:pPr>
              <w:spacing w:after="0"/>
              <w:rPr>
                <w:sz w:val="18"/>
                <w:szCs w:val="18"/>
                <w:color w:val="auto"/>
              </w:rPr>
            </w:pPr>
          </w:p>
        </w:tc>
        <w:tc>
          <w:tcPr>
            <w:tcW w:w="14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7"/>
              </w:rPr>
              <w:t>35,580</w:t>
            </w:r>
          </w:p>
        </w:tc>
        <w:tc>
          <w:tcPr>
            <w:tcW w:w="24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4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4"/>
              </w:rPr>
              <w:t>7,221</w:t>
            </w:r>
          </w:p>
        </w:tc>
        <w:tc>
          <w:tcPr>
            <w:tcW w:w="26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4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6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7"/>
              </w:rPr>
              <w:t>36,625</w:t>
            </w:r>
          </w:p>
        </w:tc>
        <w:tc>
          <w:tcPr>
            <w:tcW w:w="12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CCEEFF"/>
            </w:tcBorders>
            <w:shd w:val="clear" w:color="auto" w:fill="CCEEFF"/>
          </w:tcPr>
          <w:p>
            <w:pPr>
              <w:spacing w:after="0"/>
              <w:rPr>
                <w:sz w:val="18"/>
                <w:szCs w:val="18"/>
                <w:color w:val="auto"/>
              </w:rPr>
            </w:pPr>
          </w:p>
        </w:tc>
        <w:tc>
          <w:tcPr>
            <w:tcW w:w="7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0"/>
              </w:rPr>
              <w:t>$761,858</w:t>
            </w:r>
          </w:p>
        </w:tc>
        <w:tc>
          <w:tcPr>
            <w:tcW w:w="6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020" w:type="dxa"/>
            <w:vAlign w:val="bottom"/>
          </w:tcPr>
          <w:p>
            <w:pPr>
              <w:spacing w:after="0"/>
              <w:rPr>
                <w:sz w:val="20"/>
                <w:szCs w:val="20"/>
                <w:color w:val="auto"/>
              </w:rPr>
            </w:pPr>
            <w:r>
              <w:rPr>
                <w:rFonts w:ascii="Arial" w:cs="Arial" w:eastAsia="Arial" w:hAnsi="Arial"/>
                <w:sz w:val="18"/>
                <w:szCs w:val="18"/>
                <w:color w:val="auto"/>
              </w:rPr>
              <w:t>Tier 2</w:t>
            </w:r>
          </w:p>
        </w:tc>
        <w:tc>
          <w:tcPr>
            <w:tcW w:w="160" w:type="dxa"/>
            <w:vAlign w:val="bottom"/>
          </w:tcPr>
          <w:p>
            <w:pPr>
              <w:spacing w:after="0"/>
              <w:rPr>
                <w:sz w:val="18"/>
                <w:szCs w:val="18"/>
                <w:color w:val="auto"/>
              </w:rPr>
            </w:pPr>
          </w:p>
        </w:tc>
        <w:tc>
          <w:tcPr>
            <w:tcW w:w="700" w:type="dxa"/>
            <w:vAlign w:val="bottom"/>
            <w:gridSpan w:val="2"/>
          </w:tcPr>
          <w:p>
            <w:pPr>
              <w:jc w:val="right"/>
              <w:ind w:right="20"/>
              <w:spacing w:after="0"/>
              <w:rPr>
                <w:sz w:val="20"/>
                <w:szCs w:val="20"/>
                <w:color w:val="auto"/>
              </w:rPr>
            </w:pPr>
            <w:r>
              <w:rPr>
                <w:rFonts w:ascii="Arial" w:cs="Arial" w:eastAsia="Arial" w:hAnsi="Arial"/>
                <w:sz w:val="18"/>
                <w:szCs w:val="18"/>
                <w:color w:val="auto"/>
              </w:rPr>
              <w:t>40,657</w:t>
            </w:r>
          </w:p>
        </w:tc>
        <w:tc>
          <w:tcPr>
            <w:tcW w:w="1040" w:type="dxa"/>
            <w:vAlign w:val="bottom"/>
            <w:gridSpan w:val="3"/>
          </w:tcPr>
          <w:p>
            <w:pPr>
              <w:jc w:val="right"/>
              <w:ind w:right="120"/>
              <w:spacing w:after="0"/>
              <w:rPr>
                <w:sz w:val="20"/>
                <w:szCs w:val="20"/>
                <w:color w:val="auto"/>
              </w:rPr>
            </w:pPr>
            <w:r>
              <w:rPr>
                <w:rFonts w:ascii="Arial" w:cs="Arial" w:eastAsia="Arial" w:hAnsi="Arial"/>
                <w:sz w:val="18"/>
                <w:szCs w:val="18"/>
                <w:color w:val="auto"/>
              </w:rPr>
              <w:t>37,176</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gridSpan w:val="2"/>
          </w:tcPr>
          <w:p>
            <w:pPr>
              <w:jc w:val="right"/>
              <w:ind w:right="240"/>
              <w:spacing w:after="0"/>
              <w:rPr>
                <w:sz w:val="20"/>
                <w:szCs w:val="20"/>
                <w:color w:val="auto"/>
              </w:rPr>
            </w:pPr>
            <w:r>
              <w:rPr>
                <w:rFonts w:ascii="Arial" w:cs="Arial" w:eastAsia="Arial" w:hAnsi="Arial"/>
                <w:sz w:val="18"/>
                <w:szCs w:val="18"/>
                <w:color w:val="auto"/>
                <w:w w:val="87"/>
              </w:rPr>
              <w:t>21,164</w:t>
            </w:r>
          </w:p>
        </w:tc>
        <w:tc>
          <w:tcPr>
            <w:tcW w:w="100" w:type="dxa"/>
            <w:vAlign w:val="bottom"/>
          </w:tcPr>
          <w:p>
            <w:pPr>
              <w:spacing w:after="0"/>
              <w:rPr>
                <w:sz w:val="18"/>
                <w:szCs w:val="18"/>
                <w:color w:val="auto"/>
              </w:rPr>
            </w:pPr>
          </w:p>
        </w:tc>
        <w:tc>
          <w:tcPr>
            <w:tcW w:w="660" w:type="dxa"/>
            <w:vAlign w:val="bottom"/>
            <w:gridSpan w:val="2"/>
          </w:tcPr>
          <w:p>
            <w:pPr>
              <w:jc w:val="right"/>
              <w:ind w:right="260"/>
              <w:spacing w:after="0"/>
              <w:rPr>
                <w:sz w:val="20"/>
                <w:szCs w:val="20"/>
                <w:color w:val="auto"/>
              </w:rPr>
            </w:pPr>
            <w:r>
              <w:rPr>
                <w:rFonts w:ascii="Arial" w:cs="Arial" w:eastAsia="Arial" w:hAnsi="Arial"/>
                <w:sz w:val="18"/>
                <w:szCs w:val="18"/>
                <w:color w:val="auto"/>
              </w:rPr>
              <w:t>53</w:t>
            </w:r>
          </w:p>
        </w:tc>
        <w:tc>
          <w:tcPr>
            <w:tcW w:w="100" w:type="dxa"/>
            <w:vAlign w:val="bottom"/>
          </w:tcPr>
          <w:p>
            <w:pPr>
              <w:spacing w:after="0"/>
              <w:rPr>
                <w:sz w:val="18"/>
                <w:szCs w:val="18"/>
                <w:color w:val="auto"/>
              </w:rPr>
            </w:pPr>
          </w:p>
        </w:tc>
        <w:tc>
          <w:tcPr>
            <w:tcW w:w="660" w:type="dxa"/>
            <w:vAlign w:val="bottom"/>
            <w:gridSpan w:val="2"/>
          </w:tcPr>
          <w:p>
            <w:pPr>
              <w:jc w:val="right"/>
              <w:ind w:right="260"/>
              <w:spacing w:after="0"/>
              <w:rPr>
                <w:sz w:val="20"/>
                <w:szCs w:val="20"/>
                <w:color w:val="auto"/>
              </w:rPr>
            </w:pPr>
            <w:r>
              <w:rPr>
                <w:rFonts w:ascii="Arial" w:cs="Arial" w:eastAsia="Arial" w:hAnsi="Arial"/>
                <w:sz w:val="18"/>
                <w:szCs w:val="18"/>
                <w:color w:val="auto"/>
                <w:w w:val="84"/>
              </w:rPr>
              <w:t>5,153</w:t>
            </w:r>
          </w:p>
        </w:tc>
        <w:tc>
          <w:tcPr>
            <w:tcW w:w="100" w:type="dxa"/>
            <w:vAlign w:val="bottom"/>
          </w:tcPr>
          <w:p>
            <w:pPr>
              <w:spacing w:after="0"/>
              <w:rPr>
                <w:sz w:val="18"/>
                <w:szCs w:val="18"/>
                <w:color w:val="auto"/>
              </w:rPr>
            </w:pPr>
          </w:p>
        </w:tc>
        <w:tc>
          <w:tcPr>
            <w:tcW w:w="620" w:type="dxa"/>
            <w:vAlign w:val="bottom"/>
            <w:gridSpan w:val="2"/>
          </w:tcPr>
          <w:p>
            <w:pPr>
              <w:jc w:val="right"/>
              <w:ind w:right="120"/>
              <w:spacing w:after="0"/>
              <w:rPr>
                <w:sz w:val="20"/>
                <w:szCs w:val="20"/>
                <w:color w:val="auto"/>
              </w:rPr>
            </w:pPr>
            <w:r>
              <w:rPr>
                <w:rFonts w:ascii="Arial" w:cs="Arial" w:eastAsia="Arial" w:hAnsi="Arial"/>
                <w:sz w:val="18"/>
                <w:szCs w:val="18"/>
                <w:color w:val="auto"/>
              </w:rPr>
              <w:t>3,505</w:t>
            </w:r>
          </w:p>
        </w:tc>
        <w:tc>
          <w:tcPr>
            <w:tcW w:w="880" w:type="dxa"/>
            <w:vAlign w:val="bottom"/>
            <w:gridSpan w:val="3"/>
          </w:tcPr>
          <w:p>
            <w:pPr>
              <w:jc w:val="right"/>
              <w:ind w:right="60"/>
              <w:spacing w:after="0"/>
              <w:rPr>
                <w:sz w:val="20"/>
                <w:szCs w:val="20"/>
                <w:color w:val="auto"/>
              </w:rPr>
            </w:pPr>
            <w:r>
              <w:rPr>
                <w:rFonts w:ascii="Arial" w:cs="Arial" w:eastAsia="Arial" w:hAnsi="Arial"/>
                <w:sz w:val="18"/>
                <w:szCs w:val="18"/>
                <w:color w:val="auto"/>
              </w:rPr>
              <w:t>107,708</w:t>
            </w:r>
          </w:p>
        </w:tc>
        <w:tc>
          <w:tcPr>
            <w:tcW w:w="0" w:type="dxa"/>
            <w:vAlign w:val="bottom"/>
          </w:tcPr>
          <w:p>
            <w:pPr>
              <w:spacing w:after="0"/>
              <w:rPr>
                <w:sz w:val="1"/>
                <w:szCs w:val="1"/>
                <w:color w:val="auto"/>
              </w:rPr>
            </w:pPr>
          </w:p>
        </w:tc>
      </w:tr>
      <w:tr>
        <w:trPr>
          <w:trHeight w:val="216"/>
        </w:trPr>
        <w:tc>
          <w:tcPr>
            <w:tcW w:w="5020" w:type="dxa"/>
            <w:vAlign w:val="bottom"/>
            <w:shd w:val="clear" w:color="auto" w:fill="CCEEFF"/>
          </w:tcPr>
          <w:p>
            <w:pPr>
              <w:spacing w:after="0"/>
              <w:rPr>
                <w:sz w:val="20"/>
                <w:szCs w:val="20"/>
                <w:color w:val="auto"/>
              </w:rPr>
            </w:pPr>
            <w:r>
              <w:rPr>
                <w:rFonts w:ascii="Arial" w:cs="Arial" w:eastAsia="Arial" w:hAnsi="Arial"/>
                <w:sz w:val="18"/>
                <w:szCs w:val="18"/>
                <w:color w:val="auto"/>
              </w:rPr>
              <w:t>Tier 3</w:t>
            </w:r>
          </w:p>
        </w:tc>
        <w:tc>
          <w:tcPr>
            <w:tcW w:w="16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2,624</w:t>
            </w:r>
          </w:p>
        </w:tc>
        <w:tc>
          <w:tcPr>
            <w:tcW w:w="104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7,145</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1,132</w:t>
            </w:r>
          </w:p>
        </w:tc>
        <w:tc>
          <w:tcPr>
            <w:tcW w:w="10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42</w:t>
            </w:r>
          </w:p>
        </w:tc>
        <w:tc>
          <w:tcPr>
            <w:tcW w:w="100" w:type="dxa"/>
            <w:vAlign w:val="bottom"/>
            <w:shd w:val="clear" w:color="auto" w:fill="CCEEFF"/>
          </w:tcPr>
          <w:p>
            <w:pPr>
              <w:spacing w:after="0"/>
              <w:rPr>
                <w:sz w:val="18"/>
                <w:szCs w:val="18"/>
                <w:color w:val="auto"/>
              </w:rPr>
            </w:pPr>
          </w:p>
        </w:tc>
        <w:tc>
          <w:tcPr>
            <w:tcW w:w="62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784</w:t>
            </w:r>
          </w:p>
        </w:tc>
        <w:tc>
          <w:tcPr>
            <w:tcW w:w="88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11,727</w:t>
            </w:r>
          </w:p>
        </w:tc>
        <w:tc>
          <w:tcPr>
            <w:tcW w:w="0" w:type="dxa"/>
            <w:vAlign w:val="bottom"/>
          </w:tcPr>
          <w:p>
            <w:pPr>
              <w:spacing w:after="0"/>
              <w:rPr>
                <w:sz w:val="1"/>
                <w:szCs w:val="1"/>
                <w:color w:val="auto"/>
              </w:rPr>
            </w:pPr>
          </w:p>
        </w:tc>
      </w:tr>
      <w:tr>
        <w:trPr>
          <w:trHeight w:val="223"/>
        </w:trPr>
        <w:tc>
          <w:tcPr>
            <w:tcW w:w="5020" w:type="dxa"/>
            <w:vAlign w:val="bottom"/>
          </w:tcPr>
          <w:p>
            <w:pPr>
              <w:ind w:left="360"/>
              <w:spacing w:after="0"/>
              <w:rPr>
                <w:sz w:val="20"/>
                <w:szCs w:val="20"/>
                <w:color w:val="auto"/>
              </w:rPr>
            </w:pPr>
            <w:r>
              <w:rPr>
                <w:rFonts w:ascii="Arial" w:cs="Arial" w:eastAsia="Arial" w:hAnsi="Arial"/>
                <w:sz w:val="18"/>
                <w:szCs w:val="18"/>
                <w:b w:val="1"/>
                <w:bCs w:val="1"/>
                <w:color w:val="auto"/>
              </w:rPr>
              <w:t>Net investment in finance leases</w:t>
            </w:r>
          </w:p>
        </w:tc>
        <w:tc>
          <w:tcPr>
            <w:tcW w:w="16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614,507</w:t>
            </w:r>
          </w:p>
        </w:tc>
        <w:tc>
          <w:tcPr>
            <w:tcW w:w="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7"/>
              </w:rPr>
              <w:t>$</w:t>
            </w:r>
            <w:r>
              <w:rPr>
                <w:rFonts w:ascii="Arial" w:cs="Arial" w:eastAsia="Arial" w:hAnsi="Arial"/>
                <w:sz w:val="18"/>
                <w:szCs w:val="18"/>
                <w:color w:val="auto"/>
                <w:w w:val="87"/>
              </w:rPr>
              <w:t>155,527</w:t>
            </w:r>
          </w:p>
        </w:tc>
        <w:tc>
          <w:tcPr>
            <w:tcW w:w="1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57,876</w:t>
            </w:r>
          </w:p>
        </w:tc>
        <w:tc>
          <w:tcPr>
            <w:tcW w:w="24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4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4"/>
              </w:rPr>
              <w:t>7,274</w:t>
            </w:r>
          </w:p>
        </w:tc>
        <w:tc>
          <w:tcPr>
            <w:tcW w:w="26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4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4"/>
              </w:rPr>
              <w:t>5,195</w:t>
            </w:r>
          </w:p>
        </w:tc>
        <w:tc>
          <w:tcPr>
            <w:tcW w:w="26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40,914</w:t>
            </w: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7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90"/>
              </w:rPr>
              <w:t>$</w:t>
            </w:r>
            <w:r>
              <w:rPr>
                <w:rFonts w:ascii="Arial" w:cs="Arial" w:eastAsia="Arial" w:hAnsi="Arial"/>
                <w:sz w:val="18"/>
                <w:szCs w:val="18"/>
                <w:color w:val="auto"/>
                <w:w w:val="90"/>
              </w:rPr>
              <w:t>881,293</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502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020" w:type="dxa"/>
            <w:vAlign w:val="bottom"/>
            <w:shd w:val="clear" w:color="auto" w:fill="CCEEFF"/>
          </w:tcPr>
          <w:p>
            <w:pPr>
              <w:spacing w:after="0"/>
              <w:rPr>
                <w:sz w:val="20"/>
                <w:szCs w:val="20"/>
                <w:color w:val="auto"/>
              </w:rPr>
            </w:pPr>
            <w:r>
              <w:rPr>
                <w:rFonts w:ascii="Arial" w:cs="Arial" w:eastAsia="Arial" w:hAnsi="Arial"/>
                <w:sz w:val="18"/>
                <w:szCs w:val="18"/>
                <w:color w:val="auto"/>
              </w:rPr>
              <w:t>Tier 1</w:t>
            </w:r>
          </w:p>
        </w:tc>
        <w:tc>
          <w:tcPr>
            <w:tcW w:w="1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113,383</w:t>
            </w:r>
          </w:p>
        </w:tc>
        <w:tc>
          <w:tcPr>
            <w:tcW w:w="104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$213,386</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6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6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2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w:t>
            </w:r>
          </w:p>
        </w:tc>
        <w:tc>
          <w:tcPr>
            <w:tcW w:w="88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$326,769</w:t>
            </w:r>
          </w:p>
        </w:tc>
        <w:tc>
          <w:tcPr>
            <w:tcW w:w="0" w:type="dxa"/>
            <w:vAlign w:val="bottom"/>
          </w:tcPr>
          <w:p>
            <w:pPr>
              <w:spacing w:after="0"/>
              <w:rPr>
                <w:sz w:val="1"/>
                <w:szCs w:val="1"/>
                <w:color w:val="auto"/>
              </w:rPr>
            </w:pPr>
          </w:p>
        </w:tc>
      </w:tr>
      <w:tr>
        <w:trPr>
          <w:trHeight w:val="216"/>
        </w:trPr>
        <w:tc>
          <w:tcPr>
            <w:tcW w:w="5020" w:type="dxa"/>
            <w:vAlign w:val="bottom"/>
          </w:tcPr>
          <w:p>
            <w:pPr>
              <w:spacing w:after="0"/>
              <w:rPr>
                <w:sz w:val="20"/>
                <w:szCs w:val="20"/>
                <w:color w:val="auto"/>
              </w:rPr>
            </w:pPr>
            <w:r>
              <w:rPr>
                <w:rFonts w:ascii="Arial" w:cs="Arial" w:eastAsia="Arial" w:hAnsi="Arial"/>
                <w:sz w:val="18"/>
                <w:szCs w:val="18"/>
                <w:color w:val="auto"/>
              </w:rPr>
              <w:t>Tier 2</w:t>
            </w:r>
          </w:p>
        </w:tc>
        <w:tc>
          <w:tcPr>
            <w:tcW w:w="160" w:type="dxa"/>
            <w:vAlign w:val="bottom"/>
          </w:tcPr>
          <w:p>
            <w:pPr>
              <w:spacing w:after="0"/>
              <w:rPr>
                <w:sz w:val="18"/>
                <w:szCs w:val="18"/>
                <w:color w:val="auto"/>
              </w:rPr>
            </w:pPr>
          </w:p>
        </w:tc>
        <w:tc>
          <w:tcPr>
            <w:tcW w:w="700" w:type="dxa"/>
            <w:vAlign w:val="bottom"/>
            <w:gridSpan w:val="2"/>
          </w:tcPr>
          <w:p>
            <w:pPr>
              <w:ind w:left="400"/>
              <w:spacing w:after="0"/>
              <w:rPr>
                <w:sz w:val="20"/>
                <w:szCs w:val="20"/>
                <w:color w:val="auto"/>
              </w:rPr>
            </w:pPr>
            <w:r>
              <w:rPr>
                <w:rFonts w:ascii="Arial" w:cs="Arial" w:eastAsia="Arial" w:hAnsi="Arial"/>
                <w:sz w:val="18"/>
                <w:szCs w:val="18"/>
                <w:color w:val="auto"/>
              </w:rPr>
              <w:t>—</w:t>
            </w:r>
          </w:p>
        </w:tc>
        <w:tc>
          <w:tcPr>
            <w:tcW w:w="1040" w:type="dxa"/>
            <w:vAlign w:val="bottom"/>
            <w:gridSpan w:val="3"/>
          </w:tcPr>
          <w:p>
            <w:pPr>
              <w:jc w:val="right"/>
              <w:ind w:right="120"/>
              <w:spacing w:after="0"/>
              <w:rPr>
                <w:sz w:val="20"/>
                <w:szCs w:val="20"/>
                <w:color w:val="auto"/>
              </w:rPr>
            </w:pPr>
            <w:r>
              <w:rPr>
                <w:rFonts w:ascii="Arial" w:cs="Arial" w:eastAsia="Arial" w:hAnsi="Arial"/>
                <w:sz w:val="18"/>
                <w:szCs w:val="18"/>
                <w:color w:val="auto"/>
              </w:rPr>
              <w:t>37,523</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gridSpan w:val="2"/>
          </w:tcPr>
          <w:p>
            <w:pPr>
              <w:ind w:left="22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60" w:type="dxa"/>
            <w:vAlign w:val="bottom"/>
            <w:gridSpan w:val="2"/>
          </w:tcPr>
          <w:p>
            <w:pPr>
              <w:jc w:val="right"/>
              <w:ind w:right="34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60" w:type="dxa"/>
            <w:vAlign w:val="bottom"/>
            <w:gridSpan w:val="2"/>
          </w:tcPr>
          <w:p>
            <w:pPr>
              <w:jc w:val="right"/>
              <w:ind w:right="34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20" w:type="dxa"/>
            <w:vAlign w:val="bottom"/>
            <w:gridSpan w:val="2"/>
          </w:tcPr>
          <w:p>
            <w:pPr>
              <w:ind w:left="220"/>
              <w:spacing w:after="0"/>
              <w:rPr>
                <w:sz w:val="20"/>
                <w:szCs w:val="20"/>
                <w:color w:val="auto"/>
              </w:rPr>
            </w:pPr>
            <w:r>
              <w:rPr>
                <w:rFonts w:ascii="Arial" w:cs="Arial" w:eastAsia="Arial" w:hAnsi="Arial"/>
                <w:sz w:val="18"/>
                <w:szCs w:val="18"/>
                <w:color w:val="auto"/>
              </w:rPr>
              <w:t>—</w:t>
            </w:r>
          </w:p>
        </w:tc>
        <w:tc>
          <w:tcPr>
            <w:tcW w:w="880" w:type="dxa"/>
            <w:vAlign w:val="bottom"/>
            <w:gridSpan w:val="3"/>
          </w:tcPr>
          <w:p>
            <w:pPr>
              <w:jc w:val="right"/>
              <w:ind w:right="60"/>
              <w:spacing w:after="0"/>
              <w:rPr>
                <w:sz w:val="20"/>
                <w:szCs w:val="20"/>
                <w:color w:val="auto"/>
              </w:rPr>
            </w:pPr>
            <w:r>
              <w:rPr>
                <w:rFonts w:ascii="Arial" w:cs="Arial" w:eastAsia="Arial" w:hAnsi="Arial"/>
                <w:sz w:val="18"/>
                <w:szCs w:val="18"/>
                <w:color w:val="auto"/>
              </w:rPr>
              <w:t>37,523</w:t>
            </w:r>
          </w:p>
        </w:tc>
        <w:tc>
          <w:tcPr>
            <w:tcW w:w="0" w:type="dxa"/>
            <w:vAlign w:val="bottom"/>
          </w:tcPr>
          <w:p>
            <w:pPr>
              <w:spacing w:after="0"/>
              <w:rPr>
                <w:sz w:val="1"/>
                <w:szCs w:val="1"/>
                <w:color w:val="auto"/>
              </w:rPr>
            </w:pPr>
          </w:p>
        </w:tc>
      </w:tr>
      <w:tr>
        <w:trPr>
          <w:trHeight w:val="216"/>
        </w:trPr>
        <w:tc>
          <w:tcPr>
            <w:tcW w:w="5020" w:type="dxa"/>
            <w:vAlign w:val="bottom"/>
            <w:shd w:val="clear" w:color="auto" w:fill="CCEEFF"/>
          </w:tcPr>
          <w:p>
            <w:pPr>
              <w:spacing w:after="0"/>
              <w:rPr>
                <w:sz w:val="20"/>
                <w:szCs w:val="20"/>
                <w:color w:val="auto"/>
              </w:rPr>
            </w:pPr>
            <w:r>
              <w:rPr>
                <w:rFonts w:ascii="Arial" w:cs="Arial" w:eastAsia="Arial" w:hAnsi="Arial"/>
                <w:sz w:val="18"/>
                <w:szCs w:val="18"/>
                <w:color w:val="auto"/>
              </w:rPr>
              <w:t>Tier 3</w:t>
            </w:r>
          </w:p>
        </w:tc>
        <w:tc>
          <w:tcPr>
            <w:tcW w:w="160" w:type="dxa"/>
            <w:vAlign w:val="bottom"/>
            <w:shd w:val="clear" w:color="auto" w:fill="CCEEFF"/>
          </w:tcPr>
          <w:p>
            <w:pPr>
              <w:spacing w:after="0"/>
              <w:rPr>
                <w:sz w:val="18"/>
                <w:szCs w:val="18"/>
                <w:color w:val="auto"/>
              </w:rPr>
            </w:pPr>
          </w:p>
        </w:tc>
        <w:tc>
          <w:tcPr>
            <w:tcW w:w="700" w:type="dxa"/>
            <w:vAlign w:val="bottom"/>
            <w:gridSpan w:val="2"/>
            <w:shd w:val="clear" w:color="auto" w:fill="CCEEFF"/>
          </w:tcPr>
          <w:p>
            <w:pPr>
              <w:ind w:left="400"/>
              <w:spacing w:after="0"/>
              <w:rPr>
                <w:sz w:val="20"/>
                <w:szCs w:val="20"/>
                <w:color w:val="auto"/>
              </w:rPr>
            </w:pPr>
            <w:r>
              <w:rPr>
                <w:rFonts w:ascii="Arial" w:cs="Arial" w:eastAsia="Arial" w:hAnsi="Arial"/>
                <w:sz w:val="18"/>
                <w:szCs w:val="18"/>
                <w:color w:val="auto"/>
              </w:rPr>
              <w:t>—</w:t>
            </w:r>
          </w:p>
        </w:tc>
        <w:tc>
          <w:tcPr>
            <w:tcW w:w="24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62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760" w:type="dxa"/>
            <w:vAlign w:val="bottom"/>
            <w:gridSpan w:val="2"/>
            <w:shd w:val="clear" w:color="auto" w:fill="CCEEFF"/>
          </w:tcPr>
          <w:p>
            <w:pPr>
              <w:ind w:left="4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23"/>
        </w:trPr>
        <w:tc>
          <w:tcPr>
            <w:tcW w:w="5020" w:type="dxa"/>
            <w:vAlign w:val="bottom"/>
          </w:tcPr>
          <w:p>
            <w:pPr>
              <w:ind w:left="360"/>
              <w:spacing w:after="0"/>
              <w:rPr>
                <w:sz w:val="20"/>
                <w:szCs w:val="20"/>
                <w:color w:val="auto"/>
              </w:rPr>
            </w:pPr>
            <w:r>
              <w:rPr>
                <w:rFonts w:ascii="Arial" w:cs="Arial" w:eastAsia="Arial" w:hAnsi="Arial"/>
                <w:sz w:val="18"/>
                <w:szCs w:val="18"/>
                <w:b w:val="1"/>
                <w:bCs w:val="1"/>
                <w:color w:val="auto"/>
              </w:rPr>
              <w:t>Container leaseback financing receivable</w:t>
            </w:r>
          </w:p>
        </w:tc>
        <w:tc>
          <w:tcPr>
            <w:tcW w:w="16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113,383</w:t>
            </w:r>
          </w:p>
        </w:tc>
        <w:tc>
          <w:tcPr>
            <w:tcW w:w="20" w:type="dxa"/>
            <w:vAlign w:val="bottom"/>
            <w:tcBorders>
              <w:bottom w:val="single" w:sz="8" w:color="auto"/>
            </w:tcBorders>
          </w:tcPr>
          <w:p>
            <w:pPr>
              <w:spacing w:after="0"/>
              <w:rPr>
                <w:sz w:val="19"/>
                <w:szCs w:val="19"/>
                <w:color w:val="auto"/>
              </w:rPr>
            </w:pPr>
          </w:p>
        </w:tc>
        <w:tc>
          <w:tcPr>
            <w:tcW w:w="240" w:type="dxa"/>
            <w:vAlign w:val="bottom"/>
          </w:tcPr>
          <w:p>
            <w:pPr>
              <w:spacing w:after="0"/>
              <w:rPr>
                <w:sz w:val="19"/>
                <w:szCs w:val="19"/>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7"/>
              </w:rPr>
              <w:t>$</w:t>
            </w:r>
            <w:r>
              <w:rPr>
                <w:rFonts w:ascii="Arial" w:cs="Arial" w:eastAsia="Arial" w:hAnsi="Arial"/>
                <w:sz w:val="18"/>
                <w:szCs w:val="18"/>
                <w:color w:val="auto"/>
                <w:w w:val="87"/>
              </w:rPr>
              <w:t>250,909</w:t>
            </w:r>
          </w:p>
        </w:tc>
        <w:tc>
          <w:tcPr>
            <w:tcW w:w="1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500" w:type="dxa"/>
            <w:vAlign w:val="bottom"/>
            <w:tcBorders>
              <w:top w:val="single" w:sz="8" w:color="auto"/>
              <w:bottom w:val="single" w:sz="8" w:color="auto"/>
            </w:tcBorders>
          </w:tcPr>
          <w:p>
            <w:pPr>
              <w:ind w:left="220"/>
              <w:spacing w:after="0"/>
              <w:rPr>
                <w:sz w:val="20"/>
                <w:szCs w:val="20"/>
                <w:color w:val="auto"/>
              </w:rPr>
            </w:pPr>
            <w:r>
              <w:rPr>
                <w:rFonts w:ascii="Arial" w:cs="Arial" w:eastAsia="Arial" w:hAnsi="Arial"/>
                <w:sz w:val="18"/>
                <w:szCs w:val="18"/>
                <w:color w:val="auto"/>
              </w:rPr>
              <w:t>—</w:t>
            </w:r>
          </w:p>
        </w:tc>
        <w:tc>
          <w:tcPr>
            <w:tcW w:w="24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4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26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4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26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500" w:type="dxa"/>
            <w:vAlign w:val="bottom"/>
            <w:tcBorders>
              <w:top w:val="single" w:sz="8" w:color="auto"/>
              <w:bottom w:val="single" w:sz="8" w:color="auto"/>
            </w:tcBorders>
          </w:tcPr>
          <w:p>
            <w:pPr>
              <w:ind w:left="22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7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90"/>
              </w:rPr>
              <w:t>$</w:t>
            </w:r>
            <w:r>
              <w:rPr>
                <w:rFonts w:ascii="Arial" w:cs="Arial" w:eastAsia="Arial" w:hAnsi="Arial"/>
                <w:sz w:val="18"/>
                <w:szCs w:val="18"/>
                <w:color w:val="auto"/>
                <w:w w:val="90"/>
              </w:rPr>
              <w:t>364,292</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502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2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Allowance for Credit Losses</w:t>
      </w:r>
    </w:p>
    <w:p>
      <w:pPr>
        <w:spacing w:after="0" w:line="117" w:lineRule="exact"/>
        <w:rPr>
          <w:sz w:val="20"/>
          <w:szCs w:val="20"/>
          <w:color w:val="auto"/>
        </w:rPr>
      </w:pPr>
    </w:p>
    <w:p>
      <w:pPr>
        <w:ind w:right="100" w:firstLine="440"/>
        <w:spacing w:after="0" w:line="257" w:lineRule="auto"/>
        <w:rPr>
          <w:sz w:val="20"/>
          <w:szCs w:val="20"/>
          <w:color w:val="auto"/>
        </w:rPr>
      </w:pPr>
      <w:r>
        <w:rPr>
          <w:rFonts w:ascii="Arial" w:cs="Arial" w:eastAsia="Arial" w:hAnsi="Arial"/>
          <w:sz w:val="18"/>
          <w:szCs w:val="18"/>
          <w:color w:val="auto"/>
        </w:rPr>
        <w:t>Subsequent changes in the estimated allowance for credit losses are recognized in “bad debt expense, net” in the consolidated statements of operations. Subsequent changes in the estimated allowance for credit losses relating to the accounts receivable from managed container fleet are recognized in “distribution expense to managed fleet container investors” in the consolidated statements of operations (See Note 3 “Managed Container Fleet” for further information). The changes in the carrying amount of the allowance for credit losses during the year ended December 31, 2020 are as follows:</w:t>
      </w:r>
    </w:p>
    <w:p>
      <w:pPr>
        <w:spacing w:after="0" w:line="194" w:lineRule="exact"/>
        <w:rPr>
          <w:sz w:val="20"/>
          <w:szCs w:val="20"/>
          <w:color w:val="auto"/>
        </w:rPr>
      </w:pPr>
    </w:p>
    <w:tbl>
      <w:tblPr>
        <w:tblLayout w:type="fixed"/>
        <w:tblInd w:w="4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34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24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Net Investment</w:t>
            </w:r>
          </w:p>
        </w:tc>
        <w:tc>
          <w:tcPr>
            <w:tcW w:w="300" w:type="dxa"/>
            <w:vAlign w:val="bottom"/>
          </w:tcPr>
          <w:p>
            <w:pPr>
              <w:spacing w:after="0"/>
              <w:rPr>
                <w:sz w:val="14"/>
                <w:szCs w:val="14"/>
                <w:color w:val="auto"/>
              </w:rPr>
            </w:pPr>
          </w:p>
        </w:tc>
        <w:tc>
          <w:tcPr>
            <w:tcW w:w="960" w:type="dxa"/>
            <w:vAlign w:val="bottom"/>
            <w:gridSpan w:val="3"/>
          </w:tcPr>
          <w:p>
            <w:pPr>
              <w:ind w:left="20"/>
              <w:spacing w:after="0"/>
              <w:rPr>
                <w:sz w:val="20"/>
                <w:szCs w:val="20"/>
                <w:color w:val="auto"/>
              </w:rPr>
            </w:pPr>
            <w:r>
              <w:rPr>
                <w:rFonts w:ascii="Arial" w:cs="Arial" w:eastAsia="Arial" w:hAnsi="Arial"/>
                <w:sz w:val="14"/>
                <w:szCs w:val="14"/>
                <w:b w:val="1"/>
                <w:bCs w:val="1"/>
                <w:color w:val="auto"/>
              </w:rPr>
              <w:t>Container</w:t>
            </w:r>
          </w:p>
        </w:tc>
        <w:tc>
          <w:tcPr>
            <w:tcW w:w="30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43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000" w:type="dxa"/>
            <w:vAlign w:val="bottom"/>
            <w:gridSpan w:val="3"/>
            <w:vMerge w:val="restart"/>
          </w:tcPr>
          <w:p>
            <w:pPr>
              <w:ind w:left="60"/>
              <w:spacing w:after="0"/>
              <w:rPr>
                <w:sz w:val="20"/>
                <w:szCs w:val="20"/>
                <w:color w:val="auto"/>
              </w:rPr>
            </w:pPr>
            <w:r>
              <w:rPr>
                <w:rFonts w:ascii="Arial" w:cs="Arial" w:eastAsia="Arial" w:hAnsi="Arial"/>
                <w:sz w:val="14"/>
                <w:szCs w:val="14"/>
                <w:b w:val="1"/>
                <w:bCs w:val="1"/>
                <w:color w:val="auto"/>
              </w:rPr>
              <w:t>Accounts</w:t>
            </w:r>
          </w:p>
        </w:tc>
        <w:tc>
          <w:tcPr>
            <w:tcW w:w="260" w:type="dxa"/>
            <w:vAlign w:val="bottom"/>
          </w:tcPr>
          <w:p>
            <w:pPr>
              <w:spacing w:after="0"/>
              <w:rPr>
                <w:sz w:val="12"/>
                <w:szCs w:val="12"/>
                <w:color w:val="auto"/>
              </w:rPr>
            </w:pPr>
          </w:p>
        </w:tc>
        <w:tc>
          <w:tcPr>
            <w:tcW w:w="1240" w:type="dxa"/>
            <w:vAlign w:val="bottom"/>
            <w:gridSpan w:val="3"/>
            <w:vMerge w:val="continue"/>
          </w:tcPr>
          <w:p>
            <w:pPr>
              <w:spacing w:after="0"/>
              <w:rPr>
                <w:sz w:val="12"/>
                <w:szCs w:val="12"/>
                <w:color w:val="auto"/>
              </w:rPr>
            </w:pPr>
          </w:p>
        </w:tc>
        <w:tc>
          <w:tcPr>
            <w:tcW w:w="300" w:type="dxa"/>
            <w:vAlign w:val="bottom"/>
          </w:tcPr>
          <w:p>
            <w:pPr>
              <w:spacing w:after="0"/>
              <w:rPr>
                <w:sz w:val="12"/>
                <w:szCs w:val="12"/>
                <w:color w:val="auto"/>
              </w:rPr>
            </w:pPr>
          </w:p>
        </w:tc>
        <w:tc>
          <w:tcPr>
            <w:tcW w:w="960" w:type="dxa"/>
            <w:vAlign w:val="bottom"/>
            <w:gridSpan w:val="3"/>
          </w:tcPr>
          <w:p>
            <w:pPr>
              <w:ind w:left="20"/>
              <w:spacing w:after="0" w:line="149" w:lineRule="exact"/>
              <w:rPr>
                <w:sz w:val="20"/>
                <w:szCs w:val="20"/>
                <w:color w:val="auto"/>
              </w:rPr>
            </w:pPr>
            <w:r>
              <w:rPr>
                <w:rFonts w:ascii="Arial" w:cs="Arial" w:eastAsia="Arial" w:hAnsi="Arial"/>
                <w:sz w:val="14"/>
                <w:szCs w:val="14"/>
                <w:b w:val="1"/>
                <w:bCs w:val="1"/>
                <w:color w:val="auto"/>
              </w:rPr>
              <w:t>Leaseback</w:t>
            </w:r>
          </w:p>
        </w:tc>
        <w:tc>
          <w:tcPr>
            <w:tcW w:w="300" w:type="dxa"/>
            <w:vAlign w:val="bottom"/>
          </w:tcPr>
          <w:p>
            <w:pPr>
              <w:spacing w:after="0"/>
              <w:rPr>
                <w:sz w:val="12"/>
                <w:szCs w:val="12"/>
                <w:color w:val="auto"/>
              </w:rPr>
            </w:pPr>
          </w:p>
        </w:tc>
        <w:tc>
          <w:tcPr>
            <w:tcW w:w="1160" w:type="dxa"/>
            <w:vAlign w:val="bottom"/>
            <w:gridSpan w:val="3"/>
            <w:vMerge w:val="restart"/>
          </w:tcPr>
          <w:p>
            <w:pPr>
              <w:ind w:left="40"/>
              <w:spacing w:after="0"/>
              <w:rPr>
                <w:sz w:val="20"/>
                <w:szCs w:val="20"/>
                <w:color w:val="auto"/>
              </w:rPr>
            </w:pPr>
            <w:r>
              <w:rPr>
                <w:rFonts w:ascii="Arial" w:cs="Arial" w:eastAsia="Arial" w:hAnsi="Arial"/>
                <w:sz w:val="14"/>
                <w:szCs w:val="14"/>
                <w:b w:val="1"/>
                <w:bCs w:val="1"/>
                <w:color w:val="auto"/>
              </w:rPr>
              <w:t>Total Allowance</w:t>
            </w: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43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000" w:type="dxa"/>
            <w:vAlign w:val="bottom"/>
            <w:gridSpan w:val="3"/>
            <w:vMerge w:val="continue"/>
          </w:tcPr>
          <w:p>
            <w:pPr>
              <w:spacing w:after="0"/>
              <w:rPr>
                <w:sz w:val="12"/>
                <w:szCs w:val="12"/>
                <w:color w:val="auto"/>
              </w:rPr>
            </w:pPr>
          </w:p>
        </w:tc>
        <w:tc>
          <w:tcPr>
            <w:tcW w:w="2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120" w:type="dxa"/>
            <w:vAlign w:val="bottom"/>
            <w:gridSpan w:val="2"/>
          </w:tcPr>
          <w:p>
            <w:pPr>
              <w:ind w:left="20"/>
              <w:spacing w:after="0" w:line="149" w:lineRule="exact"/>
              <w:rPr>
                <w:sz w:val="20"/>
                <w:szCs w:val="20"/>
                <w:color w:val="auto"/>
              </w:rPr>
            </w:pPr>
            <w:r>
              <w:rPr>
                <w:rFonts w:ascii="Arial" w:cs="Arial" w:eastAsia="Arial" w:hAnsi="Arial"/>
                <w:sz w:val="14"/>
                <w:szCs w:val="14"/>
                <w:b w:val="1"/>
                <w:bCs w:val="1"/>
                <w:color w:val="auto"/>
              </w:rPr>
              <w:t>in Finance</w:t>
            </w:r>
          </w:p>
        </w:tc>
        <w:tc>
          <w:tcPr>
            <w:tcW w:w="300" w:type="dxa"/>
            <w:vAlign w:val="bottom"/>
          </w:tcPr>
          <w:p>
            <w:pPr>
              <w:spacing w:after="0"/>
              <w:rPr>
                <w:sz w:val="12"/>
                <w:szCs w:val="12"/>
                <w:color w:val="auto"/>
              </w:rPr>
            </w:pPr>
          </w:p>
        </w:tc>
        <w:tc>
          <w:tcPr>
            <w:tcW w:w="960" w:type="dxa"/>
            <w:vAlign w:val="bottom"/>
            <w:gridSpan w:val="3"/>
          </w:tcPr>
          <w:p>
            <w:pPr>
              <w:ind w:left="20"/>
              <w:spacing w:after="0" w:line="149" w:lineRule="exact"/>
              <w:rPr>
                <w:sz w:val="20"/>
                <w:szCs w:val="20"/>
                <w:color w:val="auto"/>
              </w:rPr>
            </w:pPr>
            <w:r>
              <w:rPr>
                <w:rFonts w:ascii="Arial" w:cs="Arial" w:eastAsia="Arial" w:hAnsi="Arial"/>
                <w:sz w:val="14"/>
                <w:szCs w:val="14"/>
                <w:b w:val="1"/>
                <w:bCs w:val="1"/>
                <w:color w:val="auto"/>
              </w:rPr>
              <w:t>Financing</w:t>
            </w:r>
          </w:p>
        </w:tc>
        <w:tc>
          <w:tcPr>
            <w:tcW w:w="300" w:type="dxa"/>
            <w:vAlign w:val="bottom"/>
          </w:tcPr>
          <w:p>
            <w:pPr>
              <w:spacing w:after="0"/>
              <w:rPr>
                <w:sz w:val="12"/>
                <w:szCs w:val="12"/>
                <w:color w:val="auto"/>
              </w:rPr>
            </w:pPr>
          </w:p>
        </w:tc>
        <w:tc>
          <w:tcPr>
            <w:tcW w:w="116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1"/>
        </w:trPr>
        <w:tc>
          <w:tcPr>
            <w:tcW w:w="20" w:type="dxa"/>
            <w:vAlign w:val="bottom"/>
          </w:tcPr>
          <w:p>
            <w:pPr>
              <w:spacing w:after="0"/>
              <w:rPr>
                <w:sz w:val="14"/>
                <w:szCs w:val="14"/>
                <w:color w:val="auto"/>
              </w:rPr>
            </w:pPr>
          </w:p>
        </w:tc>
        <w:tc>
          <w:tcPr>
            <w:tcW w:w="434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1000" w:type="dxa"/>
            <w:vAlign w:val="bottom"/>
            <w:gridSpan w:val="3"/>
          </w:tcPr>
          <w:p>
            <w:pPr>
              <w:spacing w:after="0"/>
              <w:rPr>
                <w:sz w:val="20"/>
                <w:szCs w:val="20"/>
                <w:color w:val="auto"/>
              </w:rPr>
            </w:pPr>
            <w:r>
              <w:rPr>
                <w:rFonts w:ascii="Arial" w:cs="Arial" w:eastAsia="Arial" w:hAnsi="Arial"/>
                <w:sz w:val="14"/>
                <w:szCs w:val="14"/>
                <w:b w:val="1"/>
                <w:bCs w:val="1"/>
                <w:color w:val="auto"/>
              </w:rPr>
              <w:t>Receivable</w:t>
            </w:r>
          </w:p>
        </w:tc>
        <w:tc>
          <w:tcPr>
            <w:tcW w:w="2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120" w:type="dxa"/>
            <w:vAlign w:val="bottom"/>
            <w:gridSpan w:val="2"/>
          </w:tcPr>
          <w:p>
            <w:pPr>
              <w:ind w:left="140"/>
              <w:spacing w:after="0"/>
              <w:rPr>
                <w:sz w:val="20"/>
                <w:szCs w:val="20"/>
                <w:color w:val="auto"/>
              </w:rPr>
            </w:pPr>
            <w:r>
              <w:rPr>
                <w:rFonts w:ascii="Arial" w:cs="Arial" w:eastAsia="Arial" w:hAnsi="Arial"/>
                <w:sz w:val="14"/>
                <w:szCs w:val="14"/>
                <w:b w:val="1"/>
                <w:bCs w:val="1"/>
                <w:color w:val="auto"/>
              </w:rPr>
              <w:t>Leases</w:t>
            </w:r>
          </w:p>
        </w:tc>
        <w:tc>
          <w:tcPr>
            <w:tcW w:w="300" w:type="dxa"/>
            <w:vAlign w:val="bottom"/>
          </w:tcPr>
          <w:p>
            <w:pPr>
              <w:spacing w:after="0"/>
              <w:rPr>
                <w:sz w:val="14"/>
                <w:szCs w:val="14"/>
                <w:color w:val="auto"/>
              </w:rPr>
            </w:pPr>
          </w:p>
        </w:tc>
        <w:tc>
          <w:tcPr>
            <w:tcW w:w="960" w:type="dxa"/>
            <w:vAlign w:val="bottom"/>
            <w:gridSpan w:val="3"/>
          </w:tcPr>
          <w:p>
            <w:pPr>
              <w:spacing w:after="0"/>
              <w:rPr>
                <w:sz w:val="20"/>
                <w:szCs w:val="20"/>
                <w:color w:val="auto"/>
              </w:rPr>
            </w:pPr>
            <w:r>
              <w:rPr>
                <w:rFonts w:ascii="Arial" w:cs="Arial" w:eastAsia="Arial" w:hAnsi="Arial"/>
                <w:sz w:val="14"/>
                <w:szCs w:val="14"/>
                <w:b w:val="1"/>
                <w:bCs w:val="1"/>
                <w:color w:val="auto"/>
              </w:rPr>
              <w:t>Receivable</w:t>
            </w:r>
          </w:p>
        </w:tc>
        <w:tc>
          <w:tcPr>
            <w:tcW w:w="300" w:type="dxa"/>
            <w:vAlign w:val="bottom"/>
          </w:tcPr>
          <w:p>
            <w:pPr>
              <w:spacing w:after="0"/>
              <w:rPr>
                <w:sz w:val="14"/>
                <w:szCs w:val="14"/>
                <w:color w:val="auto"/>
              </w:rPr>
            </w:pPr>
          </w:p>
        </w:tc>
        <w:tc>
          <w:tcPr>
            <w:tcW w:w="1160" w:type="dxa"/>
            <w:vAlign w:val="bottom"/>
            <w:gridSpan w:val="3"/>
          </w:tcPr>
          <w:p>
            <w:pPr>
              <w:spacing w:after="0"/>
              <w:rPr>
                <w:sz w:val="20"/>
                <w:szCs w:val="20"/>
                <w:color w:val="auto"/>
              </w:rPr>
            </w:pPr>
            <w:r>
              <w:rPr>
                <w:rFonts w:ascii="Arial" w:cs="Arial" w:eastAsia="Arial" w:hAnsi="Arial"/>
                <w:sz w:val="14"/>
                <w:szCs w:val="14"/>
                <w:b w:val="1"/>
                <w:bCs w:val="1"/>
                <w:color w:val="auto"/>
                <w:w w:val="98"/>
              </w:rPr>
              <w:t>for Credit Losses</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434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Balance as of December 31, 2019</w:t>
            </w:r>
          </w:p>
        </w:tc>
        <w:tc>
          <w:tcPr>
            <w:tcW w:w="540" w:type="dxa"/>
            <w:vAlign w:val="bottom"/>
            <w:tcBorders>
              <w:top w:val="single" w:sz="8" w:color="CCEEFF"/>
            </w:tcBorders>
            <w:shd w:val="clear" w:color="auto" w:fill="CCEEFF"/>
          </w:tcPr>
          <w:p>
            <w:pPr>
              <w:spacing w:after="0"/>
              <w:rPr>
                <w:sz w:val="18"/>
                <w:szCs w:val="18"/>
                <w:color w:val="auto"/>
              </w:rPr>
            </w:pPr>
          </w:p>
        </w:tc>
        <w:tc>
          <w:tcPr>
            <w:tcW w:w="1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5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6,299</w:t>
            </w:r>
          </w:p>
        </w:tc>
        <w:tc>
          <w:tcPr>
            <w:tcW w:w="320" w:type="dxa"/>
            <w:vAlign w:val="bottom"/>
            <w:tcBorders>
              <w:top w:val="single" w:sz="8" w:color="CCEEFF"/>
            </w:tcBorders>
            <w:shd w:val="clear" w:color="auto" w:fill="CCEEFF"/>
          </w:tcPr>
          <w:p>
            <w:pPr>
              <w:spacing w:after="0"/>
              <w:rPr>
                <w:sz w:val="18"/>
                <w:szCs w:val="18"/>
                <w:color w:val="auto"/>
              </w:rPr>
            </w:pPr>
          </w:p>
        </w:tc>
        <w:tc>
          <w:tcPr>
            <w:tcW w:w="26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w w:val="99"/>
              </w:rPr>
              <w:t>$</w:t>
            </w:r>
          </w:p>
        </w:tc>
        <w:tc>
          <w:tcPr>
            <w:tcW w:w="820" w:type="dxa"/>
            <w:vAlign w:val="bottom"/>
            <w:tcBorders>
              <w:top w:val="single" w:sz="8" w:color="auto"/>
            </w:tcBorders>
            <w:shd w:val="clear" w:color="auto" w:fill="CCEEFF"/>
          </w:tcPr>
          <w:p>
            <w:pPr>
              <w:ind w:left="560"/>
              <w:spacing w:after="0"/>
              <w:rPr>
                <w:sz w:val="20"/>
                <w:szCs w:val="20"/>
                <w:color w:val="auto"/>
              </w:rPr>
            </w:pPr>
            <w:r>
              <w:rPr>
                <w:rFonts w:ascii="Arial" w:cs="Arial" w:eastAsia="Arial" w:hAnsi="Arial"/>
                <w:sz w:val="18"/>
                <w:szCs w:val="18"/>
                <w:color w:val="auto"/>
              </w:rPr>
              <w:t>—</w:t>
            </w:r>
          </w:p>
        </w:tc>
        <w:tc>
          <w:tcPr>
            <w:tcW w:w="300" w:type="dxa"/>
            <w:vAlign w:val="bottom"/>
            <w:tcBorders>
              <w:top w:val="single" w:sz="8" w:color="CCEEFF"/>
            </w:tcBorders>
            <w:shd w:val="clear" w:color="auto" w:fill="CCEEFF"/>
          </w:tcPr>
          <w:p>
            <w:pPr>
              <w:spacing w:after="0"/>
              <w:rPr>
                <w:sz w:val="18"/>
                <w:szCs w:val="18"/>
                <w:color w:val="auto"/>
              </w:rPr>
            </w:pPr>
          </w:p>
        </w:tc>
        <w:tc>
          <w:tcPr>
            <w:tcW w:w="300" w:type="dxa"/>
            <w:vAlign w:val="bottom"/>
            <w:tcBorders>
              <w:top w:val="single" w:sz="8" w:color="CCEEFF"/>
            </w:tcBorders>
            <w:shd w:val="clear" w:color="auto" w:fill="CCEEFF"/>
          </w:tcPr>
          <w:p>
            <w:pPr>
              <w:spacing w:after="0"/>
              <w:rPr>
                <w:sz w:val="18"/>
                <w:szCs w:val="18"/>
                <w:color w:val="auto"/>
              </w:rPr>
            </w:pPr>
          </w:p>
        </w:tc>
        <w:tc>
          <w:tcPr>
            <w:tcW w:w="24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440" w:type="dxa"/>
            <w:vAlign w:val="bottom"/>
            <w:tcBorders>
              <w:top w:val="single" w:sz="8" w:color="auto"/>
            </w:tcBorders>
            <w:shd w:val="clear" w:color="auto" w:fill="CCEEFF"/>
          </w:tcPr>
          <w:p>
            <w:pPr>
              <w:ind w:left="160"/>
              <w:spacing w:after="0"/>
              <w:rPr>
                <w:sz w:val="20"/>
                <w:szCs w:val="20"/>
                <w:color w:val="auto"/>
              </w:rPr>
            </w:pPr>
            <w:r>
              <w:rPr>
                <w:rFonts w:ascii="Arial" w:cs="Arial" w:eastAsia="Arial" w:hAnsi="Arial"/>
                <w:sz w:val="18"/>
                <w:szCs w:val="18"/>
                <w:color w:val="auto"/>
              </w:rPr>
              <w:t>—</w:t>
            </w:r>
          </w:p>
        </w:tc>
        <w:tc>
          <w:tcPr>
            <w:tcW w:w="280" w:type="dxa"/>
            <w:vAlign w:val="bottom"/>
            <w:tcBorders>
              <w:top w:val="single" w:sz="8" w:color="CCEEFF"/>
            </w:tcBorders>
            <w:shd w:val="clear" w:color="auto" w:fill="CCEEFF"/>
          </w:tcPr>
          <w:p>
            <w:pPr>
              <w:spacing w:after="0"/>
              <w:rPr>
                <w:sz w:val="18"/>
                <w:szCs w:val="18"/>
                <w:color w:val="auto"/>
              </w:rPr>
            </w:pPr>
          </w:p>
        </w:tc>
        <w:tc>
          <w:tcPr>
            <w:tcW w:w="300" w:type="dxa"/>
            <w:vAlign w:val="bottom"/>
            <w:tcBorders>
              <w:top w:val="single" w:sz="8" w:color="CCEEFF"/>
            </w:tcBorders>
            <w:shd w:val="clear" w:color="auto" w:fill="CCEEFF"/>
          </w:tcPr>
          <w:p>
            <w:pPr>
              <w:spacing w:after="0"/>
              <w:rPr>
                <w:sz w:val="18"/>
                <w:szCs w:val="18"/>
                <w:color w:val="auto"/>
              </w:rPr>
            </w:pPr>
          </w:p>
        </w:tc>
        <w:tc>
          <w:tcPr>
            <w:tcW w:w="34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7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6,299</w:t>
            </w:r>
          </w:p>
        </w:tc>
        <w:tc>
          <w:tcPr>
            <w:tcW w:w="10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40" w:type="dxa"/>
            <w:vAlign w:val="bottom"/>
          </w:tcPr>
          <w:p>
            <w:pPr>
              <w:spacing w:after="0"/>
              <w:rPr>
                <w:sz w:val="20"/>
                <w:szCs w:val="20"/>
                <w:color w:val="auto"/>
              </w:rPr>
            </w:pPr>
            <w:r>
              <w:rPr>
                <w:rFonts w:ascii="Arial" w:cs="Arial" w:eastAsia="Arial" w:hAnsi="Arial"/>
                <w:sz w:val="18"/>
                <w:szCs w:val="18"/>
                <w:color w:val="auto"/>
              </w:rPr>
              <w:t>Impact of adopting ASU 2016-13 on January 1, 2020</w:t>
            </w:r>
          </w:p>
        </w:tc>
        <w:tc>
          <w:tcPr>
            <w:tcW w:w="5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40" w:type="dxa"/>
            <w:vAlign w:val="bottom"/>
            <w:gridSpan w:val="2"/>
          </w:tcPr>
          <w:p>
            <w:pPr>
              <w:jc w:val="right"/>
              <w:ind w:right="420"/>
              <w:spacing w:after="0"/>
              <w:rPr>
                <w:sz w:val="20"/>
                <w:szCs w:val="20"/>
                <w:color w:val="auto"/>
              </w:rPr>
            </w:pPr>
            <w:r>
              <w:rPr>
                <w:rFonts w:ascii="Arial" w:cs="Arial" w:eastAsia="Arial" w:hAnsi="Arial"/>
                <w:sz w:val="18"/>
                <w:szCs w:val="18"/>
                <w:color w:val="auto"/>
              </w:rPr>
              <w:t>—</w:t>
            </w:r>
          </w:p>
        </w:tc>
        <w:tc>
          <w:tcPr>
            <w:tcW w:w="2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120" w:type="dxa"/>
            <w:vAlign w:val="bottom"/>
            <w:gridSpan w:val="2"/>
          </w:tcPr>
          <w:p>
            <w:pPr>
              <w:ind w:left="560"/>
              <w:spacing w:after="0"/>
              <w:rPr>
                <w:sz w:val="20"/>
                <w:szCs w:val="20"/>
                <w:color w:val="auto"/>
              </w:rPr>
            </w:pPr>
            <w:r>
              <w:rPr>
                <w:rFonts w:ascii="Arial" w:cs="Arial" w:eastAsia="Arial" w:hAnsi="Arial"/>
                <w:sz w:val="18"/>
                <w:szCs w:val="18"/>
                <w:color w:val="auto"/>
              </w:rPr>
              <w:t>636</w:t>
            </w:r>
          </w:p>
        </w:tc>
        <w:tc>
          <w:tcPr>
            <w:tcW w:w="3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720" w:type="dxa"/>
            <w:vAlign w:val="bottom"/>
            <w:gridSpan w:val="2"/>
          </w:tcPr>
          <w:p>
            <w:pPr>
              <w:ind w:left="160"/>
              <w:spacing w:after="0"/>
              <w:rPr>
                <w:sz w:val="20"/>
                <w:szCs w:val="20"/>
                <w:color w:val="auto"/>
              </w:rPr>
            </w:pPr>
            <w:r>
              <w:rPr>
                <w:rFonts w:ascii="Arial" w:cs="Arial" w:eastAsia="Arial" w:hAnsi="Arial"/>
                <w:sz w:val="18"/>
                <w:szCs w:val="18"/>
                <w:color w:val="auto"/>
              </w:rPr>
              <w:t>256</w:t>
            </w:r>
          </w:p>
        </w:tc>
        <w:tc>
          <w:tcPr>
            <w:tcW w:w="3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820" w:type="dxa"/>
            <w:vAlign w:val="bottom"/>
            <w:gridSpan w:val="2"/>
          </w:tcPr>
          <w:p>
            <w:pPr>
              <w:jc w:val="right"/>
              <w:ind w:right="100"/>
              <w:spacing w:after="0"/>
              <w:rPr>
                <w:sz w:val="20"/>
                <w:szCs w:val="20"/>
                <w:color w:val="auto"/>
              </w:rPr>
            </w:pPr>
            <w:r>
              <w:rPr>
                <w:rFonts w:ascii="Arial" w:cs="Arial" w:eastAsia="Arial" w:hAnsi="Arial"/>
                <w:sz w:val="18"/>
                <w:szCs w:val="18"/>
                <w:color w:val="auto"/>
              </w:rPr>
              <w:t>892</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40" w:type="dxa"/>
            <w:vAlign w:val="bottom"/>
            <w:shd w:val="clear" w:color="auto" w:fill="CCEEFF"/>
          </w:tcPr>
          <w:p>
            <w:pPr>
              <w:spacing w:after="0"/>
              <w:rPr>
                <w:sz w:val="20"/>
                <w:szCs w:val="20"/>
                <w:color w:val="auto"/>
              </w:rPr>
            </w:pPr>
            <w:r>
              <w:rPr>
                <w:rFonts w:ascii="Arial" w:cs="Arial" w:eastAsia="Arial" w:hAnsi="Arial"/>
                <w:sz w:val="18"/>
                <w:szCs w:val="18"/>
                <w:color w:val="auto"/>
              </w:rPr>
              <w:t>Additions charged to expense (recovery), net</w:t>
            </w:r>
          </w:p>
        </w:tc>
        <w:tc>
          <w:tcPr>
            <w:tcW w:w="5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w w:val="98"/>
              </w:rPr>
              <w:t>(3,149)</w:t>
            </w:r>
          </w:p>
        </w:tc>
        <w:tc>
          <w:tcPr>
            <w:tcW w:w="2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ind w:left="560"/>
              <w:spacing w:after="0"/>
              <w:rPr>
                <w:sz w:val="20"/>
                <w:szCs w:val="20"/>
                <w:color w:val="auto"/>
              </w:rPr>
            </w:pPr>
            <w:r>
              <w:rPr>
                <w:rFonts w:ascii="Arial" w:cs="Arial" w:eastAsia="Arial" w:hAnsi="Arial"/>
                <w:sz w:val="18"/>
                <w:szCs w:val="18"/>
                <w:color w:val="auto"/>
              </w:rPr>
              <w:t>697</w:t>
            </w:r>
          </w:p>
        </w:tc>
        <w:tc>
          <w:tcPr>
            <w:tcW w:w="3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72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168</w:t>
            </w:r>
          </w:p>
        </w:tc>
        <w:tc>
          <w:tcPr>
            <w:tcW w:w="30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(2,284)</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40" w:type="dxa"/>
            <w:vAlign w:val="bottom"/>
          </w:tcPr>
          <w:p>
            <w:pPr>
              <w:spacing w:after="0"/>
              <w:rPr>
                <w:sz w:val="20"/>
                <w:szCs w:val="20"/>
                <w:color w:val="auto"/>
              </w:rPr>
            </w:pPr>
            <w:r>
              <w:rPr>
                <w:rFonts w:ascii="Arial" w:cs="Arial" w:eastAsia="Arial" w:hAnsi="Arial"/>
                <w:sz w:val="18"/>
                <w:szCs w:val="18"/>
                <w:color w:val="auto"/>
              </w:rPr>
              <w:t>Write-offs</w:t>
            </w:r>
          </w:p>
        </w:tc>
        <w:tc>
          <w:tcPr>
            <w:tcW w:w="5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40" w:type="dxa"/>
            <w:vAlign w:val="bottom"/>
            <w:gridSpan w:val="2"/>
          </w:tcPr>
          <w:p>
            <w:pPr>
              <w:jc w:val="right"/>
              <w:ind w:right="260"/>
              <w:spacing w:after="0"/>
              <w:rPr>
                <w:sz w:val="20"/>
                <w:szCs w:val="20"/>
                <w:color w:val="auto"/>
              </w:rPr>
            </w:pPr>
            <w:r>
              <w:rPr>
                <w:rFonts w:ascii="Arial" w:cs="Arial" w:eastAsia="Arial" w:hAnsi="Arial"/>
                <w:sz w:val="18"/>
                <w:szCs w:val="18"/>
                <w:color w:val="auto"/>
              </w:rPr>
              <w:t>(487)</w:t>
            </w:r>
          </w:p>
        </w:tc>
        <w:tc>
          <w:tcPr>
            <w:tcW w:w="2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120" w:type="dxa"/>
            <w:vAlign w:val="bottom"/>
            <w:gridSpan w:val="2"/>
          </w:tcPr>
          <w:p>
            <w:pPr>
              <w:ind w:left="560"/>
              <w:spacing w:after="0"/>
              <w:rPr>
                <w:sz w:val="20"/>
                <w:szCs w:val="20"/>
                <w:color w:val="auto"/>
              </w:rPr>
            </w:pPr>
            <w:r>
              <w:rPr>
                <w:rFonts w:ascii="Arial" w:cs="Arial" w:eastAsia="Arial" w:hAnsi="Arial"/>
                <w:sz w:val="18"/>
                <w:szCs w:val="18"/>
                <w:color w:val="auto"/>
              </w:rPr>
              <w:t>—</w:t>
            </w:r>
          </w:p>
        </w:tc>
        <w:tc>
          <w:tcPr>
            <w:tcW w:w="3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720" w:type="dxa"/>
            <w:vAlign w:val="bottom"/>
            <w:gridSpan w:val="2"/>
          </w:tcPr>
          <w:p>
            <w:pPr>
              <w:ind w:left="160"/>
              <w:spacing w:after="0"/>
              <w:rPr>
                <w:sz w:val="20"/>
                <w:szCs w:val="20"/>
                <w:color w:val="auto"/>
              </w:rPr>
            </w:pPr>
            <w:r>
              <w:rPr>
                <w:rFonts w:ascii="Arial" w:cs="Arial" w:eastAsia="Arial" w:hAnsi="Arial"/>
                <w:sz w:val="18"/>
                <w:szCs w:val="18"/>
                <w:color w:val="auto"/>
              </w:rPr>
              <w:t>—</w:t>
            </w:r>
          </w:p>
        </w:tc>
        <w:tc>
          <w:tcPr>
            <w:tcW w:w="3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820" w:type="dxa"/>
            <w:vAlign w:val="bottom"/>
            <w:gridSpan w:val="2"/>
          </w:tcPr>
          <w:p>
            <w:pPr>
              <w:jc w:val="right"/>
              <w:ind w:right="40"/>
              <w:spacing w:after="0"/>
              <w:rPr>
                <w:sz w:val="20"/>
                <w:szCs w:val="20"/>
                <w:color w:val="auto"/>
              </w:rPr>
            </w:pPr>
            <w:r>
              <w:rPr>
                <w:rFonts w:ascii="Arial" w:cs="Arial" w:eastAsia="Arial" w:hAnsi="Arial"/>
                <w:sz w:val="18"/>
                <w:szCs w:val="18"/>
                <w:color w:val="auto"/>
              </w:rPr>
              <w:t>(487)</w:t>
            </w: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4340" w:type="dxa"/>
            <w:vAlign w:val="bottom"/>
          </w:tcPr>
          <w:p>
            <w:pPr>
              <w:spacing w:after="0"/>
              <w:rPr>
                <w:sz w:val="2"/>
                <w:szCs w:val="2"/>
                <w:color w:val="auto"/>
              </w:rPr>
            </w:pPr>
          </w:p>
        </w:tc>
        <w:tc>
          <w:tcPr>
            <w:tcW w:w="54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26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82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300" w:type="dxa"/>
            <w:vAlign w:val="bottom"/>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300" w:type="dxa"/>
            <w:vAlign w:val="bottom"/>
          </w:tcPr>
          <w:p>
            <w:pPr>
              <w:spacing w:after="0"/>
              <w:rPr>
                <w:sz w:val="2"/>
                <w:szCs w:val="2"/>
                <w:color w:val="auto"/>
              </w:rPr>
            </w:pPr>
          </w:p>
        </w:tc>
        <w:tc>
          <w:tcPr>
            <w:tcW w:w="34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20" w:type="dxa"/>
            <w:vAlign w:val="bottom"/>
            <w:vMerge w:val="continue"/>
          </w:tcPr>
          <w:p>
            <w:pPr>
              <w:spacing w:after="0"/>
              <w:rPr>
                <w:sz w:val="18"/>
                <w:szCs w:val="18"/>
                <w:color w:val="auto"/>
              </w:rPr>
            </w:pPr>
          </w:p>
        </w:tc>
        <w:tc>
          <w:tcPr>
            <w:tcW w:w="4340" w:type="dxa"/>
            <w:vAlign w:val="bottom"/>
            <w:shd w:val="clear" w:color="auto" w:fill="CCEEFF"/>
          </w:tcPr>
          <w:p>
            <w:pPr>
              <w:spacing w:after="0"/>
              <w:rPr>
                <w:sz w:val="20"/>
                <w:szCs w:val="20"/>
                <w:color w:val="auto"/>
              </w:rPr>
            </w:pPr>
            <w:r>
              <w:rPr>
                <w:rFonts w:ascii="Arial" w:cs="Arial" w:eastAsia="Arial" w:hAnsi="Arial"/>
                <w:sz w:val="18"/>
                <w:szCs w:val="18"/>
                <w:color w:val="auto"/>
              </w:rPr>
              <w:t>Balance as of December 31, 2020</w:t>
            </w:r>
          </w:p>
        </w:tc>
        <w:tc>
          <w:tcPr>
            <w:tcW w:w="5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2,663</w:t>
            </w:r>
          </w:p>
        </w:tc>
        <w:tc>
          <w:tcPr>
            <w:tcW w:w="320" w:type="dxa"/>
            <w:vAlign w:val="bottom"/>
            <w:shd w:val="clear" w:color="auto" w:fill="CCEEFF"/>
          </w:tcPr>
          <w:p>
            <w:pPr>
              <w:spacing w:after="0"/>
              <w:rPr>
                <w:sz w:val="18"/>
                <w:szCs w:val="18"/>
                <w:color w:val="auto"/>
              </w:rPr>
            </w:pPr>
          </w:p>
        </w:tc>
        <w:tc>
          <w:tcPr>
            <w:tcW w:w="380" w:type="dxa"/>
            <w:vAlign w:val="bottom"/>
            <w:gridSpan w:val="2"/>
            <w:shd w:val="clear" w:color="auto" w:fill="CCEEFF"/>
          </w:tcPr>
          <w:p>
            <w:pPr>
              <w:ind w:left="260"/>
              <w:spacing w:after="0"/>
              <w:rPr>
                <w:sz w:val="20"/>
                <w:szCs w:val="20"/>
                <w:color w:val="auto"/>
              </w:rPr>
            </w:pPr>
            <w:r>
              <w:rPr>
                <w:rFonts w:ascii="Arial" w:cs="Arial" w:eastAsia="Arial" w:hAnsi="Arial"/>
                <w:sz w:val="18"/>
                <w:szCs w:val="18"/>
                <w:color w:val="auto"/>
                <w:w w:val="99"/>
              </w:rPr>
              <w:t>$</w:t>
            </w:r>
          </w:p>
        </w:tc>
        <w:tc>
          <w:tcPr>
            <w:tcW w:w="1120" w:type="dxa"/>
            <w:vAlign w:val="bottom"/>
            <w:gridSpan w:val="2"/>
            <w:shd w:val="clear" w:color="auto" w:fill="CCEEFF"/>
          </w:tcPr>
          <w:p>
            <w:pPr>
              <w:ind w:left="420"/>
              <w:spacing w:after="0"/>
              <w:rPr>
                <w:sz w:val="20"/>
                <w:szCs w:val="20"/>
                <w:color w:val="auto"/>
              </w:rPr>
            </w:pPr>
            <w:r>
              <w:rPr>
                <w:rFonts w:ascii="Arial" w:cs="Arial" w:eastAsia="Arial" w:hAnsi="Arial"/>
                <w:sz w:val="18"/>
                <w:szCs w:val="18"/>
                <w:color w:val="auto"/>
              </w:rPr>
              <w:t>1,333</w:t>
            </w:r>
          </w:p>
        </w:tc>
        <w:tc>
          <w:tcPr>
            <w:tcW w:w="540" w:type="dxa"/>
            <w:vAlign w:val="bottom"/>
            <w:gridSpan w:val="2"/>
            <w:shd w:val="clear" w:color="auto" w:fill="CCEEFF"/>
          </w:tcPr>
          <w:p>
            <w:pPr>
              <w:jc w:val="right"/>
              <w:ind w:right="84"/>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424</w:t>
            </w:r>
          </w:p>
        </w:tc>
        <w:tc>
          <w:tcPr>
            <w:tcW w:w="64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rPr>
              <w:t>$</w:t>
            </w: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4,420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34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gridSpan w:val="2"/>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9"/>
        </w:trPr>
        <w:tc>
          <w:tcPr>
            <w:tcW w:w="20" w:type="dxa"/>
            <w:vAlign w:val="bottom"/>
          </w:tcPr>
          <w:p>
            <w:pPr>
              <w:spacing w:after="0"/>
              <w:rPr>
                <w:sz w:val="24"/>
                <w:szCs w:val="24"/>
                <w:color w:val="auto"/>
              </w:rPr>
            </w:pPr>
          </w:p>
        </w:tc>
        <w:tc>
          <w:tcPr>
            <w:tcW w:w="4340" w:type="dxa"/>
            <w:vAlign w:val="bottom"/>
          </w:tcPr>
          <w:p>
            <w:pPr>
              <w:spacing w:after="0"/>
              <w:rPr>
                <w:sz w:val="24"/>
                <w:szCs w:val="24"/>
                <w:color w:val="auto"/>
              </w:rPr>
            </w:pPr>
          </w:p>
        </w:tc>
        <w:tc>
          <w:tcPr>
            <w:tcW w:w="1540" w:type="dxa"/>
            <w:vAlign w:val="bottom"/>
            <w:gridSpan w:val="4"/>
          </w:tcPr>
          <w:p>
            <w:pPr>
              <w:ind w:left="540"/>
              <w:spacing w:after="0"/>
              <w:rPr>
                <w:sz w:val="20"/>
                <w:szCs w:val="20"/>
                <w:color w:val="auto"/>
              </w:rPr>
            </w:pPr>
            <w:r>
              <w:rPr>
                <w:rFonts w:ascii="Arial" w:cs="Arial" w:eastAsia="Arial" w:hAnsi="Arial"/>
                <w:sz w:val="18"/>
                <w:szCs w:val="18"/>
                <w:color w:val="auto"/>
              </w:rPr>
              <w:t>F-33</w:t>
            </w:r>
          </w:p>
        </w:tc>
        <w:tc>
          <w:tcPr>
            <w:tcW w:w="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020"/>
          </w:cols>
          <w:pgMar w:left="440" w:top="274" w:right="439" w:bottom="1440" w:gutter="0" w:footer="0" w:header="0"/>
        </w:sectPr>
      </w:pPr>
    </w:p>
    <w:bookmarkStart w:id="147" w:name="page148"/>
    <w:bookmarkEnd w:id="147"/>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(7) Income Taxes</w:t>
      </w:r>
    </w:p>
    <w:p>
      <w:pPr>
        <w:spacing w:after="0" w:line="121" w:lineRule="exact"/>
        <w:rPr>
          <w:sz w:val="20"/>
          <w:szCs w:val="20"/>
          <w:color w:val="auto"/>
        </w:rPr>
      </w:pPr>
    </w:p>
    <w:p>
      <w:pPr>
        <w:ind w:right="200" w:firstLine="440"/>
        <w:spacing w:after="0" w:line="263" w:lineRule="auto"/>
        <w:rPr>
          <w:sz w:val="20"/>
          <w:szCs w:val="20"/>
          <w:color w:val="auto"/>
        </w:rPr>
      </w:pPr>
      <w:r>
        <w:rPr>
          <w:rFonts w:ascii="Arial" w:cs="Arial" w:eastAsia="Arial" w:hAnsi="Arial"/>
          <w:sz w:val="18"/>
          <w:szCs w:val="18"/>
          <w:color w:val="auto"/>
        </w:rPr>
        <w:t>The Company is not subject to taxation in its country of incorporation; however, the Company is subject to taxation in certain other jurisdictions due to the nature of the Company’s operations. The Company estimates its tax liability based upon its understanding of the tax laws of the various countries in which it operates. Income tax expense for 2020, 2019 and 2018 consisted of the following:</w:t>
      </w:r>
    </w:p>
    <w:p>
      <w:pPr>
        <w:spacing w:after="0" w:line="202" w:lineRule="exact"/>
        <w:rPr>
          <w:sz w:val="20"/>
          <w:szCs w:val="20"/>
          <w:color w:val="auto"/>
        </w:rPr>
      </w:pPr>
    </w:p>
    <w:tbl>
      <w:tblPr>
        <w:tblLayout w:type="fixed"/>
        <w:tblInd w:w="440" w:type="dxa"/>
        <w:tblCellMar>
          <w:top w:w="0" w:type="dxa"/>
          <w:left w:w="0" w:type="dxa"/>
          <w:bottom w:w="0" w:type="dxa"/>
          <w:right w:w="0" w:type="dxa"/>
        </w:tblCellMar>
      </w:tblPr>
      <w:tr>
        <w:trPr>
          <w:trHeight w:val="171"/>
        </w:trPr>
        <w:tc>
          <w:tcPr>
            <w:tcW w:w="440" w:type="dxa"/>
            <w:vAlign w:val="bottom"/>
          </w:tcPr>
          <w:p>
            <w:pPr>
              <w:spacing w:after="0"/>
              <w:rPr>
                <w:sz w:val="14"/>
                <w:szCs w:val="14"/>
                <w:color w:val="auto"/>
              </w:rPr>
            </w:pPr>
          </w:p>
        </w:tc>
        <w:tc>
          <w:tcPr>
            <w:tcW w:w="6500" w:type="dxa"/>
            <w:vAlign w:val="bottom"/>
          </w:tcPr>
          <w:p>
            <w:pPr>
              <w:spacing w:after="0"/>
              <w:rPr>
                <w:sz w:val="14"/>
                <w:szCs w:val="14"/>
                <w:color w:val="auto"/>
              </w:rPr>
            </w:pPr>
          </w:p>
        </w:tc>
        <w:tc>
          <w:tcPr>
            <w:tcW w:w="1100" w:type="dxa"/>
            <w:vAlign w:val="bottom"/>
            <w:gridSpan w:val="4"/>
          </w:tcPr>
          <w:p>
            <w:pPr>
              <w:jc w:val="right"/>
              <w:ind w:right="80"/>
              <w:spacing w:after="0"/>
              <w:rPr>
                <w:sz w:val="20"/>
                <w:szCs w:val="20"/>
                <w:color w:val="auto"/>
              </w:rPr>
            </w:pPr>
            <w:r>
              <w:rPr>
                <w:rFonts w:ascii="Arial" w:cs="Arial" w:eastAsia="Arial" w:hAnsi="Arial"/>
                <w:sz w:val="14"/>
                <w:szCs w:val="14"/>
                <w:b w:val="1"/>
                <w:bCs w:val="1"/>
                <w:color w:val="auto"/>
              </w:rPr>
              <w:t>2020</w:t>
            </w:r>
          </w:p>
        </w:tc>
        <w:tc>
          <w:tcPr>
            <w:tcW w:w="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20" w:type="dxa"/>
            <w:vAlign w:val="bottom"/>
          </w:tcPr>
          <w:p>
            <w:pPr>
              <w:jc w:val="right"/>
              <w:spacing w:after="0"/>
              <w:rPr>
                <w:sz w:val="20"/>
                <w:szCs w:val="20"/>
                <w:color w:val="auto"/>
              </w:rPr>
            </w:pPr>
            <w:r>
              <w:rPr>
                <w:rFonts w:ascii="Arial" w:cs="Arial" w:eastAsia="Arial" w:hAnsi="Arial"/>
                <w:sz w:val="14"/>
                <w:szCs w:val="14"/>
                <w:b w:val="1"/>
                <w:bCs w:val="1"/>
                <w:color w:val="auto"/>
                <w:w w:val="89"/>
              </w:rPr>
              <w:t>2019</w:t>
            </w:r>
          </w:p>
        </w:tc>
        <w:tc>
          <w:tcPr>
            <w:tcW w:w="1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20" w:type="dxa"/>
            <w:vAlign w:val="bottom"/>
          </w:tcPr>
          <w:p>
            <w:pPr>
              <w:jc w:val="right"/>
              <w:ind w:right="32"/>
              <w:spacing w:after="0"/>
              <w:rPr>
                <w:sz w:val="20"/>
                <w:szCs w:val="20"/>
                <w:color w:val="auto"/>
              </w:rPr>
            </w:pPr>
            <w:r>
              <w:rPr>
                <w:rFonts w:ascii="Arial" w:cs="Arial" w:eastAsia="Arial" w:hAnsi="Arial"/>
                <w:sz w:val="14"/>
                <w:szCs w:val="14"/>
                <w:b w:val="1"/>
                <w:bCs w:val="1"/>
                <w:color w:val="auto"/>
                <w:w w:val="89"/>
              </w:rPr>
              <w:t>2018</w:t>
            </w: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6"/>
        </w:trPr>
        <w:tc>
          <w:tcPr>
            <w:tcW w:w="440" w:type="dxa"/>
            <w:vAlign w:val="bottom"/>
          </w:tcPr>
          <w:p>
            <w:pPr>
              <w:spacing w:after="0"/>
              <w:rPr>
                <w:sz w:val="17"/>
                <w:szCs w:val="17"/>
                <w:color w:val="auto"/>
              </w:rPr>
            </w:pPr>
          </w:p>
        </w:tc>
        <w:tc>
          <w:tcPr>
            <w:tcW w:w="650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color w:val="auto"/>
              </w:rPr>
              <w:t>Current</w:t>
            </w:r>
          </w:p>
        </w:tc>
        <w:tc>
          <w:tcPr>
            <w:tcW w:w="280" w:type="dxa"/>
            <w:vAlign w:val="bottom"/>
            <w:tcBorders>
              <w:top w:val="single" w:sz="8" w:color="CCEEFF"/>
            </w:tcBorders>
            <w:shd w:val="clear" w:color="auto" w:fill="CCEEFF"/>
          </w:tcPr>
          <w:p>
            <w:pPr>
              <w:spacing w:after="0"/>
              <w:rPr>
                <w:sz w:val="17"/>
                <w:szCs w:val="17"/>
                <w:color w:val="auto"/>
              </w:rPr>
            </w:pPr>
          </w:p>
        </w:tc>
        <w:tc>
          <w:tcPr>
            <w:tcW w:w="38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auto"/>
            </w:tcBorders>
            <w:shd w:val="clear" w:color="auto" w:fill="CCEEFF"/>
          </w:tcPr>
          <w:p>
            <w:pPr>
              <w:spacing w:after="0"/>
              <w:rPr>
                <w:sz w:val="17"/>
                <w:szCs w:val="17"/>
                <w:color w:val="auto"/>
              </w:rPr>
            </w:pPr>
          </w:p>
        </w:tc>
        <w:tc>
          <w:tcPr>
            <w:tcW w:w="240" w:type="dxa"/>
            <w:vAlign w:val="bottom"/>
            <w:tcBorders>
              <w:top w:val="single" w:sz="8" w:color="auto"/>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32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420" w:type="dxa"/>
            <w:vAlign w:val="bottom"/>
            <w:tcBorders>
              <w:top w:val="single" w:sz="8" w:color="auto"/>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440" w:type="dxa"/>
            <w:vAlign w:val="bottom"/>
          </w:tcPr>
          <w:p>
            <w:pPr>
              <w:spacing w:after="0"/>
              <w:rPr>
                <w:sz w:val="18"/>
                <w:szCs w:val="18"/>
                <w:color w:val="auto"/>
              </w:rPr>
            </w:pPr>
          </w:p>
        </w:tc>
        <w:tc>
          <w:tcPr>
            <w:tcW w:w="6500" w:type="dxa"/>
            <w:vAlign w:val="bottom"/>
          </w:tcPr>
          <w:p>
            <w:pPr>
              <w:ind w:left="360"/>
              <w:spacing w:after="0"/>
              <w:rPr>
                <w:sz w:val="20"/>
                <w:szCs w:val="20"/>
                <w:color w:val="auto"/>
              </w:rPr>
            </w:pPr>
            <w:r>
              <w:rPr>
                <w:rFonts w:ascii="Arial" w:cs="Arial" w:eastAsia="Arial" w:hAnsi="Arial"/>
                <w:sz w:val="18"/>
                <w:szCs w:val="18"/>
                <w:color w:val="auto"/>
              </w:rPr>
              <w:t>Bermuda</w:t>
            </w:r>
          </w:p>
        </w:tc>
        <w:tc>
          <w:tcPr>
            <w:tcW w:w="28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500" w:type="dxa"/>
            <w:vAlign w:val="bottom"/>
            <w:gridSpan w:val="3"/>
          </w:tcPr>
          <w:p>
            <w:pPr>
              <w:jc w:val="right"/>
              <w:ind w:right="160"/>
              <w:spacing w:after="0"/>
              <w:rPr>
                <w:sz w:val="20"/>
                <w:szCs w:val="20"/>
                <w:color w:val="auto"/>
              </w:rPr>
            </w:pPr>
            <w:r>
              <w:rPr>
                <w:rFonts w:ascii="Arial" w:cs="Arial" w:eastAsia="Arial" w:hAnsi="Arial"/>
                <w:sz w:val="18"/>
                <w:szCs w:val="18"/>
                <w:color w:val="auto"/>
              </w:rPr>
              <w:t>—</w:t>
            </w:r>
          </w:p>
        </w:tc>
        <w:tc>
          <w:tcPr>
            <w:tcW w:w="300" w:type="dxa"/>
            <w:vAlign w:val="bottom"/>
            <w:gridSpan w:val="3"/>
          </w:tcPr>
          <w:p>
            <w:pPr>
              <w:jc w:val="right"/>
              <w:spacing w:after="0"/>
              <w:rPr>
                <w:sz w:val="20"/>
                <w:szCs w:val="20"/>
                <w:color w:val="auto"/>
              </w:rPr>
            </w:pPr>
            <w:r>
              <w:rPr>
                <w:rFonts w:ascii="Arial" w:cs="Arial" w:eastAsia="Arial" w:hAnsi="Arial"/>
                <w:sz w:val="18"/>
                <w:szCs w:val="18"/>
                <w:color w:val="auto"/>
              </w:rPr>
              <w:t>$</w:t>
            </w:r>
          </w:p>
        </w:tc>
        <w:tc>
          <w:tcPr>
            <w:tcW w:w="4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400" w:type="dxa"/>
            <w:vAlign w:val="bottom"/>
            <w:gridSpan w:val="3"/>
          </w:tcPr>
          <w:p>
            <w:pPr>
              <w:jc w:val="right"/>
              <w:spacing w:after="0"/>
              <w:rPr>
                <w:sz w:val="20"/>
                <w:szCs w:val="20"/>
                <w:color w:val="auto"/>
              </w:rPr>
            </w:pPr>
            <w:r>
              <w:rPr>
                <w:rFonts w:ascii="Arial" w:cs="Arial" w:eastAsia="Arial" w:hAnsi="Arial"/>
                <w:sz w:val="18"/>
                <w:szCs w:val="18"/>
                <w:color w:val="auto"/>
              </w:rPr>
              <w:t>$</w:t>
            </w:r>
          </w:p>
        </w:tc>
        <w:tc>
          <w:tcPr>
            <w:tcW w:w="48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40" w:type="dxa"/>
            <w:vAlign w:val="bottom"/>
          </w:tcPr>
          <w:p>
            <w:pPr>
              <w:spacing w:after="0"/>
              <w:rPr>
                <w:sz w:val="18"/>
                <w:szCs w:val="18"/>
                <w:color w:val="auto"/>
              </w:rPr>
            </w:pPr>
          </w:p>
        </w:tc>
        <w:tc>
          <w:tcPr>
            <w:tcW w:w="65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Foreign</w:t>
            </w:r>
          </w:p>
        </w:tc>
        <w:tc>
          <w:tcPr>
            <w:tcW w:w="1100" w:type="dxa"/>
            <w:vAlign w:val="bottom"/>
            <w:gridSpan w:val="4"/>
            <w:shd w:val="clear" w:color="auto" w:fill="CCEEFF"/>
          </w:tcPr>
          <w:p>
            <w:pPr>
              <w:jc w:val="right"/>
              <w:ind w:right="20"/>
              <w:spacing w:after="0"/>
              <w:rPr>
                <w:sz w:val="20"/>
                <w:szCs w:val="20"/>
                <w:color w:val="auto"/>
              </w:rPr>
            </w:pPr>
            <w:r>
              <w:rPr>
                <w:rFonts w:ascii="Arial" w:cs="Arial" w:eastAsia="Arial" w:hAnsi="Arial"/>
                <w:sz w:val="18"/>
                <w:szCs w:val="18"/>
                <w:color w:val="auto"/>
              </w:rPr>
              <w:t>446</w:t>
            </w:r>
          </w:p>
        </w:tc>
        <w:tc>
          <w:tcPr>
            <w:tcW w:w="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499</w:t>
            </w: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8"/>
              </w:rPr>
              <w:t>1,407</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440" w:type="dxa"/>
            <w:vAlign w:val="bottom"/>
          </w:tcPr>
          <w:p>
            <w:pPr>
              <w:spacing w:after="0"/>
              <w:rPr>
                <w:sz w:val="20"/>
                <w:szCs w:val="20"/>
                <w:color w:val="auto"/>
              </w:rPr>
            </w:pPr>
          </w:p>
        </w:tc>
        <w:tc>
          <w:tcPr>
            <w:tcW w:w="650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440" w:type="dxa"/>
            <w:vAlign w:val="bottom"/>
            <w:tcBorders>
              <w:top w:val="single" w:sz="8" w:color="auto"/>
              <w:bottom w:val="single" w:sz="8" w:color="auto"/>
            </w:tcBorders>
            <w:gridSpan w:val="2"/>
          </w:tcPr>
          <w:p>
            <w:pPr>
              <w:jc w:val="right"/>
              <w:ind w:right="20"/>
              <w:spacing w:after="0"/>
              <w:rPr>
                <w:sz w:val="20"/>
                <w:szCs w:val="20"/>
                <w:color w:val="auto"/>
              </w:rPr>
            </w:pPr>
            <w:r>
              <w:rPr>
                <w:rFonts w:ascii="Arial" w:cs="Arial" w:eastAsia="Arial" w:hAnsi="Arial"/>
                <w:sz w:val="18"/>
                <w:szCs w:val="18"/>
                <w:color w:val="auto"/>
              </w:rPr>
              <w:t>446</w:t>
            </w:r>
          </w:p>
        </w:tc>
        <w:tc>
          <w:tcPr>
            <w:tcW w:w="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0" w:type="dxa"/>
            <w:vAlign w:val="bottom"/>
            <w:tcBorders>
              <w:top w:val="single" w:sz="8" w:color="auto"/>
              <w:bottom w:val="single" w:sz="8" w:color="auto"/>
            </w:tcBorders>
          </w:tcPr>
          <w:p>
            <w:pPr>
              <w:spacing w:after="0"/>
              <w:rPr>
                <w:sz w:val="20"/>
                <w:szCs w:val="20"/>
                <w:color w:val="auto"/>
              </w:rPr>
            </w:pPr>
          </w:p>
        </w:tc>
        <w:tc>
          <w:tcPr>
            <w:tcW w:w="420" w:type="dxa"/>
            <w:vAlign w:val="bottom"/>
            <w:tcBorders>
              <w:top w:val="single" w:sz="8" w:color="auto"/>
              <w:bottom w:val="single" w:sz="8" w:color="auto"/>
            </w:tcBorders>
            <w:gridSpan w:val="2"/>
          </w:tcPr>
          <w:p>
            <w:pPr>
              <w:jc w:val="right"/>
              <w:spacing w:after="0"/>
              <w:rPr>
                <w:sz w:val="20"/>
                <w:szCs w:val="20"/>
                <w:color w:val="auto"/>
              </w:rPr>
            </w:pPr>
            <w:r>
              <w:rPr>
                <w:rFonts w:ascii="Arial" w:cs="Arial" w:eastAsia="Arial" w:hAnsi="Arial"/>
                <w:sz w:val="18"/>
                <w:szCs w:val="18"/>
                <w:color w:val="auto"/>
              </w:rPr>
              <w:t>499</w:t>
            </w:r>
          </w:p>
        </w:tc>
        <w:tc>
          <w:tcPr>
            <w:tcW w:w="2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 w:type="dxa"/>
            <w:vAlign w:val="bottom"/>
            <w:tcBorders>
              <w:top w:val="single" w:sz="8" w:color="auto"/>
              <w:bottom w:val="single" w:sz="8" w:color="auto"/>
            </w:tcBorders>
          </w:tcPr>
          <w:p>
            <w:pPr>
              <w:spacing w:after="0"/>
              <w:rPr>
                <w:sz w:val="20"/>
                <w:szCs w:val="20"/>
                <w:color w:val="auto"/>
              </w:rPr>
            </w:pPr>
          </w:p>
        </w:tc>
        <w:tc>
          <w:tcPr>
            <w:tcW w:w="4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8"/>
              </w:rPr>
              <w:t>1,407</w:t>
            </w: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440" w:type="dxa"/>
            <w:vAlign w:val="bottom"/>
          </w:tcPr>
          <w:p>
            <w:pPr>
              <w:spacing w:after="0"/>
              <w:rPr>
                <w:sz w:val="18"/>
                <w:szCs w:val="18"/>
                <w:color w:val="auto"/>
              </w:rPr>
            </w:pPr>
          </w:p>
        </w:tc>
        <w:tc>
          <w:tcPr>
            <w:tcW w:w="6500" w:type="dxa"/>
            <w:vAlign w:val="bottom"/>
            <w:shd w:val="clear" w:color="auto" w:fill="CCEEFF"/>
          </w:tcPr>
          <w:p>
            <w:pPr>
              <w:spacing w:after="0"/>
              <w:rPr>
                <w:sz w:val="20"/>
                <w:szCs w:val="20"/>
                <w:color w:val="auto"/>
              </w:rPr>
            </w:pPr>
            <w:r>
              <w:rPr>
                <w:rFonts w:ascii="Arial" w:cs="Arial" w:eastAsia="Arial" w:hAnsi="Arial"/>
                <w:sz w:val="18"/>
                <w:szCs w:val="18"/>
                <w:color w:val="auto"/>
              </w:rPr>
              <w:t>Deferred</w:t>
            </w:r>
          </w:p>
        </w:tc>
        <w:tc>
          <w:tcPr>
            <w:tcW w:w="2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40" w:type="dxa"/>
            <w:vAlign w:val="bottom"/>
          </w:tcPr>
          <w:p>
            <w:pPr>
              <w:spacing w:after="0"/>
              <w:rPr>
                <w:sz w:val="18"/>
                <w:szCs w:val="18"/>
                <w:color w:val="auto"/>
              </w:rPr>
            </w:pPr>
          </w:p>
        </w:tc>
        <w:tc>
          <w:tcPr>
            <w:tcW w:w="6500" w:type="dxa"/>
            <w:vAlign w:val="bottom"/>
          </w:tcPr>
          <w:p>
            <w:pPr>
              <w:ind w:left="360"/>
              <w:spacing w:after="0"/>
              <w:rPr>
                <w:sz w:val="20"/>
                <w:szCs w:val="20"/>
                <w:color w:val="auto"/>
              </w:rPr>
            </w:pPr>
            <w:r>
              <w:rPr>
                <w:rFonts w:ascii="Arial" w:cs="Arial" w:eastAsia="Arial" w:hAnsi="Arial"/>
                <w:sz w:val="18"/>
                <w:szCs w:val="18"/>
                <w:color w:val="auto"/>
              </w:rPr>
              <w:t>Bermuda</w:t>
            </w:r>
          </w:p>
        </w:tc>
        <w:tc>
          <w:tcPr>
            <w:tcW w:w="28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500" w:type="dxa"/>
            <w:vAlign w:val="bottom"/>
            <w:gridSpan w:val="3"/>
          </w:tcPr>
          <w:p>
            <w:pPr>
              <w:jc w:val="right"/>
              <w:ind w:right="16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4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48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40" w:type="dxa"/>
            <w:vAlign w:val="bottom"/>
          </w:tcPr>
          <w:p>
            <w:pPr>
              <w:spacing w:after="0"/>
              <w:rPr>
                <w:sz w:val="18"/>
                <w:szCs w:val="18"/>
                <w:color w:val="auto"/>
              </w:rPr>
            </w:pPr>
          </w:p>
        </w:tc>
        <w:tc>
          <w:tcPr>
            <w:tcW w:w="65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Foreign</w:t>
            </w:r>
          </w:p>
        </w:tc>
        <w:tc>
          <w:tcPr>
            <w:tcW w:w="1160" w:type="dxa"/>
            <w:vAlign w:val="bottom"/>
            <w:gridSpan w:val="5"/>
            <w:shd w:val="clear" w:color="auto" w:fill="CCEEFF"/>
          </w:tcPr>
          <w:p>
            <w:pPr>
              <w:jc w:val="right"/>
              <w:ind w:right="20"/>
              <w:spacing w:after="0"/>
              <w:rPr>
                <w:sz w:val="20"/>
                <w:szCs w:val="20"/>
                <w:color w:val="auto"/>
              </w:rPr>
            </w:pPr>
            <w:r>
              <w:rPr>
                <w:rFonts w:ascii="Arial" w:cs="Arial" w:eastAsia="Arial" w:hAnsi="Arial"/>
                <w:sz w:val="18"/>
                <w:szCs w:val="18"/>
                <w:color w:val="auto"/>
              </w:rPr>
              <w:t>(819)</w:t>
            </w:r>
          </w:p>
        </w:tc>
        <w:tc>
          <w:tcPr>
            <w:tcW w:w="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88"/>
              </w:rPr>
              <w:t>1,449</w:t>
            </w: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618</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440" w:type="dxa"/>
            <w:vAlign w:val="bottom"/>
          </w:tcPr>
          <w:p>
            <w:pPr>
              <w:spacing w:after="0"/>
              <w:rPr>
                <w:sz w:val="20"/>
                <w:szCs w:val="20"/>
                <w:color w:val="auto"/>
              </w:rPr>
            </w:pPr>
          </w:p>
        </w:tc>
        <w:tc>
          <w:tcPr>
            <w:tcW w:w="650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440" w:type="dxa"/>
            <w:vAlign w:val="bottom"/>
            <w:tcBorders>
              <w:top w:val="single" w:sz="8" w:color="auto"/>
              <w:bottom w:val="single" w:sz="8" w:color="auto"/>
            </w:tcBorders>
            <w:gridSpan w:val="2"/>
          </w:tcPr>
          <w:p>
            <w:pPr>
              <w:jc w:val="right"/>
              <w:spacing w:after="0"/>
              <w:rPr>
                <w:sz w:val="20"/>
                <w:szCs w:val="20"/>
                <w:color w:val="auto"/>
              </w:rPr>
            </w:pPr>
            <w:r>
              <w:rPr>
                <w:rFonts w:ascii="Arial" w:cs="Arial" w:eastAsia="Arial" w:hAnsi="Arial"/>
                <w:sz w:val="18"/>
                <w:szCs w:val="18"/>
                <w:color w:val="auto"/>
                <w:w w:val="99"/>
              </w:rPr>
              <w:t>(819)</w:t>
            </w:r>
          </w:p>
        </w:tc>
        <w:tc>
          <w:tcPr>
            <w:tcW w:w="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0" w:type="dxa"/>
            <w:vAlign w:val="bottom"/>
            <w:tcBorders>
              <w:top w:val="single" w:sz="8" w:color="auto"/>
              <w:bottom w:val="single" w:sz="8" w:color="auto"/>
            </w:tcBorders>
          </w:tcPr>
          <w:p>
            <w:pPr>
              <w:spacing w:after="0"/>
              <w:rPr>
                <w:sz w:val="20"/>
                <w:szCs w:val="20"/>
                <w:color w:val="auto"/>
              </w:rPr>
            </w:pPr>
          </w:p>
        </w:tc>
        <w:tc>
          <w:tcPr>
            <w:tcW w:w="420" w:type="dxa"/>
            <w:vAlign w:val="bottom"/>
            <w:tcBorders>
              <w:top w:val="single" w:sz="8" w:color="auto"/>
              <w:bottom w:val="single" w:sz="8" w:color="auto"/>
            </w:tcBorders>
            <w:gridSpan w:val="2"/>
          </w:tcPr>
          <w:p>
            <w:pPr>
              <w:jc w:val="right"/>
              <w:spacing w:after="0"/>
              <w:rPr>
                <w:sz w:val="20"/>
                <w:szCs w:val="20"/>
                <w:color w:val="auto"/>
              </w:rPr>
            </w:pPr>
            <w:r>
              <w:rPr>
                <w:rFonts w:ascii="Arial" w:cs="Arial" w:eastAsia="Arial" w:hAnsi="Arial"/>
                <w:sz w:val="18"/>
                <w:szCs w:val="18"/>
                <w:color w:val="auto"/>
                <w:w w:val="88"/>
              </w:rPr>
              <w:t>1,449</w:t>
            </w:r>
          </w:p>
        </w:tc>
        <w:tc>
          <w:tcPr>
            <w:tcW w:w="2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 w:type="dxa"/>
            <w:vAlign w:val="bottom"/>
            <w:tcBorders>
              <w:top w:val="single" w:sz="8" w:color="auto"/>
              <w:bottom w:val="single" w:sz="8" w:color="auto"/>
            </w:tcBorders>
          </w:tcPr>
          <w:p>
            <w:pPr>
              <w:spacing w:after="0"/>
              <w:rPr>
                <w:sz w:val="20"/>
                <w:szCs w:val="20"/>
                <w:color w:val="auto"/>
              </w:rPr>
            </w:pPr>
          </w:p>
        </w:tc>
        <w:tc>
          <w:tcPr>
            <w:tcW w:w="4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618</w:t>
            </w: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440" w:type="dxa"/>
            <w:vAlign w:val="bottom"/>
          </w:tcPr>
          <w:p>
            <w:pPr>
              <w:spacing w:after="0"/>
              <w:rPr>
                <w:sz w:val="18"/>
                <w:szCs w:val="18"/>
                <w:color w:val="auto"/>
              </w:rPr>
            </w:pPr>
          </w:p>
        </w:tc>
        <w:tc>
          <w:tcPr>
            <w:tcW w:w="6500" w:type="dxa"/>
            <w:vAlign w:val="bottom"/>
            <w:shd w:val="clear" w:color="auto" w:fill="CCEEFF"/>
          </w:tcPr>
          <w:p>
            <w:pPr>
              <w:spacing w:after="0"/>
              <w:rPr>
                <w:sz w:val="18"/>
                <w:szCs w:val="18"/>
                <w:color w:val="auto"/>
              </w:rPr>
            </w:pPr>
          </w:p>
        </w:tc>
        <w:tc>
          <w:tcPr>
            <w:tcW w:w="1880" w:type="dxa"/>
            <w:vAlign w:val="bottom"/>
            <w:gridSpan w:val="10"/>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 xml:space="preserve">(374)   </w:t>
            </w:r>
            <w:r>
              <w:rPr>
                <w:rFonts w:ascii="Arial" w:cs="Arial" w:eastAsia="Arial" w:hAnsi="Arial"/>
                <w:sz w:val="18"/>
                <w:szCs w:val="18"/>
                <w:u w:val="single" w:color="auto"/>
                <w:color w:val="auto"/>
              </w:rPr>
              <w:t>$</w:t>
            </w:r>
            <w:r>
              <w:rPr>
                <w:rFonts w:ascii="Arial" w:cs="Arial" w:eastAsia="Arial" w:hAnsi="Arial"/>
                <w:sz w:val="18"/>
                <w:szCs w:val="18"/>
                <w:color w:val="auto"/>
              </w:rPr>
              <w:t>1,948</w:t>
            </w:r>
          </w:p>
        </w:tc>
        <w:tc>
          <w:tcPr>
            <w:tcW w:w="820" w:type="dxa"/>
            <w:vAlign w:val="bottom"/>
            <w:gridSpan w:val="4"/>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2,025</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6940" w:type="dxa"/>
            <w:vAlign w:val="bottom"/>
            <w:gridSpan w:val="2"/>
            <w:vMerge w:val="restart"/>
          </w:tcPr>
          <w:p>
            <w:pPr>
              <w:spacing w:after="0"/>
              <w:rPr>
                <w:sz w:val="20"/>
                <w:szCs w:val="20"/>
                <w:color w:val="auto"/>
              </w:rPr>
            </w:pPr>
            <w:r>
              <w:rPr>
                <w:rFonts w:ascii="Arial" w:cs="Arial" w:eastAsia="Arial" w:hAnsi="Arial"/>
                <w:sz w:val="18"/>
                <w:szCs w:val="18"/>
                <w:color w:val="auto"/>
                <w:w w:val="94"/>
              </w:rPr>
              <w:t>The components of income before income taxes and noncontrolling interest were as follows:</w:t>
            </w:r>
          </w:p>
        </w:tc>
        <w:tc>
          <w:tcPr>
            <w:tcW w:w="2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26"/>
        </w:trPr>
        <w:tc>
          <w:tcPr>
            <w:tcW w:w="6940" w:type="dxa"/>
            <w:vAlign w:val="bottom"/>
            <w:gridSpan w:val="2"/>
            <w:vMerge w:val="continue"/>
          </w:tcPr>
          <w:p>
            <w:pPr>
              <w:spacing w:after="0"/>
              <w:rPr>
                <w:sz w:val="24"/>
                <w:szCs w:val="24"/>
                <w:color w:val="auto"/>
              </w:rPr>
            </w:pPr>
          </w:p>
        </w:tc>
        <w:tc>
          <w:tcPr>
            <w:tcW w:w="2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91"/>
        </w:trPr>
        <w:tc>
          <w:tcPr>
            <w:tcW w:w="440" w:type="dxa"/>
            <w:vAlign w:val="bottom"/>
          </w:tcPr>
          <w:p>
            <w:pPr>
              <w:spacing w:after="0"/>
              <w:rPr>
                <w:sz w:val="24"/>
                <w:szCs w:val="24"/>
                <w:color w:val="auto"/>
              </w:rPr>
            </w:pPr>
          </w:p>
        </w:tc>
        <w:tc>
          <w:tcPr>
            <w:tcW w:w="6500" w:type="dxa"/>
            <w:vAlign w:val="bottom"/>
          </w:tcPr>
          <w:p>
            <w:pPr>
              <w:spacing w:after="0"/>
              <w:rPr>
                <w:sz w:val="24"/>
                <w:szCs w:val="24"/>
                <w:color w:val="auto"/>
              </w:rPr>
            </w:pPr>
          </w:p>
        </w:tc>
        <w:tc>
          <w:tcPr>
            <w:tcW w:w="860" w:type="dxa"/>
            <w:vAlign w:val="bottom"/>
            <w:gridSpan w:val="3"/>
          </w:tcPr>
          <w:p>
            <w:pPr>
              <w:jc w:val="right"/>
              <w:ind w:right="70"/>
              <w:spacing w:after="0"/>
              <w:rPr>
                <w:sz w:val="20"/>
                <w:szCs w:val="20"/>
                <w:color w:val="auto"/>
              </w:rPr>
            </w:pPr>
            <w:r>
              <w:rPr>
                <w:rFonts w:ascii="Arial" w:cs="Arial" w:eastAsia="Arial" w:hAnsi="Arial"/>
                <w:sz w:val="14"/>
                <w:szCs w:val="14"/>
                <w:b w:val="1"/>
                <w:bCs w:val="1"/>
                <w:color w:val="auto"/>
              </w:rPr>
              <w:t>2020</w:t>
            </w:r>
          </w:p>
        </w:tc>
        <w:tc>
          <w:tcPr>
            <w:tcW w:w="2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20" w:type="dxa"/>
            <w:vAlign w:val="bottom"/>
            <w:gridSpan w:val="4"/>
          </w:tcPr>
          <w:p>
            <w:pPr>
              <w:jc w:val="right"/>
              <w:ind w:right="72"/>
              <w:spacing w:after="0"/>
              <w:rPr>
                <w:sz w:val="20"/>
                <w:szCs w:val="20"/>
                <w:color w:val="auto"/>
              </w:rPr>
            </w:pPr>
            <w:r>
              <w:rPr>
                <w:rFonts w:ascii="Arial" w:cs="Arial" w:eastAsia="Arial" w:hAnsi="Arial"/>
                <w:sz w:val="14"/>
                <w:szCs w:val="14"/>
                <w:b w:val="1"/>
                <w:bCs w:val="1"/>
                <w:color w:val="auto"/>
              </w:rPr>
              <w:t>2019</w:t>
            </w:r>
          </w:p>
        </w:tc>
        <w:tc>
          <w:tcPr>
            <w:tcW w:w="100" w:type="dxa"/>
            <w:vAlign w:val="bottom"/>
          </w:tcPr>
          <w:p>
            <w:pPr>
              <w:spacing w:after="0"/>
              <w:rPr>
                <w:sz w:val="24"/>
                <w:szCs w:val="24"/>
                <w:color w:val="auto"/>
              </w:rPr>
            </w:pPr>
          </w:p>
        </w:tc>
        <w:tc>
          <w:tcPr>
            <w:tcW w:w="820" w:type="dxa"/>
            <w:vAlign w:val="bottom"/>
            <w:gridSpan w:val="4"/>
          </w:tcPr>
          <w:p>
            <w:pPr>
              <w:jc w:val="right"/>
              <w:ind w:right="72"/>
              <w:spacing w:after="0"/>
              <w:rPr>
                <w:sz w:val="20"/>
                <w:szCs w:val="20"/>
                <w:color w:val="auto"/>
              </w:rPr>
            </w:pPr>
            <w:r>
              <w:rPr>
                <w:rFonts w:ascii="Arial" w:cs="Arial" w:eastAsia="Arial" w:hAnsi="Arial"/>
                <w:sz w:val="14"/>
                <w:szCs w:val="14"/>
                <w:b w:val="1"/>
                <w:bCs w:val="1"/>
                <w:color w:val="auto"/>
              </w:rPr>
              <w:t>2018</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0"/>
        </w:trPr>
        <w:tc>
          <w:tcPr>
            <w:tcW w:w="440" w:type="dxa"/>
            <w:vAlign w:val="bottom"/>
          </w:tcPr>
          <w:p>
            <w:pPr>
              <w:spacing w:after="0"/>
              <w:rPr>
                <w:sz w:val="18"/>
                <w:szCs w:val="18"/>
                <w:color w:val="auto"/>
              </w:rPr>
            </w:pPr>
          </w:p>
        </w:tc>
        <w:tc>
          <w:tcPr>
            <w:tcW w:w="65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Bermuda sources</w:t>
            </w:r>
          </w:p>
        </w:tc>
        <w:tc>
          <w:tcPr>
            <w:tcW w:w="280" w:type="dxa"/>
            <w:vAlign w:val="bottom"/>
            <w:tcBorders>
              <w:top w:val="single" w:sz="8" w:color="CCEEFF"/>
            </w:tcBorders>
            <w:shd w:val="clear" w:color="auto" w:fill="CCEEFF"/>
          </w:tcPr>
          <w:p>
            <w:pPr>
              <w:spacing w:after="0"/>
              <w:rPr>
                <w:sz w:val="18"/>
                <w:szCs w:val="18"/>
                <w:color w:val="auto"/>
              </w:rPr>
            </w:pPr>
          </w:p>
        </w:tc>
        <w:tc>
          <w:tcPr>
            <w:tcW w:w="580" w:type="dxa"/>
            <w:vAlign w:val="bottom"/>
            <w:tcBorders>
              <w:top w:val="single" w:sz="8" w:color="auto"/>
            </w:tcBorders>
            <w:gridSpan w:val="2"/>
            <w:shd w:val="clear" w:color="auto" w:fill="CCEEFF"/>
          </w:tcPr>
          <w:p>
            <w:pPr>
              <w:jc w:val="right"/>
              <w:ind w:right="50"/>
              <w:spacing w:after="0"/>
              <w:rPr>
                <w:sz w:val="20"/>
                <w:szCs w:val="20"/>
                <w:color w:val="auto"/>
              </w:rPr>
            </w:pPr>
            <w:r>
              <w:rPr>
                <w:rFonts w:ascii="Arial" w:cs="Arial" w:eastAsia="Arial" w:hAnsi="Arial"/>
                <w:sz w:val="18"/>
                <w:szCs w:val="18"/>
                <w:color w:val="auto"/>
              </w:rPr>
              <w:t>$  —</w:t>
            </w:r>
          </w:p>
        </w:tc>
        <w:tc>
          <w:tcPr>
            <w:tcW w:w="300" w:type="dxa"/>
            <w:vAlign w:val="bottom"/>
            <w:tcBorders>
              <w:top w:val="single" w:sz="8" w:color="CCEEFF"/>
            </w:tcBorders>
            <w:gridSpan w:val="2"/>
            <w:shd w:val="clear" w:color="auto" w:fill="CCEEFF"/>
          </w:tcPr>
          <w:p>
            <w:pPr>
              <w:spacing w:after="0"/>
              <w:rPr>
                <w:sz w:val="18"/>
                <w:szCs w:val="18"/>
                <w:color w:val="auto"/>
              </w:rPr>
            </w:pPr>
          </w:p>
        </w:tc>
        <w:tc>
          <w:tcPr>
            <w:tcW w:w="2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auto"/>
            </w:tcBorders>
            <w:shd w:val="clear" w:color="auto" w:fill="CCEEFF"/>
          </w:tcPr>
          <w:p>
            <w:pPr>
              <w:jc w:val="right"/>
              <w:ind w:right="10"/>
              <w:spacing w:after="0"/>
              <w:rPr>
                <w:sz w:val="20"/>
                <w:szCs w:val="20"/>
                <w:color w:val="auto"/>
              </w:rPr>
            </w:pPr>
            <w:r>
              <w:rPr>
                <w:rFonts w:ascii="Arial" w:cs="Arial" w:eastAsia="Arial" w:hAnsi="Arial"/>
                <w:sz w:val="18"/>
                <w:szCs w:val="18"/>
                <w:color w:val="auto"/>
                <w:w w:val="79"/>
              </w:rPr>
              <w:t>$</w:t>
            </w:r>
          </w:p>
        </w:tc>
        <w:tc>
          <w:tcPr>
            <w:tcW w:w="80" w:type="dxa"/>
            <w:vAlign w:val="bottom"/>
            <w:tcBorders>
              <w:top w:val="single" w:sz="8" w:color="auto"/>
            </w:tcBorders>
            <w:shd w:val="clear" w:color="auto" w:fill="CCEEFF"/>
          </w:tcPr>
          <w:p>
            <w:pPr>
              <w:spacing w:after="0"/>
              <w:rPr>
                <w:sz w:val="18"/>
                <w:szCs w:val="18"/>
                <w:color w:val="auto"/>
              </w:rPr>
            </w:pPr>
          </w:p>
        </w:tc>
        <w:tc>
          <w:tcPr>
            <w:tcW w:w="320" w:type="dxa"/>
            <w:vAlign w:val="bottom"/>
            <w:tcBorders>
              <w:top w:val="single" w:sz="8" w:color="auto"/>
            </w:tcBorders>
            <w:shd w:val="clear" w:color="auto" w:fill="CCEEFF"/>
          </w:tcPr>
          <w:p>
            <w:pPr>
              <w:jc w:val="right"/>
              <w:ind w:right="52"/>
              <w:spacing w:after="0"/>
              <w:rPr>
                <w:sz w:val="20"/>
                <w:szCs w:val="20"/>
                <w:color w:val="auto"/>
              </w:rPr>
            </w:pPr>
            <w:r>
              <w:rPr>
                <w:rFonts w:ascii="Arial" w:cs="Arial" w:eastAsia="Arial" w:hAnsi="Arial"/>
                <w:sz w:val="18"/>
                <w:szCs w:val="18"/>
                <w:color w:val="auto"/>
                <w:w w:val="88"/>
              </w:rPr>
              <w:t>—</w:t>
            </w:r>
          </w:p>
        </w:tc>
        <w:tc>
          <w:tcPr>
            <w:tcW w:w="100" w:type="dxa"/>
            <w:vAlign w:val="bottom"/>
            <w:tcBorders>
              <w:top w:val="single" w:sz="8" w:color="CCEEFF"/>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0" w:type="dxa"/>
            <w:vAlign w:val="bottom"/>
            <w:tcBorders>
              <w:top w:val="single" w:sz="8" w:color="auto"/>
            </w:tcBorders>
            <w:shd w:val="clear" w:color="auto" w:fill="CCEEFF"/>
          </w:tcPr>
          <w:p>
            <w:pPr>
              <w:spacing w:after="0"/>
              <w:rPr>
                <w:sz w:val="18"/>
                <w:szCs w:val="18"/>
                <w:color w:val="auto"/>
              </w:rPr>
            </w:pPr>
          </w:p>
        </w:tc>
        <w:tc>
          <w:tcPr>
            <w:tcW w:w="420" w:type="dxa"/>
            <w:vAlign w:val="bottom"/>
            <w:tcBorders>
              <w:top w:val="single" w:sz="8" w:color="auto"/>
            </w:tcBorders>
            <w:shd w:val="clear" w:color="auto" w:fill="CCEEFF"/>
          </w:tcPr>
          <w:p>
            <w:pPr>
              <w:jc w:val="right"/>
              <w:ind w:right="12"/>
              <w:spacing w:after="0"/>
              <w:rPr>
                <w:sz w:val="20"/>
                <w:szCs w:val="20"/>
                <w:color w:val="auto"/>
              </w:rPr>
            </w:pPr>
            <w:r>
              <w:rPr>
                <w:rFonts w:ascii="Arial" w:cs="Arial" w:eastAsia="Arial" w:hAnsi="Arial"/>
                <w:sz w:val="18"/>
                <w:szCs w:val="18"/>
                <w:color w:val="auto"/>
              </w:rPr>
              <w:t>—</w:t>
            </w:r>
          </w:p>
        </w:tc>
        <w:tc>
          <w:tcPr>
            <w:tcW w:w="6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440" w:type="dxa"/>
            <w:vAlign w:val="bottom"/>
          </w:tcPr>
          <w:p>
            <w:pPr>
              <w:spacing w:after="0"/>
              <w:rPr>
                <w:sz w:val="19"/>
                <w:szCs w:val="19"/>
                <w:color w:val="auto"/>
              </w:rPr>
            </w:pPr>
          </w:p>
        </w:tc>
        <w:tc>
          <w:tcPr>
            <w:tcW w:w="6500" w:type="dxa"/>
            <w:vAlign w:val="bottom"/>
          </w:tcPr>
          <w:p>
            <w:pPr>
              <w:spacing w:after="0"/>
              <w:rPr>
                <w:sz w:val="20"/>
                <w:szCs w:val="20"/>
                <w:color w:val="auto"/>
              </w:rPr>
            </w:pPr>
            <w:r>
              <w:rPr>
                <w:rFonts w:ascii="Arial" w:cs="Arial" w:eastAsia="Arial" w:hAnsi="Arial"/>
                <w:sz w:val="18"/>
                <w:szCs w:val="18"/>
                <w:color w:val="auto"/>
              </w:rPr>
              <w:t>Foreign sources</w:t>
            </w:r>
          </w:p>
        </w:tc>
        <w:tc>
          <w:tcPr>
            <w:tcW w:w="280" w:type="dxa"/>
            <w:vAlign w:val="bottom"/>
          </w:tcPr>
          <w:p>
            <w:pPr>
              <w:spacing w:after="0"/>
              <w:rPr>
                <w:sz w:val="19"/>
                <w:szCs w:val="19"/>
                <w:color w:val="auto"/>
              </w:rPr>
            </w:pPr>
          </w:p>
        </w:tc>
        <w:tc>
          <w:tcPr>
            <w:tcW w:w="58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73,299</w:t>
            </w:r>
          </w:p>
        </w:tc>
        <w:tc>
          <w:tcPr>
            <w:tcW w:w="24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600" w:type="dxa"/>
            <w:vAlign w:val="bottom"/>
            <w:tcBorders>
              <w:bottom w:val="single" w:sz="8" w:color="auto"/>
            </w:tcBorders>
            <w:gridSpan w:val="3"/>
          </w:tcPr>
          <w:p>
            <w:pPr>
              <w:jc w:val="right"/>
              <w:spacing w:after="0"/>
              <w:rPr>
                <w:sz w:val="20"/>
                <w:szCs w:val="20"/>
                <w:color w:val="auto"/>
              </w:rPr>
            </w:pPr>
            <w:r>
              <w:rPr>
                <w:rFonts w:ascii="Arial" w:cs="Arial" w:eastAsia="Arial" w:hAnsi="Arial"/>
                <w:sz w:val="18"/>
                <w:szCs w:val="18"/>
                <w:color w:val="auto"/>
              </w:rPr>
              <w:t>58,504</w:t>
            </w:r>
          </w:p>
        </w:tc>
        <w:tc>
          <w:tcPr>
            <w:tcW w:w="1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600" w:type="dxa"/>
            <w:vAlign w:val="bottom"/>
            <w:tcBorders>
              <w:bottom w:val="single" w:sz="8" w:color="auto"/>
            </w:tcBorders>
            <w:gridSpan w:val="3"/>
          </w:tcPr>
          <w:p>
            <w:pPr>
              <w:jc w:val="right"/>
              <w:spacing w:after="0"/>
              <w:rPr>
                <w:sz w:val="20"/>
                <w:szCs w:val="20"/>
                <w:color w:val="auto"/>
              </w:rPr>
            </w:pPr>
            <w:r>
              <w:rPr>
                <w:rFonts w:ascii="Arial" w:cs="Arial" w:eastAsia="Arial" w:hAnsi="Arial"/>
                <w:sz w:val="18"/>
                <w:szCs w:val="18"/>
                <w:color w:val="auto"/>
              </w:rPr>
              <w:t>56,275</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440" w:type="dxa"/>
            <w:vAlign w:val="bottom"/>
          </w:tcPr>
          <w:p>
            <w:pPr>
              <w:spacing w:after="0"/>
              <w:rPr>
                <w:sz w:val="18"/>
                <w:szCs w:val="18"/>
                <w:color w:val="auto"/>
              </w:rPr>
            </w:pPr>
          </w:p>
        </w:tc>
        <w:tc>
          <w:tcPr>
            <w:tcW w:w="6500" w:type="dxa"/>
            <w:vAlign w:val="bottom"/>
            <w:shd w:val="clear" w:color="auto" w:fill="CCEEFF"/>
          </w:tcPr>
          <w:p>
            <w:pPr>
              <w:spacing w:after="0"/>
              <w:rPr>
                <w:sz w:val="18"/>
                <w:szCs w:val="18"/>
                <w:color w:val="auto"/>
              </w:rPr>
            </w:pPr>
          </w:p>
        </w:tc>
        <w:tc>
          <w:tcPr>
            <w:tcW w:w="860" w:type="dxa"/>
            <w:vAlign w:val="bottom"/>
            <w:gridSpan w:val="3"/>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73,299</w:t>
            </w:r>
          </w:p>
        </w:tc>
        <w:tc>
          <w:tcPr>
            <w:tcW w:w="24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620" w:type="dxa"/>
            <w:vAlign w:val="bottom"/>
            <w:gridSpan w:val="4"/>
            <w:shd w:val="clear" w:color="auto" w:fill="CCEEFF"/>
          </w:tcPr>
          <w:p>
            <w:pPr>
              <w:jc w:val="right"/>
              <w:spacing w:after="0"/>
              <w:rPr>
                <w:sz w:val="20"/>
                <w:szCs w:val="20"/>
                <w:color w:val="auto"/>
              </w:rPr>
            </w:pPr>
            <w:r>
              <w:rPr>
                <w:rFonts w:ascii="Arial" w:cs="Arial" w:eastAsia="Arial" w:hAnsi="Arial"/>
                <w:sz w:val="18"/>
                <w:szCs w:val="18"/>
                <w:u w:val="single" w:color="auto"/>
                <w:color w:val="auto"/>
                <w:w w:val="92"/>
              </w:rPr>
              <w:t>$</w:t>
            </w:r>
            <w:r>
              <w:rPr>
                <w:rFonts w:ascii="Arial" w:cs="Arial" w:eastAsia="Arial" w:hAnsi="Arial"/>
                <w:sz w:val="18"/>
                <w:szCs w:val="18"/>
                <w:color w:val="auto"/>
                <w:w w:val="92"/>
              </w:rPr>
              <w:t>58,504</w:t>
            </w:r>
          </w:p>
        </w:tc>
        <w:tc>
          <w:tcPr>
            <w:tcW w:w="100" w:type="dxa"/>
            <w:vAlign w:val="bottom"/>
            <w:shd w:val="clear" w:color="auto" w:fill="CCEEFF"/>
          </w:tcPr>
          <w:p>
            <w:pPr>
              <w:spacing w:after="0"/>
              <w:rPr>
                <w:sz w:val="18"/>
                <w:szCs w:val="18"/>
                <w:color w:val="auto"/>
              </w:rPr>
            </w:pPr>
          </w:p>
        </w:tc>
        <w:tc>
          <w:tcPr>
            <w:tcW w:w="820" w:type="dxa"/>
            <w:vAlign w:val="bottom"/>
            <w:gridSpan w:val="4"/>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56,275</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440" w:type="dxa"/>
            <w:vAlign w:val="bottom"/>
          </w:tcPr>
          <w:p>
            <w:pPr>
              <w:spacing w:after="0" w:line="20" w:lineRule="exact"/>
              <w:rPr>
                <w:sz w:val="1"/>
                <w:szCs w:val="1"/>
                <w:color w:val="auto"/>
              </w:rPr>
            </w:pPr>
          </w:p>
        </w:tc>
        <w:tc>
          <w:tcPr>
            <w:tcW w:w="65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right="580" w:firstLine="440"/>
        <w:spacing w:after="0" w:line="277" w:lineRule="auto"/>
        <w:rPr>
          <w:sz w:val="20"/>
          <w:szCs w:val="20"/>
          <w:color w:val="auto"/>
        </w:rPr>
      </w:pPr>
      <w:r>
        <w:rPr>
          <w:rFonts w:ascii="Arial" w:cs="Arial" w:eastAsia="Arial" w:hAnsi="Arial"/>
          <w:sz w:val="18"/>
          <w:szCs w:val="18"/>
          <w:color w:val="auto"/>
        </w:rPr>
        <w:t>A reconciliation of the differences between the Bermuda statutory income tax rate and the effective tax rate as provided in the consolidated statements of operations is as follows:</w:t>
      </w:r>
    </w:p>
    <w:p>
      <w:pPr>
        <w:spacing w:after="0" w:line="18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6180" w:type="dxa"/>
            <w:vAlign w:val="bottom"/>
            <w:tcBorders>
              <w:bottom w:val="single" w:sz="8" w:color="CCEEFF"/>
            </w:tcBorders>
          </w:tcPr>
          <w:p>
            <w:pPr>
              <w:spacing w:after="0"/>
              <w:rPr>
                <w:sz w:val="14"/>
                <w:szCs w:val="14"/>
                <w:color w:val="auto"/>
              </w:rPr>
            </w:pPr>
          </w:p>
        </w:tc>
        <w:tc>
          <w:tcPr>
            <w:tcW w:w="120" w:type="dxa"/>
            <w:vAlign w:val="bottom"/>
            <w:tcBorders>
              <w:bottom w:val="single" w:sz="8" w:color="CCEEFF"/>
            </w:tcBorders>
          </w:tcPr>
          <w:p>
            <w:pPr>
              <w:spacing w:after="0"/>
              <w:rPr>
                <w:sz w:val="14"/>
                <w:szCs w:val="14"/>
                <w:color w:val="auto"/>
              </w:rPr>
            </w:pPr>
          </w:p>
        </w:tc>
        <w:tc>
          <w:tcPr>
            <w:tcW w:w="120" w:type="dxa"/>
            <w:vAlign w:val="bottom"/>
            <w:tcBorders>
              <w:bottom w:val="single" w:sz="8" w:color="CCEEFF"/>
            </w:tcBorders>
          </w:tcPr>
          <w:p>
            <w:pPr>
              <w:spacing w:after="0"/>
              <w:rPr>
                <w:sz w:val="14"/>
                <w:szCs w:val="14"/>
                <w:color w:val="auto"/>
              </w:rPr>
            </w:pPr>
          </w:p>
        </w:tc>
        <w:tc>
          <w:tcPr>
            <w:tcW w:w="260" w:type="dxa"/>
            <w:vAlign w:val="bottom"/>
            <w:tcBorders>
              <w:bottom w:val="single" w:sz="8" w:color="CCEEFF"/>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gridSpan w:val="3"/>
          </w:tcPr>
          <w:p>
            <w:pPr>
              <w:jc w:val="right"/>
              <w:spacing w:after="0"/>
              <w:rPr>
                <w:sz w:val="20"/>
                <w:szCs w:val="20"/>
                <w:color w:val="auto"/>
              </w:rPr>
            </w:pPr>
            <w:r>
              <w:rPr>
                <w:rFonts w:ascii="Arial" w:cs="Arial" w:eastAsia="Arial" w:hAnsi="Arial"/>
                <w:sz w:val="14"/>
                <w:szCs w:val="14"/>
                <w:b w:val="1"/>
                <w:bCs w:val="1"/>
                <w:color w:val="auto"/>
              </w:rPr>
              <w:t>2020</w:t>
            </w:r>
          </w:p>
        </w:tc>
        <w:tc>
          <w:tcPr>
            <w:tcW w:w="80" w:type="dxa"/>
            <w:vAlign w:val="bottom"/>
            <w:tcBorders>
              <w:bottom w:val="single" w:sz="8" w:color="auto"/>
            </w:tcBorders>
          </w:tcPr>
          <w:p>
            <w:pPr>
              <w:spacing w:after="0"/>
              <w:rPr>
                <w:sz w:val="14"/>
                <w:szCs w:val="14"/>
                <w:color w:val="auto"/>
              </w:rPr>
            </w:pPr>
          </w:p>
        </w:tc>
        <w:tc>
          <w:tcPr>
            <w:tcW w:w="360" w:type="dxa"/>
            <w:vAlign w:val="bottom"/>
            <w:tcBorders>
              <w:bottom w:val="single" w:sz="8" w:color="auto"/>
            </w:tcBorders>
          </w:tcPr>
          <w:p>
            <w:pPr>
              <w:spacing w:after="0"/>
              <w:rPr>
                <w:sz w:val="14"/>
                <w:szCs w:val="14"/>
                <w:color w:val="auto"/>
              </w:rPr>
            </w:pPr>
          </w:p>
        </w:tc>
        <w:tc>
          <w:tcPr>
            <w:tcW w:w="100" w:type="dxa"/>
            <w:vAlign w:val="bottom"/>
            <w:tcBorders>
              <w:bottom w:val="single" w:sz="8" w:color="CCEEFF"/>
            </w:tcBorders>
          </w:tcPr>
          <w:p>
            <w:pPr>
              <w:spacing w:after="0"/>
              <w:rPr>
                <w:sz w:val="14"/>
                <w:szCs w:val="14"/>
                <w:color w:val="auto"/>
              </w:rPr>
            </w:pPr>
          </w:p>
        </w:tc>
        <w:tc>
          <w:tcPr>
            <w:tcW w:w="140" w:type="dxa"/>
            <w:vAlign w:val="bottom"/>
            <w:tcBorders>
              <w:bottom w:val="single" w:sz="8" w:color="CCEEFF"/>
            </w:tcBorders>
          </w:tcPr>
          <w:p>
            <w:pPr>
              <w:spacing w:after="0"/>
              <w:rPr>
                <w:sz w:val="14"/>
                <w:szCs w:val="14"/>
                <w:color w:val="auto"/>
              </w:rPr>
            </w:pPr>
          </w:p>
        </w:tc>
        <w:tc>
          <w:tcPr>
            <w:tcW w:w="12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80" w:type="dxa"/>
            <w:vAlign w:val="bottom"/>
            <w:tcBorders>
              <w:bottom w:val="single" w:sz="8" w:color="auto"/>
            </w:tcBorders>
            <w:gridSpan w:val="5"/>
          </w:tcPr>
          <w:p>
            <w:pPr>
              <w:jc w:val="right"/>
              <w:ind w:right="130"/>
              <w:spacing w:after="0"/>
              <w:rPr>
                <w:sz w:val="20"/>
                <w:szCs w:val="20"/>
                <w:color w:val="auto"/>
              </w:rPr>
            </w:pPr>
            <w:r>
              <w:rPr>
                <w:rFonts w:ascii="Arial" w:cs="Arial" w:eastAsia="Arial" w:hAnsi="Arial"/>
                <w:sz w:val="14"/>
                <w:szCs w:val="14"/>
                <w:b w:val="1"/>
                <w:bCs w:val="1"/>
                <w:color w:val="auto"/>
              </w:rPr>
              <w:t>2019</w:t>
            </w:r>
          </w:p>
        </w:tc>
        <w:tc>
          <w:tcPr>
            <w:tcW w:w="160" w:type="dxa"/>
            <w:vAlign w:val="bottom"/>
            <w:tcBorders>
              <w:bottom w:val="single" w:sz="8" w:color="auto"/>
            </w:tcBorders>
          </w:tcPr>
          <w:p>
            <w:pPr>
              <w:spacing w:after="0"/>
              <w:rPr>
                <w:sz w:val="14"/>
                <w:szCs w:val="14"/>
                <w:color w:val="auto"/>
              </w:rPr>
            </w:pPr>
          </w:p>
        </w:tc>
        <w:tc>
          <w:tcPr>
            <w:tcW w:w="180" w:type="dxa"/>
            <w:vAlign w:val="bottom"/>
            <w:tcBorders>
              <w:bottom w:val="single" w:sz="8" w:color="CCEEFF"/>
            </w:tcBorders>
          </w:tcPr>
          <w:p>
            <w:pPr>
              <w:spacing w:after="0"/>
              <w:rPr>
                <w:sz w:val="14"/>
                <w:szCs w:val="14"/>
                <w:color w:val="auto"/>
              </w:rPr>
            </w:pPr>
          </w:p>
        </w:tc>
        <w:tc>
          <w:tcPr>
            <w:tcW w:w="40" w:type="dxa"/>
            <w:vAlign w:val="bottom"/>
            <w:tcBorders>
              <w:bottom w:val="single" w:sz="8" w:color="CCEEFF"/>
            </w:tcBorders>
          </w:tcPr>
          <w:p>
            <w:pPr>
              <w:spacing w:after="0"/>
              <w:rPr>
                <w:sz w:val="14"/>
                <w:szCs w:val="14"/>
                <w:color w:val="auto"/>
              </w:rPr>
            </w:pPr>
          </w:p>
        </w:tc>
        <w:tc>
          <w:tcPr>
            <w:tcW w:w="8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gridSpan w:val="2"/>
          </w:tcPr>
          <w:p>
            <w:pPr>
              <w:jc w:val="right"/>
              <w:spacing w:after="0"/>
              <w:rPr>
                <w:sz w:val="20"/>
                <w:szCs w:val="20"/>
                <w:color w:val="auto"/>
              </w:rPr>
            </w:pPr>
            <w:r>
              <w:rPr>
                <w:rFonts w:ascii="Arial" w:cs="Arial" w:eastAsia="Arial" w:hAnsi="Arial"/>
                <w:sz w:val="14"/>
                <w:szCs w:val="14"/>
                <w:b w:val="1"/>
                <w:bCs w:val="1"/>
                <w:color w:val="auto"/>
              </w:rPr>
              <w:t>2018</w:t>
            </w:r>
          </w:p>
        </w:tc>
        <w:tc>
          <w:tcPr>
            <w:tcW w:w="440" w:type="dxa"/>
            <w:vAlign w:val="bottom"/>
            <w:tcBorders>
              <w:bottom w:val="single" w:sz="8" w:color="auto"/>
            </w:tcBorders>
          </w:tcPr>
          <w:p>
            <w:pPr>
              <w:spacing w:after="0"/>
              <w:rPr>
                <w:sz w:val="14"/>
                <w:szCs w:val="14"/>
                <w:color w:val="auto"/>
              </w:rPr>
            </w:pPr>
          </w:p>
        </w:tc>
        <w:tc>
          <w:tcPr>
            <w:tcW w:w="26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6180" w:type="dxa"/>
            <w:vAlign w:val="bottom"/>
            <w:shd w:val="clear" w:color="auto" w:fill="CCEEFF"/>
          </w:tcPr>
          <w:p>
            <w:pPr>
              <w:spacing w:after="0"/>
              <w:rPr>
                <w:sz w:val="20"/>
                <w:szCs w:val="20"/>
                <w:color w:val="auto"/>
              </w:rPr>
            </w:pPr>
            <w:r>
              <w:rPr>
                <w:rFonts w:ascii="Arial" w:cs="Arial" w:eastAsia="Arial" w:hAnsi="Arial"/>
                <w:sz w:val="18"/>
                <w:szCs w:val="18"/>
                <w:color w:val="auto"/>
              </w:rPr>
              <w:t>Bermuda tax rate</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220" w:type="dxa"/>
            <w:vAlign w:val="bottom"/>
            <w:shd w:val="clear" w:color="auto" w:fill="CCEEFF"/>
          </w:tcPr>
          <w:p>
            <w:pPr>
              <w:jc w:val="right"/>
              <w:ind w:right="58"/>
              <w:spacing w:after="0"/>
              <w:rPr>
                <w:sz w:val="20"/>
                <w:szCs w:val="20"/>
                <w:color w:val="auto"/>
              </w:rPr>
            </w:pPr>
            <w:r>
              <w:rPr>
                <w:rFonts w:ascii="Arial" w:cs="Arial" w:eastAsia="Arial" w:hAnsi="Arial"/>
                <w:sz w:val="15"/>
                <w:szCs w:val="15"/>
                <w:color w:val="auto"/>
                <w:w w:val="71"/>
              </w:rPr>
              <w:t>$</w:t>
            </w:r>
          </w:p>
        </w:tc>
        <w:tc>
          <w:tcPr>
            <w:tcW w:w="60" w:type="dxa"/>
            <w:vAlign w:val="bottom"/>
            <w:shd w:val="clear" w:color="auto" w:fill="CCEEFF"/>
          </w:tcPr>
          <w:p>
            <w:pPr>
              <w:spacing w:after="0"/>
              <w:rPr>
                <w:sz w:val="18"/>
                <w:szCs w:val="18"/>
                <w:color w:val="auto"/>
              </w:rPr>
            </w:pPr>
          </w:p>
        </w:tc>
        <w:tc>
          <w:tcPr>
            <w:tcW w:w="500" w:type="dxa"/>
            <w:vAlign w:val="bottom"/>
            <w:gridSpan w:val="3"/>
            <w:shd w:val="clear" w:color="auto" w:fill="CCEEFF"/>
          </w:tcPr>
          <w:p>
            <w:pPr>
              <w:jc w:val="right"/>
              <w:ind w:right="221"/>
              <w:spacing w:after="0"/>
              <w:rPr>
                <w:sz w:val="20"/>
                <w:szCs w:val="20"/>
                <w:color w:val="auto"/>
              </w:rPr>
            </w:pPr>
            <w:r>
              <w:rPr>
                <w:rFonts w:ascii="Arial" w:cs="Arial" w:eastAsia="Arial" w:hAnsi="Arial"/>
                <w:sz w:val="18"/>
                <w:szCs w:val="18"/>
                <w:color w:val="auto"/>
                <w:w w:val="99"/>
              </w:rPr>
              <w:t>—</w:t>
            </w:r>
          </w:p>
        </w:tc>
        <w:tc>
          <w:tcPr>
            <w:tcW w:w="680" w:type="dxa"/>
            <w:vAlign w:val="bottom"/>
            <w:gridSpan w:val="4"/>
            <w:shd w:val="clear" w:color="auto" w:fill="CCEEFF"/>
          </w:tcPr>
          <w:p>
            <w:pPr>
              <w:jc w:val="right"/>
              <w:ind w:right="10"/>
              <w:spacing w:after="0"/>
              <w:rPr>
                <w:sz w:val="20"/>
                <w:szCs w:val="20"/>
                <w:color w:val="auto"/>
              </w:rPr>
            </w:pPr>
            <w:r>
              <w:rPr>
                <w:rFonts w:ascii="Arial" w:cs="Arial" w:eastAsia="Arial" w:hAnsi="Arial"/>
                <w:sz w:val="18"/>
                <w:szCs w:val="18"/>
                <w:color w:val="auto"/>
              </w:rPr>
              <w:t>0.00%</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40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720" w:type="dxa"/>
            <w:vAlign w:val="bottom"/>
            <w:gridSpan w:val="4"/>
            <w:shd w:val="clear" w:color="auto" w:fill="CCEEFF"/>
          </w:tcPr>
          <w:p>
            <w:pPr>
              <w:jc w:val="right"/>
              <w:ind w:right="40"/>
              <w:spacing w:after="0"/>
              <w:rPr>
                <w:sz w:val="20"/>
                <w:szCs w:val="20"/>
                <w:color w:val="auto"/>
              </w:rPr>
            </w:pPr>
            <w:r>
              <w:rPr>
                <w:rFonts w:ascii="Arial" w:cs="Arial" w:eastAsia="Arial" w:hAnsi="Arial"/>
                <w:sz w:val="18"/>
                <w:szCs w:val="18"/>
                <w:color w:val="auto"/>
              </w:rPr>
              <w:t>0.00%</w:t>
            </w:r>
          </w:p>
        </w:tc>
        <w:tc>
          <w:tcPr>
            <w:tcW w:w="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2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700" w:type="dxa"/>
            <w:vAlign w:val="bottom"/>
            <w:tcBorders>
              <w:left w:val="single" w:sz="8" w:color="CCEEFF"/>
            </w:tcBorders>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0.00%</w:t>
            </w:r>
          </w:p>
        </w:tc>
        <w:tc>
          <w:tcPr>
            <w:tcW w:w="0" w:type="dxa"/>
            <w:vAlign w:val="bottom"/>
          </w:tcPr>
          <w:p>
            <w:pPr>
              <w:spacing w:after="0"/>
              <w:rPr>
                <w:sz w:val="1"/>
                <w:szCs w:val="1"/>
                <w:color w:val="auto"/>
              </w:rPr>
            </w:pPr>
          </w:p>
        </w:tc>
      </w:tr>
      <w:tr>
        <w:trPr>
          <w:trHeight w:val="216"/>
        </w:trPr>
        <w:tc>
          <w:tcPr>
            <w:tcW w:w="6180" w:type="dxa"/>
            <w:vAlign w:val="bottom"/>
          </w:tcPr>
          <w:p>
            <w:pPr>
              <w:spacing w:after="0"/>
              <w:rPr>
                <w:sz w:val="20"/>
                <w:szCs w:val="20"/>
                <w:color w:val="auto"/>
              </w:rPr>
            </w:pPr>
            <w:r>
              <w:rPr>
                <w:rFonts w:ascii="Arial" w:cs="Arial" w:eastAsia="Arial" w:hAnsi="Arial"/>
                <w:sz w:val="18"/>
                <w:szCs w:val="18"/>
                <w:color w:val="auto"/>
              </w:rPr>
              <w:t>Foreign tax rate</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40" w:type="dxa"/>
            <w:vAlign w:val="bottom"/>
            <w:gridSpan w:val="6"/>
          </w:tcPr>
          <w:p>
            <w:pPr>
              <w:jc w:val="right"/>
              <w:ind w:right="81"/>
              <w:spacing w:after="0"/>
              <w:rPr>
                <w:sz w:val="20"/>
                <w:szCs w:val="20"/>
                <w:color w:val="auto"/>
              </w:rPr>
            </w:pPr>
            <w:r>
              <w:rPr>
                <w:rFonts w:ascii="Arial" w:cs="Arial" w:eastAsia="Arial" w:hAnsi="Arial"/>
                <w:sz w:val="18"/>
                <w:szCs w:val="18"/>
                <w:color w:val="auto"/>
              </w:rPr>
              <w:t>(1,291)</w:t>
            </w:r>
          </w:p>
        </w:tc>
        <w:tc>
          <w:tcPr>
            <w:tcW w:w="680" w:type="dxa"/>
            <w:vAlign w:val="bottom"/>
            <w:gridSpan w:val="4"/>
          </w:tcPr>
          <w:p>
            <w:pPr>
              <w:jc w:val="right"/>
              <w:spacing w:after="0"/>
              <w:rPr>
                <w:sz w:val="20"/>
                <w:szCs w:val="20"/>
                <w:color w:val="auto"/>
              </w:rPr>
            </w:pPr>
            <w:r>
              <w:rPr>
                <w:rFonts w:ascii="Arial" w:cs="Arial" w:eastAsia="Arial" w:hAnsi="Arial"/>
                <w:sz w:val="18"/>
                <w:szCs w:val="18"/>
                <w:color w:val="auto"/>
                <w:w w:val="98"/>
              </w:rPr>
              <w:t>(1.76)%</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gridSpan w:val="3"/>
          </w:tcPr>
          <w:p>
            <w:pPr>
              <w:jc w:val="right"/>
              <w:spacing w:after="0"/>
              <w:rPr>
                <w:sz w:val="20"/>
                <w:szCs w:val="20"/>
                <w:color w:val="auto"/>
              </w:rPr>
            </w:pPr>
            <w:r>
              <w:rPr>
                <w:rFonts w:ascii="Arial" w:cs="Arial" w:eastAsia="Arial" w:hAnsi="Arial"/>
                <w:sz w:val="18"/>
                <w:szCs w:val="18"/>
                <w:color w:val="auto"/>
              </w:rPr>
              <w:t>188</w:t>
            </w:r>
          </w:p>
        </w:tc>
        <w:tc>
          <w:tcPr>
            <w:tcW w:w="720" w:type="dxa"/>
            <w:vAlign w:val="bottom"/>
            <w:gridSpan w:val="4"/>
          </w:tcPr>
          <w:p>
            <w:pPr>
              <w:jc w:val="right"/>
              <w:ind w:right="40"/>
              <w:spacing w:after="0"/>
              <w:rPr>
                <w:sz w:val="20"/>
                <w:szCs w:val="20"/>
                <w:color w:val="auto"/>
              </w:rPr>
            </w:pPr>
            <w:r>
              <w:rPr>
                <w:rFonts w:ascii="Arial" w:cs="Arial" w:eastAsia="Arial" w:hAnsi="Arial"/>
                <w:sz w:val="18"/>
                <w:szCs w:val="18"/>
                <w:color w:val="auto"/>
              </w:rPr>
              <w:t>0.32%</w:t>
            </w:r>
          </w:p>
        </w:tc>
        <w:tc>
          <w:tcPr>
            <w:tcW w:w="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20" w:type="dxa"/>
            <w:vAlign w:val="bottom"/>
            <w:gridSpan w:val="2"/>
          </w:tcPr>
          <w:p>
            <w:pPr>
              <w:jc w:val="right"/>
              <w:ind w:right="160"/>
              <w:spacing w:after="0"/>
              <w:rPr>
                <w:sz w:val="20"/>
                <w:szCs w:val="20"/>
                <w:color w:val="auto"/>
              </w:rPr>
            </w:pPr>
            <w:r>
              <w:rPr>
                <w:rFonts w:ascii="Arial" w:cs="Arial" w:eastAsia="Arial" w:hAnsi="Arial"/>
                <w:sz w:val="18"/>
                <w:szCs w:val="18"/>
                <w:color w:val="auto"/>
              </w:rPr>
              <w:t>(142)</w:t>
            </w:r>
          </w:p>
        </w:tc>
        <w:tc>
          <w:tcPr>
            <w:tcW w:w="700" w:type="dxa"/>
            <w:vAlign w:val="bottom"/>
            <w:gridSpan w:val="2"/>
          </w:tcPr>
          <w:p>
            <w:pPr>
              <w:jc w:val="right"/>
              <w:ind w:right="60"/>
              <w:spacing w:after="0"/>
              <w:rPr>
                <w:sz w:val="20"/>
                <w:szCs w:val="20"/>
                <w:color w:val="auto"/>
              </w:rPr>
            </w:pPr>
            <w:r>
              <w:rPr>
                <w:rFonts w:ascii="Arial" w:cs="Arial" w:eastAsia="Arial" w:hAnsi="Arial"/>
                <w:sz w:val="18"/>
                <w:szCs w:val="18"/>
                <w:color w:val="auto"/>
                <w:w w:val="98"/>
              </w:rPr>
              <w:t>(0.25)%</w:t>
            </w:r>
          </w:p>
        </w:tc>
        <w:tc>
          <w:tcPr>
            <w:tcW w:w="0" w:type="dxa"/>
            <w:vAlign w:val="bottom"/>
          </w:tcPr>
          <w:p>
            <w:pPr>
              <w:spacing w:after="0"/>
              <w:rPr>
                <w:sz w:val="1"/>
                <w:szCs w:val="1"/>
                <w:color w:val="auto"/>
              </w:rPr>
            </w:pPr>
          </w:p>
        </w:tc>
      </w:tr>
      <w:tr>
        <w:trPr>
          <w:trHeight w:val="216"/>
        </w:trPr>
        <w:tc>
          <w:tcPr>
            <w:tcW w:w="6180" w:type="dxa"/>
            <w:vAlign w:val="bottom"/>
            <w:shd w:val="clear" w:color="auto" w:fill="CCEEFF"/>
          </w:tcPr>
          <w:p>
            <w:pPr>
              <w:spacing w:after="0"/>
              <w:rPr>
                <w:sz w:val="20"/>
                <w:szCs w:val="20"/>
                <w:color w:val="auto"/>
              </w:rPr>
            </w:pPr>
            <w:r>
              <w:rPr>
                <w:rFonts w:ascii="Arial" w:cs="Arial" w:eastAsia="Arial" w:hAnsi="Arial"/>
                <w:sz w:val="18"/>
                <w:szCs w:val="18"/>
                <w:color w:val="auto"/>
              </w:rPr>
              <w:t>Tax uncertainties</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500" w:type="dxa"/>
            <w:vAlign w:val="bottom"/>
            <w:gridSpan w:val="3"/>
            <w:shd w:val="clear" w:color="auto" w:fill="CCEEFF"/>
          </w:tcPr>
          <w:p>
            <w:pPr>
              <w:jc w:val="right"/>
              <w:ind w:right="141"/>
              <w:spacing w:after="0"/>
              <w:rPr>
                <w:sz w:val="20"/>
                <w:szCs w:val="20"/>
                <w:color w:val="auto"/>
              </w:rPr>
            </w:pPr>
            <w:r>
              <w:rPr>
                <w:rFonts w:ascii="Arial" w:cs="Arial" w:eastAsia="Arial" w:hAnsi="Arial"/>
                <w:sz w:val="18"/>
                <w:szCs w:val="18"/>
                <w:color w:val="auto"/>
                <w:w w:val="86"/>
              </w:rPr>
              <w:t>917</w:t>
            </w:r>
          </w:p>
        </w:tc>
        <w:tc>
          <w:tcPr>
            <w:tcW w:w="680" w:type="dxa"/>
            <w:vAlign w:val="bottom"/>
            <w:gridSpan w:val="4"/>
            <w:shd w:val="clear" w:color="auto" w:fill="CCEEFF"/>
          </w:tcPr>
          <w:p>
            <w:pPr>
              <w:jc w:val="right"/>
              <w:ind w:right="10"/>
              <w:spacing w:after="0"/>
              <w:rPr>
                <w:sz w:val="20"/>
                <w:szCs w:val="20"/>
                <w:color w:val="auto"/>
              </w:rPr>
            </w:pPr>
            <w:r>
              <w:rPr>
                <w:rFonts w:ascii="Arial" w:cs="Arial" w:eastAsia="Arial" w:hAnsi="Arial"/>
                <w:sz w:val="18"/>
                <w:szCs w:val="18"/>
                <w:color w:val="auto"/>
              </w:rPr>
              <w:t>1.25%</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w w:val="84"/>
              </w:rPr>
              <w:t>1,760</w:t>
            </w:r>
          </w:p>
        </w:tc>
        <w:tc>
          <w:tcPr>
            <w:tcW w:w="720" w:type="dxa"/>
            <w:vAlign w:val="bottom"/>
            <w:gridSpan w:val="4"/>
            <w:shd w:val="clear" w:color="auto" w:fill="CCEEFF"/>
          </w:tcPr>
          <w:p>
            <w:pPr>
              <w:jc w:val="right"/>
              <w:ind w:right="40"/>
              <w:spacing w:after="0"/>
              <w:rPr>
                <w:sz w:val="20"/>
                <w:szCs w:val="20"/>
                <w:color w:val="auto"/>
              </w:rPr>
            </w:pPr>
            <w:r>
              <w:rPr>
                <w:rFonts w:ascii="Arial" w:cs="Arial" w:eastAsia="Arial" w:hAnsi="Arial"/>
                <w:sz w:val="18"/>
                <w:szCs w:val="18"/>
                <w:color w:val="auto"/>
              </w:rPr>
              <w:t>3.01%</w:t>
            </w:r>
          </w:p>
        </w:tc>
        <w:tc>
          <w:tcPr>
            <w:tcW w:w="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w w:val="84"/>
              </w:rPr>
              <w:t>2,167</w:t>
            </w:r>
          </w:p>
        </w:tc>
        <w:tc>
          <w:tcPr>
            <w:tcW w:w="700" w:type="dxa"/>
            <w:vAlign w:val="bottom"/>
            <w:tcBorders>
              <w:left w:val="single" w:sz="8" w:color="CCEEFF"/>
            </w:tcBorders>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3.85%</w:t>
            </w:r>
          </w:p>
        </w:tc>
        <w:tc>
          <w:tcPr>
            <w:tcW w:w="0" w:type="dxa"/>
            <w:vAlign w:val="bottom"/>
          </w:tcPr>
          <w:p>
            <w:pPr>
              <w:spacing w:after="0"/>
              <w:rPr>
                <w:sz w:val="1"/>
                <w:szCs w:val="1"/>
                <w:color w:val="auto"/>
              </w:rPr>
            </w:pPr>
          </w:p>
        </w:tc>
      </w:tr>
      <w:tr>
        <w:trPr>
          <w:trHeight w:val="20"/>
        </w:trPr>
        <w:tc>
          <w:tcPr>
            <w:tcW w:w="6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60" w:type="dxa"/>
            <w:vAlign w:val="bottom"/>
            <w:vMerge w:val="restart"/>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220" w:type="dxa"/>
            <w:vAlign w:val="bottom"/>
            <w:gridSpan w:val="2"/>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220" w:type="dxa"/>
            <w:vAlign w:val="bottom"/>
            <w:vMerge w:val="restart"/>
          </w:tcPr>
          <w:p>
            <w:pPr>
              <w:jc w:val="right"/>
              <w:ind w:right="81"/>
              <w:spacing w:after="0"/>
              <w:rPr>
                <w:sz w:val="20"/>
                <w:szCs w:val="20"/>
                <w:color w:val="auto"/>
              </w:rPr>
            </w:pPr>
            <w:r>
              <w:rPr>
                <w:rFonts w:ascii="Arial" w:cs="Arial" w:eastAsia="Arial" w:hAnsi="Arial"/>
                <w:sz w:val="16"/>
                <w:szCs w:val="16"/>
                <w:color w:val="auto"/>
                <w:w w:val="74"/>
              </w:rPr>
              <w:t>)</w:t>
            </w:r>
          </w:p>
        </w:tc>
        <w:tc>
          <w:tcPr>
            <w:tcW w:w="80" w:type="dxa"/>
            <w:vAlign w:val="bottom"/>
            <w:shd w:val="clear" w:color="auto" w:fill="000000"/>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240" w:type="dxa"/>
            <w:vAlign w:val="bottom"/>
            <w:gridSpan w:val="2"/>
          </w:tcPr>
          <w:p>
            <w:pPr>
              <w:spacing w:after="0" w:line="20" w:lineRule="exact"/>
              <w:rPr>
                <w:sz w:val="1"/>
                <w:szCs w:val="1"/>
                <w:color w:val="auto"/>
              </w:rPr>
            </w:pPr>
          </w:p>
        </w:tc>
        <w:tc>
          <w:tcPr>
            <w:tcW w:w="120" w:type="dxa"/>
            <w:vAlign w:val="bottom"/>
            <w:vMerge w:val="restart"/>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40" w:type="dxa"/>
            <w:vAlign w:val="bottom"/>
            <w:shd w:val="clear" w:color="auto" w:fill="000000"/>
          </w:tcPr>
          <w:p>
            <w:pPr>
              <w:spacing w:after="0" w:line="20" w:lineRule="exact"/>
              <w:rPr>
                <w:sz w:val="1"/>
                <w:szCs w:val="1"/>
                <w:color w:val="auto"/>
              </w:rPr>
            </w:pPr>
          </w:p>
        </w:tc>
        <w:tc>
          <w:tcPr>
            <w:tcW w:w="160" w:type="dxa"/>
            <w:vAlign w:val="bottom"/>
            <w:vMerge w:val="restart"/>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0" w:type="dxa"/>
            <w:vAlign w:val="bottom"/>
            <w:vMerge w:val="restart"/>
          </w:tcPr>
          <w:p>
            <w:pPr>
              <w:spacing w:after="0" w:line="20" w:lineRule="exact"/>
              <w:rPr>
                <w:sz w:val="1"/>
                <w:szCs w:val="1"/>
                <w:color w:val="auto"/>
              </w:rPr>
            </w:pPr>
          </w:p>
        </w:tc>
        <w:tc>
          <w:tcPr>
            <w:tcW w:w="80" w:type="dxa"/>
            <w:vAlign w:val="bottom"/>
            <w:vMerge w:val="restart"/>
          </w:tcPr>
          <w:p>
            <w:pPr>
              <w:spacing w:after="0" w:line="20" w:lineRule="exact"/>
              <w:rPr>
                <w:sz w:val="1"/>
                <w:szCs w:val="1"/>
                <w:color w:val="auto"/>
              </w:rPr>
            </w:pPr>
          </w:p>
        </w:tc>
        <w:tc>
          <w:tcPr>
            <w:tcW w:w="500" w:type="dxa"/>
            <w:vAlign w:val="bottom"/>
            <w:gridSpan w:val="2"/>
            <w:shd w:val="clear" w:color="auto" w:fill="000000"/>
          </w:tcPr>
          <w:p>
            <w:pPr>
              <w:spacing w:after="0" w:line="20" w:lineRule="exact"/>
              <w:rPr>
                <w:sz w:val="1"/>
                <w:szCs w:val="1"/>
                <w:color w:val="auto"/>
              </w:rPr>
            </w:pPr>
          </w:p>
        </w:tc>
        <w:tc>
          <w:tcPr>
            <w:tcW w:w="220" w:type="dxa"/>
            <w:vAlign w:val="bottom"/>
            <w:vMerge w:val="restart"/>
          </w:tcPr>
          <w:p>
            <w:pPr>
              <w:spacing w:after="0" w:line="20" w:lineRule="exact"/>
              <w:rPr>
                <w:sz w:val="1"/>
                <w:szCs w:val="1"/>
                <w:color w:val="auto"/>
              </w:rPr>
            </w:pPr>
          </w:p>
        </w:tc>
        <w:tc>
          <w:tcPr>
            <w:tcW w:w="440" w:type="dxa"/>
            <w:vAlign w:val="bottom"/>
            <w:tcBorders>
              <w:left w:val="single" w:sz="8" w:color="auto"/>
            </w:tcBorders>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61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60" w:type="dxa"/>
            <w:vAlign w:val="bottom"/>
            <w:vMerge w:val="continue"/>
          </w:tcPr>
          <w:p>
            <w:pPr>
              <w:spacing w:after="0"/>
              <w:rPr>
                <w:sz w:val="19"/>
                <w:szCs w:val="19"/>
                <w:color w:val="auto"/>
              </w:rPr>
            </w:pPr>
          </w:p>
        </w:tc>
        <w:tc>
          <w:tcPr>
            <w:tcW w:w="560" w:type="dxa"/>
            <w:vAlign w:val="bottom"/>
            <w:gridSpan w:val="4"/>
          </w:tcPr>
          <w:p>
            <w:pPr>
              <w:jc w:val="right"/>
              <w:spacing w:after="0"/>
              <w:rPr>
                <w:sz w:val="20"/>
                <w:szCs w:val="20"/>
                <w:color w:val="auto"/>
              </w:rPr>
            </w:pPr>
            <w:r>
              <w:rPr>
                <w:rFonts w:ascii="Arial" w:cs="Arial" w:eastAsia="Arial" w:hAnsi="Arial"/>
                <w:sz w:val="18"/>
                <w:szCs w:val="18"/>
                <w:color w:val="auto"/>
                <w:w w:val="96"/>
              </w:rPr>
              <w:t>$  (374</w:t>
            </w:r>
          </w:p>
        </w:tc>
        <w:tc>
          <w:tcPr>
            <w:tcW w:w="220" w:type="dxa"/>
            <w:vAlign w:val="bottom"/>
            <w:vMerge w:val="continue"/>
          </w:tcPr>
          <w:p>
            <w:pPr>
              <w:spacing w:after="0"/>
              <w:rPr>
                <w:sz w:val="19"/>
                <w:szCs w:val="19"/>
                <w:color w:val="auto"/>
              </w:rPr>
            </w:pPr>
          </w:p>
        </w:tc>
        <w:tc>
          <w:tcPr>
            <w:tcW w:w="680" w:type="dxa"/>
            <w:vAlign w:val="bottom"/>
            <w:gridSpan w:val="4"/>
          </w:tcPr>
          <w:p>
            <w:pPr>
              <w:jc w:val="right"/>
              <w:spacing w:after="0"/>
              <w:rPr>
                <w:sz w:val="20"/>
                <w:szCs w:val="20"/>
                <w:color w:val="auto"/>
              </w:rPr>
            </w:pPr>
            <w:r>
              <w:rPr>
                <w:rFonts w:ascii="Arial" w:cs="Arial" w:eastAsia="Arial" w:hAnsi="Arial"/>
                <w:sz w:val="18"/>
                <w:szCs w:val="18"/>
                <w:color w:val="auto"/>
                <w:w w:val="98"/>
              </w:rPr>
              <w:t>(0.51)%</w:t>
            </w:r>
          </w:p>
        </w:tc>
        <w:tc>
          <w:tcPr>
            <w:tcW w:w="120" w:type="dxa"/>
            <w:vAlign w:val="bottom"/>
            <w:vMerge w:val="continue"/>
          </w:tcPr>
          <w:p>
            <w:pPr>
              <w:spacing w:after="0"/>
              <w:rPr>
                <w:sz w:val="19"/>
                <w:szCs w:val="19"/>
                <w:color w:val="auto"/>
              </w:rPr>
            </w:pPr>
          </w:p>
        </w:tc>
        <w:tc>
          <w:tcPr>
            <w:tcW w:w="100" w:type="dxa"/>
            <w:vAlign w:val="bottom"/>
          </w:tcPr>
          <w:p>
            <w:pPr>
              <w:jc w:val="right"/>
              <w:spacing w:after="0"/>
              <w:rPr>
                <w:sz w:val="20"/>
                <w:szCs w:val="20"/>
                <w:color w:val="auto"/>
              </w:rPr>
            </w:pPr>
            <w:r>
              <w:rPr>
                <w:rFonts w:ascii="Arial" w:cs="Arial" w:eastAsia="Arial" w:hAnsi="Arial"/>
                <w:sz w:val="15"/>
                <w:szCs w:val="15"/>
                <w:u w:val="single" w:color="auto"/>
                <w:color w:val="auto"/>
                <w:w w:val="71"/>
              </w:rPr>
              <w:t>$</w:t>
            </w:r>
          </w:p>
        </w:tc>
        <w:tc>
          <w:tcPr>
            <w:tcW w:w="400" w:type="dxa"/>
            <w:vAlign w:val="bottom"/>
            <w:gridSpan w:val="3"/>
          </w:tcPr>
          <w:p>
            <w:pPr>
              <w:jc w:val="right"/>
              <w:spacing w:after="0"/>
              <w:rPr>
                <w:sz w:val="20"/>
                <w:szCs w:val="20"/>
                <w:color w:val="auto"/>
              </w:rPr>
            </w:pPr>
            <w:r>
              <w:rPr>
                <w:rFonts w:ascii="Arial" w:cs="Arial" w:eastAsia="Arial" w:hAnsi="Arial"/>
                <w:sz w:val="18"/>
                <w:szCs w:val="18"/>
                <w:color w:val="auto"/>
                <w:w w:val="84"/>
              </w:rPr>
              <w:t>1,948</w:t>
            </w:r>
          </w:p>
        </w:tc>
        <w:tc>
          <w:tcPr>
            <w:tcW w:w="160" w:type="dxa"/>
            <w:vAlign w:val="bottom"/>
            <w:vMerge w:val="continue"/>
          </w:tcPr>
          <w:p>
            <w:pPr>
              <w:spacing w:after="0"/>
              <w:rPr>
                <w:sz w:val="19"/>
                <w:szCs w:val="19"/>
                <w:color w:val="auto"/>
              </w:rPr>
            </w:pPr>
          </w:p>
        </w:tc>
        <w:tc>
          <w:tcPr>
            <w:tcW w:w="560" w:type="dxa"/>
            <w:vAlign w:val="bottom"/>
            <w:gridSpan w:val="3"/>
          </w:tcPr>
          <w:p>
            <w:pPr>
              <w:jc w:val="right"/>
              <w:ind w:right="40"/>
              <w:spacing w:after="0"/>
              <w:rPr>
                <w:sz w:val="20"/>
                <w:szCs w:val="20"/>
                <w:color w:val="auto"/>
              </w:rPr>
            </w:pPr>
            <w:r>
              <w:rPr>
                <w:rFonts w:ascii="Arial" w:cs="Arial" w:eastAsia="Arial" w:hAnsi="Arial"/>
                <w:sz w:val="18"/>
                <w:szCs w:val="18"/>
                <w:color w:val="auto"/>
                <w:w w:val="97"/>
              </w:rPr>
              <w:t>3.33%</w:t>
            </w:r>
          </w:p>
        </w:tc>
        <w:tc>
          <w:tcPr>
            <w:tcW w:w="40" w:type="dxa"/>
            <w:vAlign w:val="bottom"/>
            <w:vMerge w:val="continue"/>
          </w:tcPr>
          <w:p>
            <w:pPr>
              <w:spacing w:after="0"/>
              <w:rPr>
                <w:sz w:val="19"/>
                <w:szCs w:val="19"/>
                <w:color w:val="auto"/>
              </w:rPr>
            </w:pPr>
          </w:p>
        </w:tc>
        <w:tc>
          <w:tcPr>
            <w:tcW w:w="80" w:type="dxa"/>
            <w:vAlign w:val="bottom"/>
            <w:vMerge w:val="continue"/>
          </w:tcPr>
          <w:p>
            <w:pPr>
              <w:spacing w:after="0"/>
              <w:rPr>
                <w:sz w:val="19"/>
                <w:szCs w:val="19"/>
                <w:color w:val="auto"/>
              </w:rPr>
            </w:pPr>
          </w:p>
        </w:tc>
        <w:tc>
          <w:tcPr>
            <w:tcW w:w="500" w:type="dxa"/>
            <w:vAlign w:val="bottom"/>
            <w:gridSpan w:val="2"/>
          </w:tcPr>
          <w:p>
            <w:pPr>
              <w:jc w:val="right"/>
              <w:spacing w:after="0"/>
              <w:rPr>
                <w:sz w:val="20"/>
                <w:szCs w:val="20"/>
                <w:color w:val="auto"/>
              </w:rPr>
            </w:pPr>
            <w:r>
              <w:rPr>
                <w:rFonts w:ascii="Arial" w:cs="Arial" w:eastAsia="Arial" w:hAnsi="Arial"/>
                <w:sz w:val="18"/>
                <w:szCs w:val="18"/>
                <w:u w:val="single" w:color="auto"/>
                <w:color w:val="auto"/>
                <w:w w:val="87"/>
              </w:rPr>
              <w:t>$</w:t>
            </w:r>
            <w:r>
              <w:rPr>
                <w:rFonts w:ascii="Arial" w:cs="Arial" w:eastAsia="Arial" w:hAnsi="Arial"/>
                <w:sz w:val="18"/>
                <w:szCs w:val="18"/>
                <w:color w:val="auto"/>
                <w:w w:val="87"/>
              </w:rPr>
              <w:t>2,025</w:t>
            </w:r>
          </w:p>
        </w:tc>
        <w:tc>
          <w:tcPr>
            <w:tcW w:w="220" w:type="dxa"/>
            <w:vAlign w:val="bottom"/>
            <w:vMerge w:val="continue"/>
          </w:tcPr>
          <w:p>
            <w:pPr>
              <w:spacing w:after="0"/>
              <w:rPr>
                <w:sz w:val="19"/>
                <w:szCs w:val="19"/>
                <w:color w:val="auto"/>
              </w:rPr>
            </w:pPr>
          </w:p>
        </w:tc>
        <w:tc>
          <w:tcPr>
            <w:tcW w:w="700" w:type="dxa"/>
            <w:vAlign w:val="bottom"/>
            <w:gridSpan w:val="2"/>
          </w:tcPr>
          <w:p>
            <w:pPr>
              <w:jc w:val="right"/>
              <w:ind w:right="120"/>
              <w:spacing w:after="0"/>
              <w:rPr>
                <w:sz w:val="20"/>
                <w:szCs w:val="20"/>
                <w:color w:val="auto"/>
              </w:rPr>
            </w:pPr>
            <w:r>
              <w:rPr>
                <w:rFonts w:ascii="Arial" w:cs="Arial" w:eastAsia="Arial" w:hAnsi="Arial"/>
                <w:sz w:val="18"/>
                <w:szCs w:val="18"/>
                <w:color w:val="auto"/>
              </w:rPr>
              <w:t>3.60%</w:t>
            </w:r>
          </w:p>
        </w:tc>
        <w:tc>
          <w:tcPr>
            <w:tcW w:w="0" w:type="dxa"/>
            <w:vAlign w:val="bottom"/>
          </w:tcPr>
          <w:p>
            <w:pPr>
              <w:spacing w:after="0"/>
              <w:rPr>
                <w:sz w:val="1"/>
                <w:szCs w:val="1"/>
                <w:color w:val="auto"/>
              </w:rPr>
            </w:pPr>
          </w:p>
        </w:tc>
      </w:tr>
      <w:tr>
        <w:trPr>
          <w:trHeight w:val="20"/>
        </w:trPr>
        <w:tc>
          <w:tcPr>
            <w:tcW w:w="6180" w:type="dxa"/>
            <w:vAlign w:val="bottom"/>
            <w:vMerge w:val="restart"/>
          </w:tcPr>
          <w:p>
            <w:pPr>
              <w:ind w:left="440"/>
              <w:spacing w:after="0"/>
              <w:rPr>
                <w:sz w:val="20"/>
                <w:szCs w:val="20"/>
                <w:color w:val="auto"/>
              </w:rPr>
            </w:pPr>
            <w:r>
              <w:rPr>
                <w:rFonts w:ascii="Arial" w:cs="Arial" w:eastAsia="Arial" w:hAnsi="Arial"/>
                <w:sz w:val="18"/>
                <w:szCs w:val="18"/>
                <w:color w:val="auto"/>
                <w:w w:val="91"/>
              </w:rPr>
              <w:t>The components of income tax expense and effective tax rate were as follows:</w:t>
            </w:r>
          </w:p>
        </w:tc>
        <w:tc>
          <w:tcPr>
            <w:tcW w:w="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26"/>
        </w:trPr>
        <w:tc>
          <w:tcPr>
            <w:tcW w:w="6180" w:type="dxa"/>
            <w:vAlign w:val="bottom"/>
            <w:vMerge w:val="continue"/>
          </w:tcPr>
          <w:p>
            <w:pPr>
              <w:spacing w:after="0"/>
              <w:rPr>
                <w:sz w:val="24"/>
                <w:szCs w:val="24"/>
                <w:color w:val="auto"/>
              </w:rPr>
            </w:pP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91"/>
        </w:trPr>
        <w:tc>
          <w:tcPr>
            <w:tcW w:w="6180" w:type="dxa"/>
            <w:vAlign w:val="bottom"/>
            <w:tcBorders>
              <w:bottom w:val="single" w:sz="8" w:color="CCEEFF"/>
            </w:tcBorders>
          </w:tcPr>
          <w:p>
            <w:pPr>
              <w:spacing w:after="0"/>
              <w:rPr>
                <w:sz w:val="24"/>
                <w:szCs w:val="24"/>
                <w:color w:val="auto"/>
              </w:rPr>
            </w:pPr>
          </w:p>
        </w:tc>
        <w:tc>
          <w:tcPr>
            <w:tcW w:w="120" w:type="dxa"/>
            <w:vAlign w:val="bottom"/>
            <w:tcBorders>
              <w:bottom w:val="single" w:sz="8" w:color="CCEEFF"/>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700" w:type="dxa"/>
            <w:vAlign w:val="bottom"/>
            <w:tcBorders>
              <w:bottom w:val="single" w:sz="8" w:color="auto"/>
            </w:tcBorders>
            <w:gridSpan w:val="4"/>
          </w:tcPr>
          <w:p>
            <w:pPr>
              <w:jc w:val="right"/>
              <w:spacing w:after="0"/>
              <w:rPr>
                <w:sz w:val="20"/>
                <w:szCs w:val="20"/>
                <w:color w:val="auto"/>
              </w:rPr>
            </w:pPr>
            <w:r>
              <w:rPr>
                <w:rFonts w:ascii="Arial" w:cs="Arial" w:eastAsia="Arial" w:hAnsi="Arial"/>
                <w:sz w:val="14"/>
                <w:szCs w:val="14"/>
                <w:b w:val="1"/>
                <w:bCs w:val="1"/>
                <w:color w:val="auto"/>
              </w:rPr>
              <w:t>2020</w:t>
            </w:r>
          </w:p>
        </w:tc>
        <w:tc>
          <w:tcPr>
            <w:tcW w:w="12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360" w:type="dxa"/>
            <w:vAlign w:val="bottom"/>
            <w:tcBorders>
              <w:bottom w:val="single" w:sz="8" w:color="CCEEFF"/>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gridSpan w:val="2"/>
          </w:tcPr>
          <w:p>
            <w:pPr>
              <w:jc w:val="right"/>
              <w:ind w:right="40"/>
              <w:spacing w:after="0"/>
              <w:rPr>
                <w:sz w:val="20"/>
                <w:szCs w:val="20"/>
                <w:color w:val="auto"/>
              </w:rPr>
            </w:pPr>
            <w:r>
              <w:rPr>
                <w:rFonts w:ascii="Arial" w:cs="Arial" w:eastAsia="Arial" w:hAnsi="Arial"/>
                <w:sz w:val="14"/>
                <w:szCs w:val="14"/>
                <w:b w:val="1"/>
                <w:bCs w:val="1"/>
                <w:color w:val="auto"/>
                <w:w w:val="96"/>
              </w:rPr>
              <w:t>2019</w:t>
            </w:r>
          </w:p>
        </w:tc>
        <w:tc>
          <w:tcPr>
            <w:tcW w:w="4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160" w:type="dxa"/>
            <w:vAlign w:val="bottom"/>
            <w:tcBorders>
              <w:bottom w:val="single" w:sz="8" w:color="CCEEFF"/>
            </w:tcBorders>
          </w:tcPr>
          <w:p>
            <w:pPr>
              <w:spacing w:after="0"/>
              <w:rPr>
                <w:sz w:val="24"/>
                <w:szCs w:val="24"/>
                <w:color w:val="auto"/>
              </w:rPr>
            </w:pPr>
          </w:p>
        </w:tc>
        <w:tc>
          <w:tcPr>
            <w:tcW w:w="180" w:type="dxa"/>
            <w:vAlign w:val="bottom"/>
            <w:tcBorders>
              <w:bottom w:val="single" w:sz="8" w:color="CCEEFF"/>
            </w:tcBorders>
          </w:tcPr>
          <w:p>
            <w:pPr>
              <w:spacing w:after="0"/>
              <w:rPr>
                <w:sz w:val="24"/>
                <w:szCs w:val="24"/>
                <w:color w:val="auto"/>
              </w:rPr>
            </w:pPr>
          </w:p>
        </w:tc>
        <w:tc>
          <w:tcPr>
            <w:tcW w:w="40" w:type="dxa"/>
            <w:vAlign w:val="bottom"/>
            <w:tcBorders>
              <w:bottom w:val="single" w:sz="8" w:color="CCEEFF"/>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gridSpan w:val="2"/>
          </w:tcPr>
          <w:p>
            <w:pPr>
              <w:jc w:val="right"/>
              <w:ind w:right="40"/>
              <w:spacing w:after="0"/>
              <w:rPr>
                <w:sz w:val="20"/>
                <w:szCs w:val="20"/>
                <w:color w:val="auto"/>
              </w:rPr>
            </w:pPr>
            <w:r>
              <w:rPr>
                <w:rFonts w:ascii="Arial" w:cs="Arial" w:eastAsia="Arial" w:hAnsi="Arial"/>
                <w:sz w:val="14"/>
                <w:szCs w:val="14"/>
                <w:b w:val="1"/>
                <w:bCs w:val="1"/>
                <w:color w:val="auto"/>
              </w:rPr>
              <w:t>2018</w:t>
            </w:r>
          </w:p>
        </w:tc>
        <w:tc>
          <w:tcPr>
            <w:tcW w:w="440" w:type="dxa"/>
            <w:vAlign w:val="bottom"/>
            <w:tcBorders>
              <w:bottom w:val="single" w:sz="8" w:color="auto"/>
            </w:tcBorders>
          </w:tcPr>
          <w:p>
            <w:pPr>
              <w:spacing w:after="0"/>
              <w:rPr>
                <w:sz w:val="24"/>
                <w:szCs w:val="24"/>
                <w:color w:val="auto"/>
              </w:rPr>
            </w:pPr>
          </w:p>
        </w:tc>
        <w:tc>
          <w:tcPr>
            <w:tcW w:w="260" w:type="dxa"/>
            <w:vAlign w:val="bottom"/>
            <w:tcBorders>
              <w:bottom w:val="single" w:sz="8" w:color="CCEEFF"/>
            </w:tcBorders>
          </w:tcPr>
          <w:p>
            <w:pPr>
              <w:spacing w:after="0"/>
              <w:rPr>
                <w:sz w:val="24"/>
                <w:szCs w:val="24"/>
                <w:color w:val="auto"/>
              </w:rPr>
            </w:pPr>
          </w:p>
        </w:tc>
        <w:tc>
          <w:tcPr>
            <w:tcW w:w="0" w:type="dxa"/>
            <w:vAlign w:val="bottom"/>
          </w:tcPr>
          <w:p>
            <w:pPr>
              <w:spacing w:after="0"/>
              <w:rPr>
                <w:sz w:val="1"/>
                <w:szCs w:val="1"/>
                <w:color w:val="auto"/>
              </w:rPr>
            </w:pPr>
          </w:p>
        </w:tc>
      </w:tr>
      <w:tr>
        <w:trPr>
          <w:trHeight w:val="210"/>
        </w:trPr>
        <w:tc>
          <w:tcPr>
            <w:tcW w:w="6180" w:type="dxa"/>
            <w:vAlign w:val="bottom"/>
            <w:shd w:val="clear" w:color="auto" w:fill="CCEEFF"/>
          </w:tcPr>
          <w:p>
            <w:pPr>
              <w:spacing w:after="0"/>
              <w:rPr>
                <w:sz w:val="20"/>
                <w:szCs w:val="20"/>
                <w:color w:val="auto"/>
              </w:rPr>
            </w:pPr>
            <w:r>
              <w:rPr>
                <w:rFonts w:ascii="Arial" w:cs="Arial" w:eastAsia="Arial" w:hAnsi="Arial"/>
                <w:sz w:val="18"/>
                <w:szCs w:val="18"/>
                <w:color w:val="auto"/>
              </w:rPr>
              <w:t>Income before income tax and noncontrolling interests</w:t>
            </w:r>
          </w:p>
        </w:tc>
        <w:tc>
          <w:tcPr>
            <w:tcW w:w="120" w:type="dxa"/>
            <w:vAlign w:val="bottom"/>
            <w:shd w:val="clear" w:color="auto" w:fill="CCEEFF"/>
          </w:tcPr>
          <w:p>
            <w:pPr>
              <w:spacing w:after="0"/>
              <w:rPr>
                <w:sz w:val="18"/>
                <w:szCs w:val="18"/>
                <w:color w:val="auto"/>
              </w:rPr>
            </w:pPr>
          </w:p>
        </w:tc>
        <w:tc>
          <w:tcPr>
            <w:tcW w:w="600" w:type="dxa"/>
            <w:vAlign w:val="bottom"/>
            <w:gridSpan w:val="3"/>
            <w:shd w:val="clear" w:color="auto" w:fill="CCEEFF"/>
          </w:tcPr>
          <w:p>
            <w:pPr>
              <w:jc w:val="right"/>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73,299</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720" w:type="dxa"/>
            <w:vAlign w:val="bottom"/>
            <w:gridSpan w:val="5"/>
            <w:shd w:val="clear" w:color="auto" w:fill="CCEEFF"/>
          </w:tcPr>
          <w:p>
            <w:pPr>
              <w:jc w:val="right"/>
              <w:ind w:right="220"/>
              <w:spacing w:after="0"/>
              <w:rPr>
                <w:sz w:val="20"/>
                <w:szCs w:val="20"/>
                <w:color w:val="auto"/>
              </w:rPr>
            </w:pPr>
            <w:r>
              <w:rPr>
                <w:rFonts w:ascii="Arial" w:cs="Arial" w:eastAsia="Arial" w:hAnsi="Arial"/>
                <w:sz w:val="18"/>
                <w:szCs w:val="18"/>
                <w:color w:val="auto"/>
                <w:w w:val="87"/>
              </w:rPr>
              <w:t>58,504</w:t>
            </w:r>
          </w:p>
        </w:tc>
        <w:tc>
          <w:tcPr>
            <w:tcW w:w="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800" w:type="dxa"/>
            <w:vAlign w:val="bottom"/>
            <w:gridSpan w:val="4"/>
            <w:shd w:val="clear" w:color="auto" w:fill="CCEEFF"/>
          </w:tcPr>
          <w:p>
            <w:pPr>
              <w:jc w:val="right"/>
              <w:ind w:right="220"/>
              <w:spacing w:after="0"/>
              <w:rPr>
                <w:sz w:val="20"/>
                <w:szCs w:val="20"/>
                <w:color w:val="auto"/>
              </w:rPr>
            </w:pPr>
            <w:r>
              <w:rPr>
                <w:rFonts w:ascii="Arial" w:cs="Arial" w:eastAsia="Arial" w:hAnsi="Arial"/>
                <w:sz w:val="18"/>
                <w:szCs w:val="18"/>
                <w:u w:val="single" w:color="auto"/>
                <w:color w:val="auto"/>
                <w:w w:val="86"/>
              </w:rPr>
              <w:t>$</w:t>
            </w:r>
            <w:r>
              <w:rPr>
                <w:rFonts w:ascii="Arial" w:cs="Arial" w:eastAsia="Arial" w:hAnsi="Arial"/>
                <w:sz w:val="18"/>
                <w:szCs w:val="18"/>
                <w:color w:val="auto"/>
                <w:w w:val="86"/>
              </w:rPr>
              <w:t>56,275</w:t>
            </w:r>
          </w:p>
        </w:tc>
        <w:tc>
          <w:tcPr>
            <w:tcW w:w="440" w:type="dxa"/>
            <w:vAlign w:val="bottom"/>
            <w:tcBorders>
              <w:left w:val="single" w:sz="8" w:color="CCEEFF"/>
            </w:tcBorders>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6180" w:type="dxa"/>
            <w:vAlign w:val="bottom"/>
            <w:vMerge w:val="restart"/>
          </w:tcPr>
          <w:p>
            <w:pPr>
              <w:spacing w:after="0"/>
              <w:rPr>
                <w:sz w:val="20"/>
                <w:szCs w:val="20"/>
                <w:color w:val="auto"/>
              </w:rPr>
            </w:pPr>
            <w:r>
              <w:rPr>
                <w:rFonts w:ascii="Arial" w:cs="Arial" w:eastAsia="Arial" w:hAnsi="Arial"/>
                <w:sz w:val="18"/>
                <w:szCs w:val="18"/>
                <w:color w:val="auto"/>
              </w:rPr>
              <w:t>Tax uncertainties</w:t>
            </w:r>
          </w:p>
        </w:tc>
        <w:tc>
          <w:tcPr>
            <w:tcW w:w="1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940" w:type="dxa"/>
            <w:vAlign w:val="bottom"/>
            <w:gridSpan w:val="5"/>
            <w:vMerge w:val="restart"/>
          </w:tcPr>
          <w:p>
            <w:pPr>
              <w:jc w:val="right"/>
              <w:ind w:right="200"/>
              <w:spacing w:after="0"/>
              <w:rPr>
                <w:sz w:val="20"/>
                <w:szCs w:val="20"/>
                <w:color w:val="auto"/>
              </w:rPr>
            </w:pPr>
            <w:r>
              <w:rPr>
                <w:rFonts w:ascii="Arial" w:cs="Arial" w:eastAsia="Arial" w:hAnsi="Arial"/>
                <w:sz w:val="18"/>
                <w:szCs w:val="18"/>
                <w:color w:val="auto"/>
              </w:rPr>
              <w:t>1.25%</w:t>
            </w: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gridSpan w:val="4"/>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720" w:type="dxa"/>
            <w:vAlign w:val="bottom"/>
            <w:gridSpan w:val="4"/>
            <w:vMerge w:val="restart"/>
          </w:tcPr>
          <w:p>
            <w:pPr>
              <w:jc w:val="right"/>
              <w:ind w:right="180"/>
              <w:spacing w:after="0"/>
              <w:rPr>
                <w:sz w:val="20"/>
                <w:szCs w:val="20"/>
                <w:color w:val="auto"/>
              </w:rPr>
            </w:pPr>
            <w:r>
              <w:rPr>
                <w:rFonts w:ascii="Arial" w:cs="Arial" w:eastAsia="Arial" w:hAnsi="Arial"/>
                <w:sz w:val="18"/>
                <w:szCs w:val="18"/>
                <w:color w:val="auto"/>
              </w:rPr>
              <w:t>3.01%</w:t>
            </w:r>
          </w:p>
        </w:tc>
        <w:tc>
          <w:tcPr>
            <w:tcW w:w="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700" w:type="dxa"/>
            <w:vAlign w:val="bottom"/>
            <w:gridSpan w:val="2"/>
            <w:vMerge w:val="restart"/>
          </w:tcPr>
          <w:p>
            <w:pPr>
              <w:jc w:val="right"/>
              <w:ind w:right="120"/>
              <w:spacing w:after="0"/>
              <w:rPr>
                <w:sz w:val="20"/>
                <w:szCs w:val="20"/>
                <w:color w:val="auto"/>
              </w:rPr>
            </w:pPr>
            <w:r>
              <w:rPr>
                <w:rFonts w:ascii="Arial" w:cs="Arial" w:eastAsia="Arial" w:hAnsi="Arial"/>
                <w:sz w:val="18"/>
                <w:szCs w:val="18"/>
                <w:color w:val="auto"/>
              </w:rPr>
              <w:t>3.85%</w:t>
            </w:r>
          </w:p>
        </w:tc>
        <w:tc>
          <w:tcPr>
            <w:tcW w:w="0" w:type="dxa"/>
            <w:vAlign w:val="bottom"/>
          </w:tcPr>
          <w:p>
            <w:pPr>
              <w:spacing w:after="0" w:line="20" w:lineRule="exact"/>
              <w:rPr>
                <w:sz w:val="1"/>
                <w:szCs w:val="1"/>
                <w:color w:val="auto"/>
              </w:rPr>
            </w:pPr>
          </w:p>
        </w:tc>
      </w:tr>
      <w:tr>
        <w:trPr>
          <w:trHeight w:val="217"/>
        </w:trPr>
        <w:tc>
          <w:tcPr>
            <w:tcW w:w="6180" w:type="dxa"/>
            <w:vAlign w:val="bottom"/>
            <w:vMerge w:val="continue"/>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480" w:type="dxa"/>
            <w:vAlign w:val="bottom"/>
            <w:gridSpan w:val="2"/>
          </w:tcPr>
          <w:p>
            <w:pPr>
              <w:jc w:val="right"/>
              <w:spacing w:after="0"/>
              <w:rPr>
                <w:sz w:val="20"/>
                <w:szCs w:val="20"/>
                <w:color w:val="auto"/>
              </w:rPr>
            </w:pPr>
            <w:r>
              <w:rPr>
                <w:rFonts w:ascii="Arial" w:cs="Arial" w:eastAsia="Arial" w:hAnsi="Arial"/>
                <w:sz w:val="18"/>
                <w:szCs w:val="18"/>
                <w:color w:val="auto"/>
              </w:rPr>
              <w:t>917</w:t>
            </w:r>
          </w:p>
        </w:tc>
        <w:tc>
          <w:tcPr>
            <w:tcW w:w="60" w:type="dxa"/>
            <w:vAlign w:val="bottom"/>
          </w:tcPr>
          <w:p>
            <w:pPr>
              <w:spacing w:after="0"/>
              <w:rPr>
                <w:sz w:val="18"/>
                <w:szCs w:val="18"/>
                <w:color w:val="auto"/>
              </w:rPr>
            </w:pPr>
          </w:p>
        </w:tc>
        <w:tc>
          <w:tcPr>
            <w:tcW w:w="940" w:type="dxa"/>
            <w:vAlign w:val="bottom"/>
            <w:gridSpan w:val="5"/>
            <w:vMerge w:val="continue"/>
          </w:tcPr>
          <w:p>
            <w:pPr>
              <w:spacing w:after="0"/>
              <w:rPr>
                <w:sz w:val="18"/>
                <w:szCs w:val="18"/>
                <w:color w:val="auto"/>
              </w:rPr>
            </w:pP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gridSpan w:val="4"/>
          </w:tcPr>
          <w:p>
            <w:pPr>
              <w:jc w:val="right"/>
              <w:spacing w:after="0"/>
              <w:rPr>
                <w:sz w:val="20"/>
                <w:szCs w:val="20"/>
                <w:color w:val="auto"/>
              </w:rPr>
            </w:pPr>
            <w:r>
              <w:rPr>
                <w:rFonts w:ascii="Arial" w:cs="Arial" w:eastAsia="Arial" w:hAnsi="Arial"/>
                <w:sz w:val="18"/>
                <w:szCs w:val="18"/>
                <w:color w:val="auto"/>
              </w:rPr>
              <w:t>1,760</w:t>
            </w:r>
          </w:p>
        </w:tc>
        <w:tc>
          <w:tcPr>
            <w:tcW w:w="2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720" w:type="dxa"/>
            <w:vAlign w:val="bottom"/>
            <w:gridSpan w:val="4"/>
            <w:vMerge w:val="continue"/>
          </w:tcPr>
          <w:p>
            <w:pPr>
              <w:spacing w:after="0"/>
              <w:rPr>
                <w:sz w:val="18"/>
                <w:szCs w:val="18"/>
                <w:color w:val="auto"/>
              </w:rPr>
            </w:pPr>
          </w:p>
        </w:tc>
        <w:tc>
          <w:tcPr>
            <w:tcW w:w="40" w:type="dxa"/>
            <w:vAlign w:val="bottom"/>
          </w:tcPr>
          <w:p>
            <w:pPr>
              <w:spacing w:after="0"/>
              <w:rPr>
                <w:sz w:val="18"/>
                <w:szCs w:val="18"/>
                <w:color w:val="auto"/>
              </w:rPr>
            </w:pP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00" w:type="dxa"/>
            <w:vAlign w:val="bottom"/>
          </w:tcPr>
          <w:p>
            <w:pPr>
              <w:spacing w:after="0"/>
              <w:rPr>
                <w:sz w:val="18"/>
                <w:szCs w:val="18"/>
                <w:color w:val="auto"/>
              </w:rPr>
            </w:pPr>
          </w:p>
        </w:tc>
        <w:tc>
          <w:tcPr>
            <w:tcW w:w="400" w:type="dxa"/>
            <w:vAlign w:val="bottom"/>
          </w:tcPr>
          <w:p>
            <w:pPr>
              <w:jc w:val="right"/>
              <w:spacing w:after="0"/>
              <w:rPr>
                <w:sz w:val="20"/>
                <w:szCs w:val="20"/>
                <w:color w:val="auto"/>
              </w:rPr>
            </w:pPr>
            <w:r>
              <w:rPr>
                <w:rFonts w:ascii="Arial" w:cs="Arial" w:eastAsia="Arial" w:hAnsi="Arial"/>
                <w:sz w:val="18"/>
                <w:szCs w:val="18"/>
                <w:color w:val="auto"/>
                <w:w w:val="84"/>
              </w:rPr>
              <w:t>2,167</w:t>
            </w:r>
          </w:p>
        </w:tc>
        <w:tc>
          <w:tcPr>
            <w:tcW w:w="220" w:type="dxa"/>
            <w:vAlign w:val="bottom"/>
          </w:tcPr>
          <w:p>
            <w:pPr>
              <w:spacing w:after="0"/>
              <w:rPr>
                <w:sz w:val="18"/>
                <w:szCs w:val="18"/>
                <w:color w:val="auto"/>
              </w:rPr>
            </w:pPr>
          </w:p>
        </w:tc>
        <w:tc>
          <w:tcPr>
            <w:tcW w:w="700" w:type="dxa"/>
            <w:vAlign w:val="bottom"/>
            <w:gridSpan w:val="2"/>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180" w:type="dxa"/>
            <w:vAlign w:val="bottom"/>
            <w:shd w:val="clear" w:color="auto" w:fill="CCEEFF"/>
          </w:tcPr>
          <w:p>
            <w:pPr>
              <w:spacing w:after="0"/>
              <w:rPr>
                <w:sz w:val="20"/>
                <w:szCs w:val="20"/>
                <w:color w:val="auto"/>
              </w:rPr>
            </w:pPr>
            <w:r>
              <w:rPr>
                <w:rFonts w:ascii="Arial" w:cs="Arial" w:eastAsia="Arial" w:hAnsi="Arial"/>
                <w:sz w:val="18"/>
                <w:szCs w:val="18"/>
                <w:color w:val="auto"/>
              </w:rPr>
              <w:t>Foreign taxes</w:t>
            </w:r>
          </w:p>
        </w:tc>
        <w:tc>
          <w:tcPr>
            <w:tcW w:w="120" w:type="dxa"/>
            <w:vAlign w:val="bottom"/>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18"/>
                <w:szCs w:val="18"/>
                <w:color w:val="auto"/>
              </w:rPr>
            </w:pPr>
          </w:p>
        </w:tc>
        <w:tc>
          <w:tcPr>
            <w:tcW w:w="26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auto"/>
            </w:tcBorders>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auto"/>
            </w:tcBorders>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140" w:type="dxa"/>
            <w:vAlign w:val="bottom"/>
            <w:tcBorders>
              <w:top w:val="single" w:sz="8" w:color="auto"/>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140" w:type="dxa"/>
            <w:vAlign w:val="bottom"/>
            <w:tcBorders>
              <w:top w:val="single" w:sz="8" w:color="auto"/>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40" w:type="dxa"/>
            <w:vAlign w:val="bottom"/>
            <w:tcBorders>
              <w:top w:val="single" w:sz="8" w:color="auto"/>
            </w:tcBorders>
            <w:shd w:val="clear" w:color="auto" w:fill="CCEEFF"/>
          </w:tcPr>
          <w:p>
            <w:pPr>
              <w:spacing w:after="0"/>
              <w:rPr>
                <w:sz w:val="18"/>
                <w:szCs w:val="18"/>
                <w:color w:val="auto"/>
              </w:rPr>
            </w:pPr>
          </w:p>
        </w:tc>
        <w:tc>
          <w:tcPr>
            <w:tcW w:w="16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400" w:type="dxa"/>
            <w:vAlign w:val="bottom"/>
            <w:tcBorders>
              <w:top w:val="single" w:sz="8" w:color="auto"/>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440" w:type="dxa"/>
            <w:vAlign w:val="bottom"/>
            <w:tcBorders>
              <w:top w:val="single" w:sz="8" w:color="auto"/>
              <w:left w:val="single" w:sz="8" w:color="CCEEFF"/>
            </w:tcBorders>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180" w:type="dxa"/>
            <w:vAlign w:val="bottom"/>
          </w:tcPr>
          <w:p>
            <w:pPr>
              <w:ind w:left="360"/>
              <w:spacing w:after="0"/>
              <w:rPr>
                <w:sz w:val="20"/>
                <w:szCs w:val="20"/>
                <w:color w:val="auto"/>
              </w:rPr>
            </w:pPr>
            <w:r>
              <w:rPr>
                <w:rFonts w:ascii="Arial" w:cs="Arial" w:eastAsia="Arial" w:hAnsi="Arial"/>
                <w:sz w:val="18"/>
                <w:szCs w:val="18"/>
                <w:color w:val="auto"/>
              </w:rPr>
              <w:t>Stock base compensation</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40" w:type="dxa"/>
            <w:vAlign w:val="bottom"/>
            <w:gridSpan w:val="3"/>
          </w:tcPr>
          <w:p>
            <w:pPr>
              <w:jc w:val="right"/>
              <w:ind w:right="60"/>
              <w:spacing w:after="0"/>
              <w:rPr>
                <w:sz w:val="20"/>
                <w:szCs w:val="20"/>
                <w:color w:val="auto"/>
              </w:rPr>
            </w:pPr>
            <w:r>
              <w:rPr>
                <w:rFonts w:ascii="Arial" w:cs="Arial" w:eastAsia="Arial" w:hAnsi="Arial"/>
                <w:sz w:val="18"/>
                <w:szCs w:val="18"/>
                <w:color w:val="auto"/>
              </w:rPr>
              <w:t>8</w:t>
            </w:r>
          </w:p>
        </w:tc>
        <w:tc>
          <w:tcPr>
            <w:tcW w:w="940" w:type="dxa"/>
            <w:vAlign w:val="bottom"/>
            <w:gridSpan w:val="5"/>
          </w:tcPr>
          <w:p>
            <w:pPr>
              <w:jc w:val="right"/>
              <w:ind w:right="200"/>
              <w:spacing w:after="0"/>
              <w:rPr>
                <w:sz w:val="20"/>
                <w:szCs w:val="20"/>
                <w:color w:val="auto"/>
              </w:rPr>
            </w:pPr>
            <w:r>
              <w:rPr>
                <w:rFonts w:ascii="Arial" w:cs="Arial" w:eastAsia="Arial" w:hAnsi="Arial"/>
                <w:sz w:val="18"/>
                <w:szCs w:val="18"/>
                <w:color w:val="auto"/>
              </w:rPr>
              <w:t>0.01%</w:t>
            </w:r>
          </w:p>
        </w:tc>
        <w:tc>
          <w:tcPr>
            <w:tcW w:w="1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580" w:type="dxa"/>
            <w:vAlign w:val="bottom"/>
            <w:gridSpan w:val="4"/>
          </w:tcPr>
          <w:p>
            <w:pPr>
              <w:jc w:val="right"/>
              <w:ind w:right="220"/>
              <w:spacing w:after="0"/>
              <w:rPr>
                <w:sz w:val="20"/>
                <w:szCs w:val="20"/>
                <w:color w:val="auto"/>
              </w:rPr>
            </w:pPr>
            <w:r>
              <w:rPr>
                <w:rFonts w:ascii="Arial" w:cs="Arial" w:eastAsia="Arial" w:hAnsi="Arial"/>
                <w:sz w:val="18"/>
                <w:szCs w:val="18"/>
                <w:color w:val="auto"/>
              </w:rPr>
              <w:t>405</w:t>
            </w:r>
          </w:p>
        </w:tc>
        <w:tc>
          <w:tcPr>
            <w:tcW w:w="40" w:type="dxa"/>
            <w:vAlign w:val="bottom"/>
          </w:tcPr>
          <w:p>
            <w:pPr>
              <w:spacing w:after="0"/>
              <w:rPr>
                <w:sz w:val="18"/>
                <w:szCs w:val="18"/>
                <w:color w:val="auto"/>
              </w:rPr>
            </w:pPr>
          </w:p>
        </w:tc>
        <w:tc>
          <w:tcPr>
            <w:tcW w:w="720" w:type="dxa"/>
            <w:vAlign w:val="bottom"/>
            <w:gridSpan w:val="4"/>
          </w:tcPr>
          <w:p>
            <w:pPr>
              <w:jc w:val="right"/>
              <w:ind w:right="180"/>
              <w:spacing w:after="0"/>
              <w:rPr>
                <w:sz w:val="20"/>
                <w:szCs w:val="20"/>
                <w:color w:val="auto"/>
              </w:rPr>
            </w:pPr>
            <w:r>
              <w:rPr>
                <w:rFonts w:ascii="Arial" w:cs="Arial" w:eastAsia="Arial" w:hAnsi="Arial"/>
                <w:sz w:val="18"/>
                <w:szCs w:val="18"/>
                <w:color w:val="auto"/>
              </w:rPr>
              <w:t>0.69%</w:t>
            </w:r>
          </w:p>
        </w:tc>
        <w:tc>
          <w:tcPr>
            <w:tcW w:w="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20" w:type="dxa"/>
            <w:vAlign w:val="bottom"/>
            <w:gridSpan w:val="2"/>
          </w:tcPr>
          <w:p>
            <w:pPr>
              <w:jc w:val="right"/>
              <w:ind w:right="220"/>
              <w:spacing w:after="0"/>
              <w:rPr>
                <w:sz w:val="20"/>
                <w:szCs w:val="20"/>
                <w:color w:val="auto"/>
              </w:rPr>
            </w:pPr>
            <w:r>
              <w:rPr>
                <w:rFonts w:ascii="Arial" w:cs="Arial" w:eastAsia="Arial" w:hAnsi="Arial"/>
                <w:sz w:val="18"/>
                <w:szCs w:val="18"/>
                <w:color w:val="auto"/>
              </w:rPr>
              <w:t>128</w:t>
            </w:r>
          </w:p>
        </w:tc>
        <w:tc>
          <w:tcPr>
            <w:tcW w:w="700" w:type="dxa"/>
            <w:vAlign w:val="bottom"/>
            <w:gridSpan w:val="2"/>
          </w:tcPr>
          <w:p>
            <w:pPr>
              <w:jc w:val="right"/>
              <w:ind w:right="120"/>
              <w:spacing w:after="0"/>
              <w:rPr>
                <w:sz w:val="20"/>
                <w:szCs w:val="20"/>
                <w:color w:val="auto"/>
              </w:rPr>
            </w:pPr>
            <w:r>
              <w:rPr>
                <w:rFonts w:ascii="Arial" w:cs="Arial" w:eastAsia="Arial" w:hAnsi="Arial"/>
                <w:sz w:val="18"/>
                <w:szCs w:val="18"/>
                <w:color w:val="auto"/>
              </w:rPr>
              <w:t>0.23%</w:t>
            </w:r>
          </w:p>
        </w:tc>
        <w:tc>
          <w:tcPr>
            <w:tcW w:w="0" w:type="dxa"/>
            <w:vAlign w:val="bottom"/>
          </w:tcPr>
          <w:p>
            <w:pPr>
              <w:spacing w:after="0"/>
              <w:rPr>
                <w:sz w:val="1"/>
                <w:szCs w:val="1"/>
                <w:color w:val="auto"/>
              </w:rPr>
            </w:pPr>
          </w:p>
        </w:tc>
      </w:tr>
      <w:tr>
        <w:trPr>
          <w:trHeight w:val="216"/>
        </w:trPr>
        <w:tc>
          <w:tcPr>
            <w:tcW w:w="61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Adjustment for prior years</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4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47</w:t>
            </w:r>
          </w:p>
        </w:tc>
        <w:tc>
          <w:tcPr>
            <w:tcW w:w="940" w:type="dxa"/>
            <w:vAlign w:val="bottom"/>
            <w:gridSpan w:val="5"/>
            <w:shd w:val="clear" w:color="auto" w:fill="CCEEFF"/>
          </w:tcPr>
          <w:p>
            <w:pPr>
              <w:jc w:val="right"/>
              <w:ind w:right="200"/>
              <w:spacing w:after="0"/>
              <w:rPr>
                <w:sz w:val="20"/>
                <w:szCs w:val="20"/>
                <w:color w:val="auto"/>
              </w:rPr>
            </w:pPr>
            <w:r>
              <w:rPr>
                <w:rFonts w:ascii="Arial" w:cs="Arial" w:eastAsia="Arial" w:hAnsi="Arial"/>
                <w:sz w:val="18"/>
                <w:szCs w:val="18"/>
                <w:color w:val="auto"/>
              </w:rPr>
              <w:t>0.06%</w:t>
            </w:r>
          </w:p>
        </w:tc>
        <w:tc>
          <w:tcPr>
            <w:tcW w:w="1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80" w:type="dxa"/>
            <w:vAlign w:val="bottom"/>
            <w:gridSpan w:val="4"/>
            <w:shd w:val="clear" w:color="auto" w:fill="CCEEFF"/>
          </w:tcPr>
          <w:p>
            <w:pPr>
              <w:jc w:val="right"/>
              <w:ind w:right="220"/>
              <w:spacing w:after="0"/>
              <w:rPr>
                <w:sz w:val="20"/>
                <w:szCs w:val="20"/>
                <w:color w:val="auto"/>
              </w:rPr>
            </w:pPr>
            <w:r>
              <w:rPr>
                <w:rFonts w:ascii="Arial" w:cs="Arial" w:eastAsia="Arial" w:hAnsi="Arial"/>
                <w:sz w:val="18"/>
                <w:szCs w:val="18"/>
                <w:color w:val="auto"/>
              </w:rPr>
              <w:t>270</w:t>
            </w:r>
          </w:p>
        </w:tc>
        <w:tc>
          <w:tcPr>
            <w:tcW w:w="40" w:type="dxa"/>
            <w:vAlign w:val="bottom"/>
            <w:shd w:val="clear" w:color="auto" w:fill="CCEEFF"/>
          </w:tcPr>
          <w:p>
            <w:pPr>
              <w:spacing w:after="0"/>
              <w:rPr>
                <w:sz w:val="18"/>
                <w:szCs w:val="18"/>
                <w:color w:val="auto"/>
              </w:rPr>
            </w:pPr>
          </w:p>
        </w:tc>
        <w:tc>
          <w:tcPr>
            <w:tcW w:w="720" w:type="dxa"/>
            <w:vAlign w:val="bottom"/>
            <w:gridSpan w:val="4"/>
            <w:shd w:val="clear" w:color="auto" w:fill="CCEEFF"/>
          </w:tcPr>
          <w:p>
            <w:pPr>
              <w:jc w:val="right"/>
              <w:ind w:right="180"/>
              <w:spacing w:after="0"/>
              <w:rPr>
                <w:sz w:val="20"/>
                <w:szCs w:val="20"/>
                <w:color w:val="auto"/>
              </w:rPr>
            </w:pPr>
            <w:r>
              <w:rPr>
                <w:rFonts w:ascii="Arial" w:cs="Arial" w:eastAsia="Arial" w:hAnsi="Arial"/>
                <w:sz w:val="18"/>
                <w:szCs w:val="18"/>
                <w:color w:val="auto"/>
              </w:rPr>
              <w:t>0.46%</w:t>
            </w:r>
          </w:p>
        </w:tc>
        <w:tc>
          <w:tcPr>
            <w:tcW w:w="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367</w:t>
            </w:r>
          </w:p>
        </w:tc>
        <w:tc>
          <w:tcPr>
            <w:tcW w:w="700" w:type="dxa"/>
            <w:vAlign w:val="bottom"/>
            <w:tcBorders>
              <w:left w:val="single" w:sz="8" w:color="CCEEFF"/>
            </w:tcBorders>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0.65%</w:t>
            </w:r>
          </w:p>
        </w:tc>
        <w:tc>
          <w:tcPr>
            <w:tcW w:w="0" w:type="dxa"/>
            <w:vAlign w:val="bottom"/>
          </w:tcPr>
          <w:p>
            <w:pPr>
              <w:spacing w:after="0"/>
              <w:rPr>
                <w:sz w:val="1"/>
                <w:szCs w:val="1"/>
                <w:color w:val="auto"/>
              </w:rPr>
            </w:pPr>
          </w:p>
        </w:tc>
      </w:tr>
      <w:tr>
        <w:trPr>
          <w:trHeight w:val="216"/>
        </w:trPr>
        <w:tc>
          <w:tcPr>
            <w:tcW w:w="6180" w:type="dxa"/>
            <w:vAlign w:val="bottom"/>
          </w:tcPr>
          <w:p>
            <w:pPr>
              <w:ind w:left="360"/>
              <w:spacing w:after="0"/>
              <w:rPr>
                <w:sz w:val="20"/>
                <w:szCs w:val="20"/>
                <w:color w:val="auto"/>
              </w:rPr>
            </w:pPr>
            <w:r>
              <w:rPr>
                <w:rFonts w:ascii="Arial" w:cs="Arial" w:eastAsia="Arial" w:hAnsi="Arial"/>
                <w:sz w:val="18"/>
                <w:szCs w:val="18"/>
                <w:color w:val="auto"/>
              </w:rPr>
              <w:t>Foreign derived intangible income</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40" w:type="dxa"/>
            <w:vAlign w:val="bottom"/>
            <w:gridSpan w:val="3"/>
          </w:tcPr>
          <w:p>
            <w:pPr>
              <w:jc w:val="right"/>
              <w:spacing w:after="0"/>
              <w:rPr>
                <w:sz w:val="20"/>
                <w:szCs w:val="20"/>
                <w:color w:val="auto"/>
              </w:rPr>
            </w:pPr>
            <w:r>
              <w:rPr>
                <w:rFonts w:ascii="Arial" w:cs="Arial" w:eastAsia="Arial" w:hAnsi="Arial"/>
                <w:sz w:val="18"/>
                <w:szCs w:val="18"/>
                <w:color w:val="auto"/>
              </w:rPr>
              <w:t>(112)</w:t>
            </w:r>
          </w:p>
        </w:tc>
        <w:tc>
          <w:tcPr>
            <w:tcW w:w="940" w:type="dxa"/>
            <w:vAlign w:val="bottom"/>
            <w:gridSpan w:val="5"/>
          </w:tcPr>
          <w:p>
            <w:pPr>
              <w:jc w:val="right"/>
              <w:ind w:right="140"/>
              <w:spacing w:after="0"/>
              <w:rPr>
                <w:sz w:val="20"/>
                <w:szCs w:val="20"/>
                <w:color w:val="auto"/>
              </w:rPr>
            </w:pPr>
            <w:r>
              <w:rPr>
                <w:rFonts w:ascii="Arial" w:cs="Arial" w:eastAsia="Arial" w:hAnsi="Arial"/>
                <w:sz w:val="18"/>
                <w:szCs w:val="18"/>
                <w:color w:val="auto"/>
              </w:rPr>
              <w:t>(0.15)%</w:t>
            </w:r>
          </w:p>
        </w:tc>
        <w:tc>
          <w:tcPr>
            <w:tcW w:w="1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580" w:type="dxa"/>
            <w:vAlign w:val="bottom"/>
            <w:gridSpan w:val="4"/>
          </w:tcPr>
          <w:p>
            <w:pPr>
              <w:jc w:val="right"/>
              <w:ind w:right="160"/>
              <w:spacing w:after="0"/>
              <w:rPr>
                <w:sz w:val="20"/>
                <w:szCs w:val="20"/>
                <w:color w:val="auto"/>
              </w:rPr>
            </w:pPr>
            <w:r>
              <w:rPr>
                <w:rFonts w:ascii="Arial" w:cs="Arial" w:eastAsia="Arial" w:hAnsi="Arial"/>
                <w:sz w:val="18"/>
                <w:szCs w:val="18"/>
                <w:color w:val="auto"/>
              </w:rPr>
              <w:t>(77)</w:t>
            </w:r>
          </w:p>
        </w:tc>
        <w:tc>
          <w:tcPr>
            <w:tcW w:w="40" w:type="dxa"/>
            <w:vAlign w:val="bottom"/>
          </w:tcPr>
          <w:p>
            <w:pPr>
              <w:spacing w:after="0"/>
              <w:rPr>
                <w:sz w:val="18"/>
                <w:szCs w:val="18"/>
                <w:color w:val="auto"/>
              </w:rPr>
            </w:pPr>
          </w:p>
        </w:tc>
        <w:tc>
          <w:tcPr>
            <w:tcW w:w="720" w:type="dxa"/>
            <w:vAlign w:val="bottom"/>
            <w:gridSpan w:val="4"/>
          </w:tcPr>
          <w:p>
            <w:pPr>
              <w:jc w:val="right"/>
              <w:ind w:right="120"/>
              <w:spacing w:after="0"/>
              <w:rPr>
                <w:sz w:val="20"/>
                <w:szCs w:val="20"/>
                <w:color w:val="auto"/>
              </w:rPr>
            </w:pPr>
            <w:r>
              <w:rPr>
                <w:rFonts w:ascii="Arial" w:cs="Arial" w:eastAsia="Arial" w:hAnsi="Arial"/>
                <w:sz w:val="18"/>
                <w:szCs w:val="18"/>
                <w:color w:val="auto"/>
                <w:w w:val="91"/>
              </w:rPr>
              <w:t>(0.13)%</w:t>
            </w:r>
          </w:p>
        </w:tc>
        <w:tc>
          <w:tcPr>
            <w:tcW w:w="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20" w:type="dxa"/>
            <w:vAlign w:val="bottom"/>
            <w:gridSpan w:val="2"/>
          </w:tcPr>
          <w:p>
            <w:pPr>
              <w:jc w:val="right"/>
              <w:ind w:right="160"/>
              <w:spacing w:after="0"/>
              <w:rPr>
                <w:sz w:val="20"/>
                <w:szCs w:val="20"/>
                <w:color w:val="auto"/>
              </w:rPr>
            </w:pPr>
            <w:r>
              <w:rPr>
                <w:rFonts w:ascii="Arial" w:cs="Arial" w:eastAsia="Arial" w:hAnsi="Arial"/>
                <w:sz w:val="18"/>
                <w:szCs w:val="18"/>
                <w:color w:val="auto"/>
              </w:rPr>
              <w:t>(199)</w:t>
            </w:r>
          </w:p>
        </w:tc>
        <w:tc>
          <w:tcPr>
            <w:tcW w:w="700" w:type="dxa"/>
            <w:vAlign w:val="bottom"/>
            <w:gridSpan w:val="2"/>
          </w:tcPr>
          <w:p>
            <w:pPr>
              <w:jc w:val="right"/>
              <w:ind w:right="60"/>
              <w:spacing w:after="0"/>
              <w:rPr>
                <w:sz w:val="20"/>
                <w:szCs w:val="20"/>
                <w:color w:val="auto"/>
              </w:rPr>
            </w:pPr>
            <w:r>
              <w:rPr>
                <w:rFonts w:ascii="Arial" w:cs="Arial" w:eastAsia="Arial" w:hAnsi="Arial"/>
                <w:sz w:val="18"/>
                <w:szCs w:val="18"/>
                <w:color w:val="auto"/>
                <w:w w:val="98"/>
              </w:rPr>
              <w:t>(0.35)%</w:t>
            </w:r>
          </w:p>
        </w:tc>
        <w:tc>
          <w:tcPr>
            <w:tcW w:w="0" w:type="dxa"/>
            <w:vAlign w:val="bottom"/>
          </w:tcPr>
          <w:p>
            <w:pPr>
              <w:spacing w:after="0"/>
              <w:rPr>
                <w:sz w:val="1"/>
                <w:szCs w:val="1"/>
                <w:color w:val="auto"/>
              </w:rPr>
            </w:pPr>
          </w:p>
        </w:tc>
      </w:tr>
      <w:tr>
        <w:trPr>
          <w:trHeight w:val="216"/>
        </w:trPr>
        <w:tc>
          <w:tcPr>
            <w:tcW w:w="61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Valuation allowance</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4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67</w:t>
            </w:r>
          </w:p>
        </w:tc>
        <w:tc>
          <w:tcPr>
            <w:tcW w:w="940" w:type="dxa"/>
            <w:vAlign w:val="bottom"/>
            <w:gridSpan w:val="5"/>
            <w:shd w:val="clear" w:color="auto" w:fill="CCEEFF"/>
          </w:tcPr>
          <w:p>
            <w:pPr>
              <w:jc w:val="right"/>
              <w:ind w:right="200"/>
              <w:spacing w:after="0"/>
              <w:rPr>
                <w:sz w:val="20"/>
                <w:szCs w:val="20"/>
                <w:color w:val="auto"/>
              </w:rPr>
            </w:pPr>
            <w:r>
              <w:rPr>
                <w:rFonts w:ascii="Arial" w:cs="Arial" w:eastAsia="Arial" w:hAnsi="Arial"/>
                <w:sz w:val="18"/>
                <w:szCs w:val="18"/>
                <w:color w:val="auto"/>
              </w:rPr>
              <w:t>0.09%</w:t>
            </w:r>
          </w:p>
        </w:tc>
        <w:tc>
          <w:tcPr>
            <w:tcW w:w="1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80" w:type="dxa"/>
            <w:vAlign w:val="bottom"/>
            <w:gridSpan w:val="4"/>
            <w:shd w:val="clear" w:color="auto" w:fill="CCEEFF"/>
          </w:tcPr>
          <w:p>
            <w:pPr>
              <w:jc w:val="right"/>
              <w:ind w:right="220"/>
              <w:spacing w:after="0"/>
              <w:rPr>
                <w:sz w:val="20"/>
                <w:szCs w:val="20"/>
                <w:color w:val="auto"/>
              </w:rPr>
            </w:pPr>
            <w:r>
              <w:rPr>
                <w:rFonts w:ascii="Arial" w:cs="Arial" w:eastAsia="Arial" w:hAnsi="Arial"/>
                <w:sz w:val="18"/>
                <w:szCs w:val="18"/>
                <w:color w:val="auto"/>
              </w:rPr>
              <w:t>315</w:t>
            </w:r>
          </w:p>
        </w:tc>
        <w:tc>
          <w:tcPr>
            <w:tcW w:w="40" w:type="dxa"/>
            <w:vAlign w:val="bottom"/>
            <w:shd w:val="clear" w:color="auto" w:fill="CCEEFF"/>
          </w:tcPr>
          <w:p>
            <w:pPr>
              <w:spacing w:after="0"/>
              <w:rPr>
                <w:sz w:val="18"/>
                <w:szCs w:val="18"/>
                <w:color w:val="auto"/>
              </w:rPr>
            </w:pPr>
          </w:p>
        </w:tc>
        <w:tc>
          <w:tcPr>
            <w:tcW w:w="720" w:type="dxa"/>
            <w:vAlign w:val="bottom"/>
            <w:gridSpan w:val="4"/>
            <w:shd w:val="clear" w:color="auto" w:fill="CCEEFF"/>
          </w:tcPr>
          <w:p>
            <w:pPr>
              <w:jc w:val="right"/>
              <w:ind w:right="180"/>
              <w:spacing w:after="0"/>
              <w:rPr>
                <w:sz w:val="20"/>
                <w:szCs w:val="20"/>
                <w:color w:val="auto"/>
              </w:rPr>
            </w:pPr>
            <w:r>
              <w:rPr>
                <w:rFonts w:ascii="Arial" w:cs="Arial" w:eastAsia="Arial" w:hAnsi="Arial"/>
                <w:sz w:val="18"/>
                <w:szCs w:val="18"/>
                <w:color w:val="auto"/>
              </w:rPr>
              <w:t>0.54%</w:t>
            </w:r>
          </w:p>
        </w:tc>
        <w:tc>
          <w:tcPr>
            <w:tcW w:w="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272</w:t>
            </w:r>
          </w:p>
        </w:tc>
        <w:tc>
          <w:tcPr>
            <w:tcW w:w="700" w:type="dxa"/>
            <w:vAlign w:val="bottom"/>
            <w:tcBorders>
              <w:left w:val="single" w:sz="8" w:color="CCEEFF"/>
            </w:tcBorders>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0.48%</w:t>
            </w:r>
          </w:p>
        </w:tc>
        <w:tc>
          <w:tcPr>
            <w:tcW w:w="0" w:type="dxa"/>
            <w:vAlign w:val="bottom"/>
          </w:tcPr>
          <w:p>
            <w:pPr>
              <w:spacing w:after="0"/>
              <w:rPr>
                <w:sz w:val="1"/>
                <w:szCs w:val="1"/>
                <w:color w:val="auto"/>
              </w:rPr>
            </w:pPr>
          </w:p>
        </w:tc>
      </w:tr>
      <w:tr>
        <w:trPr>
          <w:trHeight w:val="216"/>
        </w:trPr>
        <w:tc>
          <w:tcPr>
            <w:tcW w:w="6180" w:type="dxa"/>
            <w:vAlign w:val="bottom"/>
          </w:tcPr>
          <w:p>
            <w:pPr>
              <w:ind w:left="360"/>
              <w:spacing w:after="0"/>
              <w:rPr>
                <w:sz w:val="20"/>
                <w:szCs w:val="20"/>
                <w:color w:val="auto"/>
              </w:rPr>
            </w:pPr>
            <w:r>
              <w:rPr>
                <w:rFonts w:ascii="Arial" w:cs="Arial" w:eastAsia="Arial" w:hAnsi="Arial"/>
                <w:sz w:val="18"/>
                <w:szCs w:val="18"/>
                <w:color w:val="auto"/>
              </w:rPr>
              <w:t>Foreign rate difference</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40" w:type="dxa"/>
            <w:vAlign w:val="bottom"/>
            <w:gridSpan w:val="3"/>
          </w:tcPr>
          <w:p>
            <w:pPr>
              <w:jc w:val="right"/>
              <w:spacing w:after="0"/>
              <w:rPr>
                <w:sz w:val="20"/>
                <w:szCs w:val="20"/>
                <w:color w:val="auto"/>
              </w:rPr>
            </w:pPr>
            <w:r>
              <w:rPr>
                <w:rFonts w:ascii="Arial" w:cs="Arial" w:eastAsia="Arial" w:hAnsi="Arial"/>
                <w:sz w:val="18"/>
                <w:szCs w:val="18"/>
                <w:color w:val="auto"/>
                <w:w w:val="91"/>
              </w:rPr>
              <w:t>(1,333)</w:t>
            </w:r>
          </w:p>
        </w:tc>
        <w:tc>
          <w:tcPr>
            <w:tcW w:w="940" w:type="dxa"/>
            <w:vAlign w:val="bottom"/>
            <w:gridSpan w:val="5"/>
          </w:tcPr>
          <w:p>
            <w:pPr>
              <w:jc w:val="right"/>
              <w:ind w:right="140"/>
              <w:spacing w:after="0"/>
              <w:rPr>
                <w:sz w:val="20"/>
                <w:szCs w:val="20"/>
                <w:color w:val="auto"/>
              </w:rPr>
            </w:pPr>
            <w:r>
              <w:rPr>
                <w:rFonts w:ascii="Arial" w:cs="Arial" w:eastAsia="Arial" w:hAnsi="Arial"/>
                <w:sz w:val="18"/>
                <w:szCs w:val="18"/>
                <w:color w:val="auto"/>
              </w:rPr>
              <w:t>(1.82)%</w:t>
            </w:r>
          </w:p>
        </w:tc>
        <w:tc>
          <w:tcPr>
            <w:tcW w:w="1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580" w:type="dxa"/>
            <w:vAlign w:val="bottom"/>
            <w:gridSpan w:val="4"/>
          </w:tcPr>
          <w:p>
            <w:pPr>
              <w:jc w:val="right"/>
              <w:ind w:right="160"/>
              <w:spacing w:after="0"/>
              <w:rPr>
                <w:sz w:val="20"/>
                <w:szCs w:val="20"/>
                <w:color w:val="auto"/>
              </w:rPr>
            </w:pPr>
            <w:r>
              <w:rPr>
                <w:rFonts w:ascii="Arial" w:cs="Arial" w:eastAsia="Arial" w:hAnsi="Arial"/>
                <w:sz w:val="18"/>
                <w:szCs w:val="18"/>
                <w:color w:val="auto"/>
                <w:w w:val="95"/>
              </w:rPr>
              <w:t>(778)</w:t>
            </w:r>
          </w:p>
        </w:tc>
        <w:tc>
          <w:tcPr>
            <w:tcW w:w="40" w:type="dxa"/>
            <w:vAlign w:val="bottom"/>
          </w:tcPr>
          <w:p>
            <w:pPr>
              <w:spacing w:after="0"/>
              <w:rPr>
                <w:sz w:val="18"/>
                <w:szCs w:val="18"/>
                <w:color w:val="auto"/>
              </w:rPr>
            </w:pPr>
          </w:p>
        </w:tc>
        <w:tc>
          <w:tcPr>
            <w:tcW w:w="720" w:type="dxa"/>
            <w:vAlign w:val="bottom"/>
            <w:gridSpan w:val="4"/>
          </w:tcPr>
          <w:p>
            <w:pPr>
              <w:jc w:val="right"/>
              <w:ind w:right="120"/>
              <w:spacing w:after="0"/>
              <w:rPr>
                <w:sz w:val="20"/>
                <w:szCs w:val="20"/>
                <w:color w:val="auto"/>
              </w:rPr>
            </w:pPr>
            <w:r>
              <w:rPr>
                <w:rFonts w:ascii="Arial" w:cs="Arial" w:eastAsia="Arial" w:hAnsi="Arial"/>
                <w:sz w:val="18"/>
                <w:szCs w:val="18"/>
                <w:color w:val="auto"/>
                <w:w w:val="91"/>
              </w:rPr>
              <w:t>(1.33)%</w:t>
            </w:r>
          </w:p>
        </w:tc>
        <w:tc>
          <w:tcPr>
            <w:tcW w:w="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20" w:type="dxa"/>
            <w:vAlign w:val="bottom"/>
            <w:gridSpan w:val="2"/>
          </w:tcPr>
          <w:p>
            <w:pPr>
              <w:jc w:val="right"/>
              <w:ind w:right="160"/>
              <w:spacing w:after="0"/>
              <w:rPr>
                <w:sz w:val="20"/>
                <w:szCs w:val="20"/>
                <w:color w:val="auto"/>
              </w:rPr>
            </w:pPr>
            <w:r>
              <w:rPr>
                <w:rFonts w:ascii="Arial" w:cs="Arial" w:eastAsia="Arial" w:hAnsi="Arial"/>
                <w:sz w:val="18"/>
                <w:szCs w:val="18"/>
                <w:color w:val="auto"/>
              </w:rPr>
              <w:t>(758)</w:t>
            </w:r>
          </w:p>
        </w:tc>
        <w:tc>
          <w:tcPr>
            <w:tcW w:w="700" w:type="dxa"/>
            <w:vAlign w:val="bottom"/>
            <w:gridSpan w:val="2"/>
          </w:tcPr>
          <w:p>
            <w:pPr>
              <w:jc w:val="right"/>
              <w:ind w:right="60"/>
              <w:spacing w:after="0"/>
              <w:rPr>
                <w:sz w:val="20"/>
                <w:szCs w:val="20"/>
                <w:color w:val="auto"/>
              </w:rPr>
            </w:pPr>
            <w:r>
              <w:rPr>
                <w:rFonts w:ascii="Arial" w:cs="Arial" w:eastAsia="Arial" w:hAnsi="Arial"/>
                <w:sz w:val="18"/>
                <w:szCs w:val="18"/>
                <w:color w:val="auto"/>
                <w:w w:val="98"/>
              </w:rPr>
              <w:t>(1.35)%</w:t>
            </w:r>
          </w:p>
        </w:tc>
        <w:tc>
          <w:tcPr>
            <w:tcW w:w="0" w:type="dxa"/>
            <w:vAlign w:val="bottom"/>
          </w:tcPr>
          <w:p>
            <w:pPr>
              <w:spacing w:after="0"/>
              <w:rPr>
                <w:sz w:val="1"/>
                <w:szCs w:val="1"/>
                <w:color w:val="auto"/>
              </w:rPr>
            </w:pPr>
          </w:p>
        </w:tc>
      </w:tr>
      <w:tr>
        <w:trPr>
          <w:trHeight w:val="216"/>
        </w:trPr>
        <w:tc>
          <w:tcPr>
            <w:tcW w:w="61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Other</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32</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80" w:type="dxa"/>
            <w:vAlign w:val="bottom"/>
            <w:gridSpan w:val="4"/>
            <w:shd w:val="clear" w:color="auto" w:fill="CCEEFF"/>
          </w:tcPr>
          <w:p>
            <w:pPr>
              <w:jc w:val="right"/>
              <w:ind w:right="200"/>
              <w:spacing w:after="0"/>
              <w:rPr>
                <w:sz w:val="20"/>
                <w:szCs w:val="20"/>
                <w:color w:val="auto"/>
              </w:rPr>
            </w:pPr>
            <w:r>
              <w:rPr>
                <w:rFonts w:ascii="Arial" w:cs="Arial" w:eastAsia="Arial" w:hAnsi="Arial"/>
                <w:sz w:val="18"/>
                <w:szCs w:val="18"/>
                <w:color w:val="auto"/>
              </w:rPr>
              <w:t>0.04%</w:t>
            </w:r>
          </w:p>
        </w:tc>
        <w:tc>
          <w:tcPr>
            <w:tcW w:w="1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80" w:type="dxa"/>
            <w:vAlign w:val="bottom"/>
            <w:gridSpan w:val="4"/>
            <w:shd w:val="clear" w:color="auto" w:fill="CCEEFF"/>
          </w:tcPr>
          <w:p>
            <w:pPr>
              <w:jc w:val="right"/>
              <w:ind w:right="220"/>
              <w:spacing w:after="0"/>
              <w:rPr>
                <w:sz w:val="20"/>
                <w:szCs w:val="20"/>
                <w:color w:val="auto"/>
              </w:rPr>
            </w:pPr>
            <w:r>
              <w:rPr>
                <w:rFonts w:ascii="Arial" w:cs="Arial" w:eastAsia="Arial" w:hAnsi="Arial"/>
                <w:sz w:val="18"/>
                <w:szCs w:val="18"/>
                <w:color w:val="auto"/>
              </w:rPr>
              <w:t>53</w:t>
            </w:r>
          </w:p>
        </w:tc>
        <w:tc>
          <w:tcPr>
            <w:tcW w:w="40" w:type="dxa"/>
            <w:vAlign w:val="bottom"/>
            <w:shd w:val="clear" w:color="auto" w:fill="CCEEFF"/>
          </w:tcPr>
          <w:p>
            <w:pPr>
              <w:spacing w:after="0"/>
              <w:rPr>
                <w:sz w:val="18"/>
                <w:szCs w:val="18"/>
                <w:color w:val="auto"/>
              </w:rPr>
            </w:pPr>
          </w:p>
        </w:tc>
        <w:tc>
          <w:tcPr>
            <w:tcW w:w="720" w:type="dxa"/>
            <w:vAlign w:val="bottom"/>
            <w:gridSpan w:val="4"/>
            <w:shd w:val="clear" w:color="auto" w:fill="CCEEFF"/>
          </w:tcPr>
          <w:p>
            <w:pPr>
              <w:jc w:val="right"/>
              <w:ind w:right="180"/>
              <w:spacing w:after="0"/>
              <w:rPr>
                <w:sz w:val="20"/>
                <w:szCs w:val="20"/>
                <w:color w:val="auto"/>
              </w:rPr>
            </w:pPr>
            <w:r>
              <w:rPr>
                <w:rFonts w:ascii="Arial" w:cs="Arial" w:eastAsia="Arial" w:hAnsi="Arial"/>
                <w:sz w:val="18"/>
                <w:szCs w:val="18"/>
                <w:color w:val="auto"/>
              </w:rPr>
              <w:t>0.09%</w:t>
            </w:r>
          </w:p>
        </w:tc>
        <w:tc>
          <w:tcPr>
            <w:tcW w:w="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48</w:t>
            </w:r>
          </w:p>
        </w:tc>
        <w:tc>
          <w:tcPr>
            <w:tcW w:w="700" w:type="dxa"/>
            <w:vAlign w:val="bottom"/>
            <w:tcBorders>
              <w:left w:val="single" w:sz="8" w:color="CCEEFF"/>
            </w:tcBorders>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0.09%</w:t>
            </w:r>
          </w:p>
        </w:tc>
        <w:tc>
          <w:tcPr>
            <w:tcW w:w="0" w:type="dxa"/>
            <w:vAlign w:val="bottom"/>
          </w:tcPr>
          <w:p>
            <w:pPr>
              <w:spacing w:after="0"/>
              <w:rPr>
                <w:sz w:val="1"/>
                <w:szCs w:val="1"/>
                <w:color w:val="auto"/>
              </w:rPr>
            </w:pPr>
          </w:p>
        </w:tc>
      </w:tr>
      <w:tr>
        <w:trPr>
          <w:trHeight w:val="20"/>
        </w:trPr>
        <w:tc>
          <w:tcPr>
            <w:tcW w:w="6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80" w:type="dxa"/>
            <w:vAlign w:val="bottom"/>
            <w:gridSpan w:val="2"/>
            <w:shd w:val="clear" w:color="auto" w:fill="000000"/>
          </w:tcPr>
          <w:p>
            <w:pPr>
              <w:spacing w:after="0" w:line="20" w:lineRule="exact"/>
              <w:rPr>
                <w:sz w:val="1"/>
                <w:szCs w:val="1"/>
                <w:color w:val="auto"/>
              </w:rPr>
            </w:pPr>
          </w:p>
        </w:tc>
        <w:tc>
          <w:tcPr>
            <w:tcW w:w="60" w:type="dxa"/>
            <w:vAlign w:val="bottom"/>
            <w:vMerge w:val="restart"/>
          </w:tcPr>
          <w:p>
            <w:pPr>
              <w:spacing w:after="0" w:line="20" w:lineRule="exact"/>
              <w:rPr>
                <w:sz w:val="1"/>
                <w:szCs w:val="1"/>
                <w:color w:val="auto"/>
              </w:rPr>
            </w:pPr>
          </w:p>
        </w:tc>
        <w:tc>
          <w:tcPr>
            <w:tcW w:w="160" w:type="dxa"/>
            <w:vAlign w:val="bottom"/>
            <w:vMerge w:val="restart"/>
          </w:tcPr>
          <w:p>
            <w:pPr>
              <w:spacing w:after="0" w:line="20" w:lineRule="exact"/>
              <w:rPr>
                <w:sz w:val="1"/>
                <w:szCs w:val="1"/>
                <w:color w:val="auto"/>
              </w:rPr>
            </w:pPr>
          </w:p>
        </w:tc>
        <w:tc>
          <w:tcPr>
            <w:tcW w:w="420" w:type="dxa"/>
            <w:vAlign w:val="bottom"/>
            <w:gridSpan w:val="3"/>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360" w:type="dxa"/>
            <w:vAlign w:val="bottom"/>
            <w:gridSpan w:val="3"/>
            <w:shd w:val="clear" w:color="auto" w:fill="000000"/>
          </w:tcPr>
          <w:p>
            <w:pPr>
              <w:spacing w:after="0" w:line="20" w:lineRule="exact"/>
              <w:rPr>
                <w:sz w:val="1"/>
                <w:szCs w:val="1"/>
                <w:color w:val="auto"/>
              </w:rPr>
            </w:pPr>
          </w:p>
        </w:tc>
        <w:tc>
          <w:tcPr>
            <w:tcW w:w="220" w:type="dxa"/>
            <w:vAlign w:val="bottom"/>
            <w:vMerge w:val="restart"/>
          </w:tcPr>
          <w:p>
            <w:pPr>
              <w:spacing w:after="0" w:line="20" w:lineRule="exact"/>
              <w:rPr>
                <w:sz w:val="1"/>
                <w:szCs w:val="1"/>
                <w:color w:val="auto"/>
              </w:rPr>
            </w:pPr>
          </w:p>
        </w:tc>
        <w:tc>
          <w:tcPr>
            <w:tcW w:w="40" w:type="dxa"/>
            <w:vAlign w:val="bottom"/>
            <w:shd w:val="clear" w:color="auto" w:fill="000000"/>
          </w:tcPr>
          <w:p>
            <w:pPr>
              <w:spacing w:after="0" w:line="20" w:lineRule="exact"/>
              <w:rPr>
                <w:sz w:val="1"/>
                <w:szCs w:val="1"/>
                <w:color w:val="auto"/>
              </w:rPr>
            </w:pPr>
          </w:p>
        </w:tc>
        <w:tc>
          <w:tcPr>
            <w:tcW w:w="380" w:type="dxa"/>
            <w:vAlign w:val="bottom"/>
            <w:gridSpan w:val="2"/>
            <w:shd w:val="clear" w:color="auto" w:fill="000000"/>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20" w:type="dxa"/>
            <w:vAlign w:val="bottom"/>
            <w:vMerge w:val="restart"/>
          </w:tcPr>
          <w:p>
            <w:pPr>
              <w:spacing w:after="0" w:line="20" w:lineRule="exact"/>
              <w:rPr>
                <w:sz w:val="1"/>
                <w:szCs w:val="1"/>
                <w:color w:val="auto"/>
              </w:rPr>
            </w:pPr>
          </w:p>
        </w:tc>
        <w:tc>
          <w:tcPr>
            <w:tcW w:w="440" w:type="dxa"/>
            <w:vAlign w:val="bottom"/>
            <w:tcBorders>
              <w:left w:val="single" w:sz="8" w:color="auto"/>
            </w:tcBorders>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61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480" w:type="dxa"/>
            <w:vAlign w:val="bottom"/>
            <w:gridSpan w:val="2"/>
          </w:tcPr>
          <w:p>
            <w:pPr>
              <w:jc w:val="right"/>
              <w:spacing w:after="0"/>
              <w:rPr>
                <w:sz w:val="20"/>
                <w:szCs w:val="20"/>
                <w:color w:val="auto"/>
              </w:rPr>
            </w:pPr>
            <w:r>
              <w:rPr>
                <w:rFonts w:ascii="Arial" w:cs="Arial" w:eastAsia="Arial" w:hAnsi="Arial"/>
                <w:sz w:val="18"/>
                <w:szCs w:val="18"/>
                <w:color w:val="auto"/>
                <w:w w:val="80"/>
              </w:rPr>
              <w:t>(1,291)</w:t>
            </w:r>
          </w:p>
        </w:tc>
        <w:tc>
          <w:tcPr>
            <w:tcW w:w="60" w:type="dxa"/>
            <w:vAlign w:val="bottom"/>
            <w:vMerge w:val="continue"/>
          </w:tcPr>
          <w:p>
            <w:pPr>
              <w:spacing w:after="0"/>
              <w:rPr>
                <w:sz w:val="19"/>
                <w:szCs w:val="19"/>
                <w:color w:val="auto"/>
              </w:rPr>
            </w:pPr>
          </w:p>
        </w:tc>
        <w:tc>
          <w:tcPr>
            <w:tcW w:w="160" w:type="dxa"/>
            <w:vAlign w:val="bottom"/>
            <w:vMerge w:val="continue"/>
          </w:tcPr>
          <w:p>
            <w:pPr>
              <w:spacing w:after="0"/>
              <w:rPr>
                <w:sz w:val="19"/>
                <w:szCs w:val="19"/>
                <w:color w:val="auto"/>
              </w:rPr>
            </w:pPr>
          </w:p>
        </w:tc>
        <w:tc>
          <w:tcPr>
            <w:tcW w:w="780" w:type="dxa"/>
            <w:vAlign w:val="bottom"/>
            <w:gridSpan w:val="4"/>
          </w:tcPr>
          <w:p>
            <w:pPr>
              <w:jc w:val="right"/>
              <w:ind w:right="140"/>
              <w:spacing w:after="0"/>
              <w:rPr>
                <w:sz w:val="20"/>
                <w:szCs w:val="20"/>
                <w:color w:val="auto"/>
              </w:rPr>
            </w:pPr>
            <w:r>
              <w:rPr>
                <w:rFonts w:ascii="Arial" w:cs="Arial" w:eastAsia="Arial" w:hAnsi="Arial"/>
                <w:sz w:val="18"/>
                <w:szCs w:val="18"/>
                <w:color w:val="auto"/>
                <w:w w:val="98"/>
              </w:rPr>
              <w:t>(1.76)%</w:t>
            </w:r>
          </w:p>
        </w:tc>
        <w:tc>
          <w:tcPr>
            <w:tcW w:w="1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360" w:type="dxa"/>
            <w:vAlign w:val="bottom"/>
            <w:gridSpan w:val="3"/>
          </w:tcPr>
          <w:p>
            <w:pPr>
              <w:jc w:val="right"/>
              <w:spacing w:after="0"/>
              <w:rPr>
                <w:sz w:val="20"/>
                <w:szCs w:val="20"/>
                <w:color w:val="auto"/>
              </w:rPr>
            </w:pPr>
            <w:r>
              <w:rPr>
                <w:rFonts w:ascii="Arial" w:cs="Arial" w:eastAsia="Arial" w:hAnsi="Arial"/>
                <w:sz w:val="18"/>
                <w:szCs w:val="18"/>
                <w:color w:val="auto"/>
              </w:rPr>
              <w:t>188</w:t>
            </w:r>
          </w:p>
        </w:tc>
        <w:tc>
          <w:tcPr>
            <w:tcW w:w="220" w:type="dxa"/>
            <w:vAlign w:val="bottom"/>
            <w:vMerge w:val="continue"/>
          </w:tcPr>
          <w:p>
            <w:pPr>
              <w:spacing w:after="0"/>
              <w:rPr>
                <w:sz w:val="19"/>
                <w:szCs w:val="19"/>
                <w:color w:val="auto"/>
              </w:rPr>
            </w:pPr>
          </w:p>
        </w:tc>
        <w:tc>
          <w:tcPr>
            <w:tcW w:w="40" w:type="dxa"/>
            <w:vAlign w:val="bottom"/>
          </w:tcPr>
          <w:p>
            <w:pPr>
              <w:spacing w:after="0"/>
              <w:rPr>
                <w:sz w:val="19"/>
                <w:szCs w:val="19"/>
                <w:color w:val="auto"/>
              </w:rPr>
            </w:pPr>
          </w:p>
        </w:tc>
        <w:tc>
          <w:tcPr>
            <w:tcW w:w="720" w:type="dxa"/>
            <w:vAlign w:val="bottom"/>
            <w:gridSpan w:val="4"/>
          </w:tcPr>
          <w:p>
            <w:pPr>
              <w:jc w:val="right"/>
              <w:ind w:right="180"/>
              <w:spacing w:after="0"/>
              <w:rPr>
                <w:sz w:val="20"/>
                <w:szCs w:val="20"/>
                <w:color w:val="auto"/>
              </w:rPr>
            </w:pPr>
            <w:r>
              <w:rPr>
                <w:rFonts w:ascii="Arial" w:cs="Arial" w:eastAsia="Arial" w:hAnsi="Arial"/>
                <w:sz w:val="18"/>
                <w:szCs w:val="18"/>
                <w:color w:val="auto"/>
              </w:rPr>
              <w:t>0.32%</w:t>
            </w:r>
          </w:p>
        </w:tc>
        <w:tc>
          <w:tcPr>
            <w:tcW w:w="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00" w:type="dxa"/>
            <w:vAlign w:val="bottom"/>
          </w:tcPr>
          <w:p>
            <w:pPr>
              <w:jc w:val="right"/>
              <w:spacing w:after="0"/>
              <w:rPr>
                <w:sz w:val="20"/>
                <w:szCs w:val="20"/>
                <w:color w:val="auto"/>
              </w:rPr>
            </w:pPr>
            <w:r>
              <w:rPr>
                <w:rFonts w:ascii="Arial" w:cs="Arial" w:eastAsia="Arial" w:hAnsi="Arial"/>
                <w:sz w:val="18"/>
                <w:szCs w:val="18"/>
                <w:color w:val="auto"/>
                <w:w w:val="90"/>
              </w:rPr>
              <w:t>(142)</w:t>
            </w:r>
          </w:p>
        </w:tc>
        <w:tc>
          <w:tcPr>
            <w:tcW w:w="220" w:type="dxa"/>
            <w:vAlign w:val="bottom"/>
            <w:vMerge w:val="continue"/>
          </w:tcPr>
          <w:p>
            <w:pPr>
              <w:spacing w:after="0"/>
              <w:rPr>
                <w:sz w:val="19"/>
                <w:szCs w:val="19"/>
                <w:color w:val="auto"/>
              </w:rPr>
            </w:pPr>
          </w:p>
        </w:tc>
        <w:tc>
          <w:tcPr>
            <w:tcW w:w="700" w:type="dxa"/>
            <w:vAlign w:val="bottom"/>
            <w:gridSpan w:val="2"/>
          </w:tcPr>
          <w:p>
            <w:pPr>
              <w:jc w:val="right"/>
              <w:ind w:right="60"/>
              <w:spacing w:after="0"/>
              <w:rPr>
                <w:sz w:val="20"/>
                <w:szCs w:val="20"/>
                <w:color w:val="auto"/>
              </w:rPr>
            </w:pPr>
            <w:r>
              <w:rPr>
                <w:rFonts w:ascii="Arial" w:cs="Arial" w:eastAsia="Arial" w:hAnsi="Arial"/>
                <w:sz w:val="18"/>
                <w:szCs w:val="18"/>
                <w:color w:val="auto"/>
                <w:w w:val="98"/>
              </w:rPr>
              <w:t>(0.25)%</w:t>
            </w:r>
          </w:p>
        </w:tc>
        <w:tc>
          <w:tcPr>
            <w:tcW w:w="0" w:type="dxa"/>
            <w:vAlign w:val="bottom"/>
          </w:tcPr>
          <w:p>
            <w:pPr>
              <w:spacing w:after="0"/>
              <w:rPr>
                <w:sz w:val="1"/>
                <w:szCs w:val="1"/>
                <w:color w:val="auto"/>
              </w:rPr>
            </w:pPr>
          </w:p>
        </w:tc>
      </w:tr>
      <w:tr>
        <w:trPr>
          <w:trHeight w:val="27"/>
        </w:trPr>
        <w:tc>
          <w:tcPr>
            <w:tcW w:w="6180" w:type="dxa"/>
            <w:vAlign w:val="bottom"/>
          </w:tcPr>
          <w:p>
            <w:pPr>
              <w:spacing w:after="0"/>
              <w:rPr>
                <w:sz w:val="2"/>
                <w:szCs w:val="2"/>
                <w:color w:val="auto"/>
              </w:rPr>
            </w:pPr>
          </w:p>
        </w:tc>
        <w:tc>
          <w:tcPr>
            <w:tcW w:w="12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16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40" w:type="dxa"/>
            <w:vAlign w:val="bottom"/>
            <w:shd w:val="clear" w:color="auto" w:fill="000000"/>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Pr>
          <w:p>
            <w:pPr>
              <w:spacing w:after="0"/>
              <w:rPr>
                <w:sz w:val="2"/>
                <w:szCs w:val="2"/>
                <w:color w:val="auto"/>
              </w:rPr>
            </w:pPr>
          </w:p>
        </w:tc>
        <w:tc>
          <w:tcPr>
            <w:tcW w:w="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440" w:type="dxa"/>
            <w:vAlign w:val="bottom"/>
            <w:tcBorders>
              <w:left w:val="single" w:sz="8" w:color="auto"/>
            </w:tcBorders>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1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4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(374)</w:t>
            </w:r>
          </w:p>
        </w:tc>
        <w:tc>
          <w:tcPr>
            <w:tcW w:w="940" w:type="dxa"/>
            <w:vAlign w:val="bottom"/>
            <w:gridSpan w:val="5"/>
            <w:shd w:val="clear" w:color="auto" w:fill="CCEEFF"/>
          </w:tcPr>
          <w:p>
            <w:pPr>
              <w:jc w:val="right"/>
              <w:ind w:right="140"/>
              <w:spacing w:after="0"/>
              <w:rPr>
                <w:sz w:val="20"/>
                <w:szCs w:val="20"/>
                <w:color w:val="auto"/>
              </w:rPr>
            </w:pPr>
            <w:r>
              <w:rPr>
                <w:rFonts w:ascii="Arial" w:cs="Arial" w:eastAsia="Arial" w:hAnsi="Arial"/>
                <w:sz w:val="18"/>
                <w:szCs w:val="18"/>
                <w:color w:val="auto"/>
              </w:rPr>
              <w:t>(0.51)%</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gridSpan w:val="5"/>
            <w:shd w:val="clear" w:color="auto" w:fill="CCEEFF"/>
          </w:tcPr>
          <w:p>
            <w:pPr>
              <w:jc w:val="right"/>
              <w:ind w:right="220"/>
              <w:spacing w:after="0"/>
              <w:rPr>
                <w:sz w:val="20"/>
                <w:szCs w:val="20"/>
                <w:color w:val="auto"/>
              </w:rPr>
            </w:pPr>
            <w:r>
              <w:rPr>
                <w:rFonts w:ascii="Arial" w:cs="Arial" w:eastAsia="Arial" w:hAnsi="Arial"/>
                <w:sz w:val="18"/>
                <w:szCs w:val="18"/>
                <w:color w:val="auto"/>
              </w:rPr>
              <w:t>1,948</w:t>
            </w:r>
          </w:p>
        </w:tc>
        <w:tc>
          <w:tcPr>
            <w:tcW w:w="40" w:type="dxa"/>
            <w:vAlign w:val="bottom"/>
            <w:shd w:val="clear" w:color="auto" w:fill="CCEEFF"/>
          </w:tcPr>
          <w:p>
            <w:pPr>
              <w:spacing w:after="0"/>
              <w:rPr>
                <w:sz w:val="18"/>
                <w:szCs w:val="18"/>
                <w:color w:val="auto"/>
              </w:rPr>
            </w:pPr>
          </w:p>
        </w:tc>
        <w:tc>
          <w:tcPr>
            <w:tcW w:w="720" w:type="dxa"/>
            <w:vAlign w:val="bottom"/>
            <w:gridSpan w:val="4"/>
            <w:shd w:val="clear" w:color="auto" w:fill="CCEEFF"/>
          </w:tcPr>
          <w:p>
            <w:pPr>
              <w:jc w:val="right"/>
              <w:ind w:right="180"/>
              <w:spacing w:after="0"/>
              <w:rPr>
                <w:sz w:val="20"/>
                <w:szCs w:val="20"/>
                <w:color w:val="auto"/>
              </w:rPr>
            </w:pPr>
            <w:r>
              <w:rPr>
                <w:rFonts w:ascii="Arial" w:cs="Arial" w:eastAsia="Arial" w:hAnsi="Arial"/>
                <w:sz w:val="18"/>
                <w:szCs w:val="18"/>
                <w:color w:val="auto"/>
              </w:rPr>
              <w:t>3.33%</w:t>
            </w:r>
          </w:p>
        </w:tc>
        <w:tc>
          <w:tcPr>
            <w:tcW w:w="1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99"/>
              </w:rPr>
              <w:t>$</w:t>
            </w:r>
          </w:p>
        </w:tc>
        <w:tc>
          <w:tcPr>
            <w:tcW w:w="10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w w:val="84"/>
              </w:rPr>
              <w:t>2,025</w:t>
            </w:r>
          </w:p>
        </w:tc>
        <w:tc>
          <w:tcPr>
            <w:tcW w:w="700" w:type="dxa"/>
            <w:vAlign w:val="bottom"/>
            <w:tcBorders>
              <w:left w:val="single" w:sz="8" w:color="CCEEFF"/>
            </w:tcBorders>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3.60%</w:t>
            </w:r>
          </w:p>
        </w:tc>
        <w:tc>
          <w:tcPr>
            <w:tcW w:w="0" w:type="dxa"/>
            <w:vAlign w:val="bottom"/>
          </w:tcPr>
          <w:p>
            <w:pPr>
              <w:spacing w:after="0"/>
              <w:rPr>
                <w:sz w:val="1"/>
                <w:szCs w:val="1"/>
                <w:color w:val="auto"/>
              </w:rPr>
            </w:pPr>
          </w:p>
        </w:tc>
      </w:tr>
      <w:tr>
        <w:trPr>
          <w:trHeight w:val="20"/>
        </w:trPr>
        <w:tc>
          <w:tcPr>
            <w:tcW w:w="6180" w:type="dxa"/>
            <w:vAlign w:val="bottom"/>
            <w:vMerge w:val="restart"/>
          </w:tcPr>
          <w:p>
            <w:pPr>
              <w:ind w:left="5340"/>
              <w:spacing w:after="0"/>
              <w:rPr>
                <w:sz w:val="20"/>
                <w:szCs w:val="20"/>
                <w:color w:val="auto"/>
              </w:rPr>
            </w:pPr>
            <w:r>
              <w:rPr>
                <w:rFonts w:ascii="Arial" w:cs="Arial" w:eastAsia="Arial" w:hAnsi="Arial"/>
                <w:sz w:val="18"/>
                <w:szCs w:val="18"/>
                <w:color w:val="auto"/>
              </w:rPr>
              <w:t>F-34</w:t>
            </w:r>
          </w:p>
        </w:tc>
        <w:tc>
          <w:tcPr>
            <w:tcW w:w="1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8"/>
        </w:trPr>
        <w:tc>
          <w:tcPr>
            <w:tcW w:w="6180" w:type="dxa"/>
            <w:vAlign w:val="bottom"/>
            <w:vMerge w:val="continue"/>
          </w:tcPr>
          <w:p>
            <w:pPr>
              <w:spacing w:after="0"/>
              <w:rPr>
                <w:sz w:val="24"/>
                <w:szCs w:val="24"/>
                <w:color w:val="auto"/>
              </w:rPr>
            </w:pP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020"/>
          </w:cols>
          <w:pgMar w:left="440" w:top="270" w:right="439" w:bottom="1440" w:gutter="0" w:footer="0" w:header="0"/>
        </w:sectPr>
      </w:pPr>
    </w:p>
    <w:bookmarkStart w:id="148" w:name="page149"/>
    <w:bookmarkEnd w:id="148"/>
    <w:p>
      <w:pPr>
        <w:ind w:right="80"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tax effects of temporary differences that give rise to significant portions of the deferred tax assets and deferred tax liabilities at December 31, 2020 and 2019 are presented below:</w:t>
      </w:r>
    </w:p>
    <w:p>
      <w:pPr>
        <w:spacing w:after="0" w:line="189" w:lineRule="exact"/>
        <w:rPr>
          <w:sz w:val="20"/>
          <w:szCs w:val="20"/>
          <w:color w:val="auto"/>
        </w:rPr>
      </w:pPr>
    </w:p>
    <w:tbl>
      <w:tblPr>
        <w:tblLayout w:type="fixed"/>
        <w:tblInd w:w="1320" w:type="dxa"/>
        <w:tblCellMar>
          <w:top w:w="0" w:type="dxa"/>
          <w:left w:w="0" w:type="dxa"/>
          <w:bottom w:w="0" w:type="dxa"/>
          <w:right w:w="0" w:type="dxa"/>
        </w:tblCellMar>
      </w:tblPr>
      <w:tr>
        <w:trPr>
          <w:trHeight w:val="171"/>
        </w:trPr>
        <w:tc>
          <w:tcPr>
            <w:tcW w:w="672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72"/>
              <w:spacing w:after="0"/>
              <w:rPr>
                <w:sz w:val="20"/>
                <w:szCs w:val="20"/>
                <w:color w:val="auto"/>
              </w:rPr>
            </w:pPr>
            <w:r>
              <w:rPr>
                <w:rFonts w:ascii="Arial" w:cs="Arial" w:eastAsia="Arial" w:hAnsi="Arial"/>
                <w:sz w:val="14"/>
                <w:szCs w:val="14"/>
                <w:b w:val="1"/>
                <w:bCs w:val="1"/>
                <w:color w:val="auto"/>
              </w:rPr>
              <w:t>2020</w:t>
            </w:r>
          </w:p>
        </w:tc>
        <w:tc>
          <w:tcPr>
            <w:tcW w:w="34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72"/>
              <w:spacing w:after="0"/>
              <w:rPr>
                <w:sz w:val="20"/>
                <w:szCs w:val="20"/>
                <w:color w:val="auto"/>
              </w:rPr>
            </w:pPr>
            <w:r>
              <w:rPr>
                <w:rFonts w:ascii="Arial" w:cs="Arial" w:eastAsia="Arial" w:hAnsi="Arial"/>
                <w:sz w:val="14"/>
                <w:szCs w:val="14"/>
                <w:b w:val="1"/>
                <w:bCs w:val="1"/>
                <w:color w:val="auto"/>
              </w:rPr>
              <w:t>2019</w:t>
            </w:r>
          </w:p>
        </w:tc>
        <w:tc>
          <w:tcPr>
            <w:tcW w:w="100" w:type="dxa"/>
            <w:vAlign w:val="bottom"/>
            <w:tcBorders>
              <w:bottom w:val="single" w:sz="8" w:color="CCEEFF"/>
            </w:tcBorders>
          </w:tcPr>
          <w:p>
            <w:pPr>
              <w:spacing w:after="0"/>
              <w:rPr>
                <w:sz w:val="14"/>
                <w:szCs w:val="14"/>
                <w:color w:val="auto"/>
              </w:rPr>
            </w:pPr>
          </w:p>
        </w:tc>
      </w:tr>
      <w:tr>
        <w:trPr>
          <w:trHeight w:val="196"/>
        </w:trPr>
        <w:tc>
          <w:tcPr>
            <w:tcW w:w="67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Deferred tax assets</w:t>
            </w:r>
          </w:p>
        </w:tc>
        <w:tc>
          <w:tcPr>
            <w:tcW w:w="10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6"/>
        </w:trPr>
        <w:tc>
          <w:tcPr>
            <w:tcW w:w="6720" w:type="dxa"/>
            <w:vAlign w:val="bottom"/>
          </w:tcPr>
          <w:p>
            <w:pPr>
              <w:ind w:left="360"/>
              <w:spacing w:after="0"/>
              <w:rPr>
                <w:sz w:val="20"/>
                <w:szCs w:val="20"/>
                <w:color w:val="auto"/>
              </w:rPr>
            </w:pPr>
            <w:r>
              <w:rPr>
                <w:rFonts w:ascii="Arial" w:cs="Arial" w:eastAsia="Arial" w:hAnsi="Arial"/>
                <w:sz w:val="18"/>
                <w:szCs w:val="18"/>
                <w:color w:val="auto"/>
              </w:rPr>
              <w:t>Net operating loss carryforwards</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840" w:type="dxa"/>
            <w:vAlign w:val="bottom"/>
            <w:gridSpan w:val="2"/>
          </w:tcPr>
          <w:p>
            <w:pPr>
              <w:jc w:val="right"/>
              <w:ind w:right="340"/>
              <w:spacing w:after="0"/>
              <w:rPr>
                <w:sz w:val="20"/>
                <w:szCs w:val="20"/>
                <w:color w:val="auto"/>
              </w:rPr>
            </w:pPr>
            <w:r>
              <w:rPr>
                <w:rFonts w:ascii="Arial" w:cs="Arial" w:eastAsia="Arial" w:hAnsi="Arial"/>
                <w:sz w:val="18"/>
                <w:szCs w:val="18"/>
                <w:color w:val="auto"/>
                <w:w w:val="87"/>
              </w:rPr>
              <w:t>19,284</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600" w:type="dxa"/>
            <w:vAlign w:val="bottom"/>
            <w:gridSpan w:val="2"/>
          </w:tcPr>
          <w:p>
            <w:pPr>
              <w:jc w:val="right"/>
              <w:ind w:right="100"/>
              <w:spacing w:after="0"/>
              <w:rPr>
                <w:sz w:val="20"/>
                <w:szCs w:val="20"/>
                <w:color w:val="auto"/>
              </w:rPr>
            </w:pPr>
            <w:r>
              <w:rPr>
                <w:rFonts w:ascii="Arial" w:cs="Arial" w:eastAsia="Arial" w:hAnsi="Arial"/>
                <w:sz w:val="18"/>
                <w:szCs w:val="18"/>
                <w:color w:val="auto"/>
                <w:w w:val="87"/>
              </w:rPr>
              <w:t>19,410</w:t>
            </w:r>
          </w:p>
        </w:tc>
      </w:tr>
      <w:tr>
        <w:trPr>
          <w:trHeight w:val="216"/>
        </w:trPr>
        <w:tc>
          <w:tcPr>
            <w:tcW w:w="67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Other</w:t>
            </w: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1,457</w:t>
            </w:r>
          </w:p>
        </w:tc>
        <w:tc>
          <w:tcPr>
            <w:tcW w:w="100" w:type="dxa"/>
            <w:vAlign w:val="bottom"/>
            <w:shd w:val="clear" w:color="auto" w:fill="CCEEFF"/>
          </w:tcPr>
          <w:p>
            <w:pPr>
              <w:spacing w:after="0"/>
              <w:rPr>
                <w:sz w:val="18"/>
                <w:szCs w:val="18"/>
                <w:color w:val="auto"/>
              </w:rPr>
            </w:pPr>
          </w:p>
        </w:tc>
        <w:tc>
          <w:tcPr>
            <w:tcW w:w="6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1,568</w:t>
            </w:r>
          </w:p>
        </w:tc>
      </w:tr>
      <w:tr>
        <w:trPr>
          <w:trHeight w:val="223"/>
        </w:trPr>
        <w:tc>
          <w:tcPr>
            <w:tcW w:w="672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5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87"/>
              </w:rPr>
              <w:t>20,741</w:t>
            </w:r>
          </w:p>
        </w:tc>
        <w:tc>
          <w:tcPr>
            <w:tcW w:w="34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5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87"/>
              </w:rPr>
              <w:t>20,978</w:t>
            </w:r>
          </w:p>
        </w:tc>
        <w:tc>
          <w:tcPr>
            <w:tcW w:w="100" w:type="dxa"/>
            <w:vAlign w:val="bottom"/>
          </w:tcPr>
          <w:p>
            <w:pPr>
              <w:spacing w:after="0"/>
              <w:rPr>
                <w:sz w:val="19"/>
                <w:szCs w:val="19"/>
                <w:color w:val="auto"/>
              </w:rPr>
            </w:pPr>
          </w:p>
        </w:tc>
      </w:tr>
      <w:tr>
        <w:trPr>
          <w:trHeight w:val="216"/>
        </w:trPr>
        <w:tc>
          <w:tcPr>
            <w:tcW w:w="6720" w:type="dxa"/>
            <w:vAlign w:val="bottom"/>
            <w:shd w:val="clear" w:color="auto" w:fill="CCEEFF"/>
          </w:tcPr>
          <w:p>
            <w:pPr>
              <w:ind w:left="1080"/>
              <w:spacing w:after="0"/>
              <w:rPr>
                <w:sz w:val="20"/>
                <w:szCs w:val="20"/>
                <w:color w:val="auto"/>
              </w:rPr>
            </w:pPr>
            <w:r>
              <w:rPr>
                <w:rFonts w:ascii="Arial" w:cs="Arial" w:eastAsia="Arial" w:hAnsi="Arial"/>
                <w:sz w:val="18"/>
                <w:szCs w:val="18"/>
                <w:color w:val="auto"/>
              </w:rPr>
              <w:t>Valuation allowance</w:t>
            </w: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(382)</w:t>
            </w:r>
          </w:p>
        </w:tc>
        <w:tc>
          <w:tcPr>
            <w:tcW w:w="100" w:type="dxa"/>
            <w:vAlign w:val="bottom"/>
            <w:shd w:val="clear" w:color="auto" w:fill="CCEEFF"/>
          </w:tcPr>
          <w:p>
            <w:pPr>
              <w:spacing w:after="0"/>
              <w:rPr>
                <w:sz w:val="18"/>
                <w:szCs w:val="18"/>
                <w:color w:val="auto"/>
              </w:rPr>
            </w:pPr>
          </w:p>
        </w:tc>
        <w:tc>
          <w:tcPr>
            <w:tcW w:w="6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(707)</w:t>
            </w:r>
          </w:p>
        </w:tc>
      </w:tr>
      <w:tr>
        <w:trPr>
          <w:trHeight w:val="230"/>
        </w:trPr>
        <w:tc>
          <w:tcPr>
            <w:tcW w:w="6720" w:type="dxa"/>
            <w:vAlign w:val="bottom"/>
          </w:tcPr>
          <w:p>
            <w:pPr>
              <w:ind w:left="720"/>
              <w:spacing w:after="0"/>
              <w:rPr>
                <w:sz w:val="20"/>
                <w:szCs w:val="20"/>
                <w:color w:val="auto"/>
              </w:rPr>
            </w:pPr>
            <w:r>
              <w:rPr>
                <w:rFonts w:ascii="Arial" w:cs="Arial" w:eastAsia="Arial" w:hAnsi="Arial"/>
                <w:sz w:val="18"/>
                <w:szCs w:val="18"/>
                <w:color w:val="auto"/>
              </w:rPr>
              <w:t>Deferred tax assets</w:t>
            </w:r>
          </w:p>
        </w:tc>
        <w:tc>
          <w:tcPr>
            <w:tcW w:w="100" w:type="dxa"/>
            <w:vAlign w:val="bottom"/>
            <w:tcBorders>
              <w:top w:val="single" w:sz="8" w:color="auto"/>
              <w:bottom w:val="single" w:sz="8" w:color="auto"/>
            </w:tcBorders>
          </w:tcPr>
          <w:p>
            <w:pPr>
              <w:spacing w:after="0"/>
              <w:rPr>
                <w:sz w:val="20"/>
                <w:szCs w:val="20"/>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20,359</w:t>
            </w:r>
          </w:p>
        </w:tc>
        <w:tc>
          <w:tcPr>
            <w:tcW w:w="3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20,271</w:t>
            </w:r>
          </w:p>
        </w:tc>
        <w:tc>
          <w:tcPr>
            <w:tcW w:w="100" w:type="dxa"/>
            <w:vAlign w:val="bottom"/>
          </w:tcPr>
          <w:p>
            <w:pPr>
              <w:spacing w:after="0"/>
              <w:rPr>
                <w:sz w:val="20"/>
                <w:szCs w:val="20"/>
                <w:color w:val="auto"/>
              </w:rPr>
            </w:pPr>
          </w:p>
        </w:tc>
      </w:tr>
      <w:tr>
        <w:trPr>
          <w:trHeight w:val="216"/>
        </w:trPr>
        <w:tc>
          <w:tcPr>
            <w:tcW w:w="6720" w:type="dxa"/>
            <w:vAlign w:val="bottom"/>
            <w:shd w:val="clear" w:color="auto" w:fill="CCEEFF"/>
          </w:tcPr>
          <w:p>
            <w:pPr>
              <w:spacing w:after="0"/>
              <w:rPr>
                <w:sz w:val="20"/>
                <w:szCs w:val="20"/>
                <w:color w:val="auto"/>
              </w:rPr>
            </w:pPr>
            <w:r>
              <w:rPr>
                <w:rFonts w:ascii="Arial" w:cs="Arial" w:eastAsia="Arial" w:hAnsi="Arial"/>
                <w:sz w:val="18"/>
                <w:szCs w:val="18"/>
                <w:color w:val="auto"/>
              </w:rPr>
              <w:t>Deferred tax liabilities</w:t>
            </w: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16"/>
        </w:trPr>
        <w:tc>
          <w:tcPr>
            <w:tcW w:w="6720" w:type="dxa"/>
            <w:vAlign w:val="bottom"/>
          </w:tcPr>
          <w:p>
            <w:pPr>
              <w:ind w:left="360"/>
              <w:spacing w:after="0"/>
              <w:rPr>
                <w:sz w:val="20"/>
                <w:szCs w:val="20"/>
                <w:color w:val="auto"/>
              </w:rPr>
            </w:pPr>
            <w:r>
              <w:rPr>
                <w:rFonts w:ascii="Arial" w:cs="Arial" w:eastAsia="Arial" w:hAnsi="Arial"/>
                <w:sz w:val="18"/>
                <w:szCs w:val="18"/>
                <w:color w:val="auto"/>
              </w:rPr>
              <w:t>Containers, net</w:t>
            </w:r>
          </w:p>
        </w:tc>
        <w:tc>
          <w:tcPr>
            <w:tcW w:w="100" w:type="dxa"/>
            <w:vAlign w:val="bottom"/>
          </w:tcPr>
          <w:p>
            <w:pPr>
              <w:spacing w:after="0"/>
              <w:rPr>
                <w:sz w:val="18"/>
                <w:szCs w:val="18"/>
                <w:color w:val="auto"/>
              </w:rPr>
            </w:pPr>
          </w:p>
        </w:tc>
        <w:tc>
          <w:tcPr>
            <w:tcW w:w="840" w:type="dxa"/>
            <w:vAlign w:val="bottom"/>
            <w:gridSpan w:val="2"/>
          </w:tcPr>
          <w:p>
            <w:pPr>
              <w:jc w:val="right"/>
              <w:ind w:right="340"/>
              <w:spacing w:after="0"/>
              <w:rPr>
                <w:sz w:val="20"/>
                <w:szCs w:val="20"/>
                <w:color w:val="auto"/>
              </w:rPr>
            </w:pPr>
            <w:r>
              <w:rPr>
                <w:rFonts w:ascii="Arial" w:cs="Arial" w:eastAsia="Arial" w:hAnsi="Arial"/>
                <w:sz w:val="18"/>
                <w:szCs w:val="18"/>
                <w:color w:val="auto"/>
                <w:w w:val="87"/>
              </w:rPr>
              <w:t>25,043</w:t>
            </w:r>
          </w:p>
        </w:tc>
        <w:tc>
          <w:tcPr>
            <w:tcW w:w="100" w:type="dxa"/>
            <w:vAlign w:val="bottom"/>
          </w:tcPr>
          <w:p>
            <w:pPr>
              <w:spacing w:after="0"/>
              <w:rPr>
                <w:sz w:val="18"/>
                <w:szCs w:val="18"/>
                <w:color w:val="auto"/>
              </w:rPr>
            </w:pPr>
          </w:p>
        </w:tc>
        <w:tc>
          <w:tcPr>
            <w:tcW w:w="600" w:type="dxa"/>
            <w:vAlign w:val="bottom"/>
            <w:gridSpan w:val="2"/>
          </w:tcPr>
          <w:p>
            <w:pPr>
              <w:jc w:val="right"/>
              <w:ind w:right="100"/>
              <w:spacing w:after="0"/>
              <w:rPr>
                <w:sz w:val="20"/>
                <w:szCs w:val="20"/>
                <w:color w:val="auto"/>
              </w:rPr>
            </w:pPr>
            <w:r>
              <w:rPr>
                <w:rFonts w:ascii="Arial" w:cs="Arial" w:eastAsia="Arial" w:hAnsi="Arial"/>
                <w:sz w:val="18"/>
                <w:szCs w:val="18"/>
                <w:color w:val="auto"/>
                <w:w w:val="87"/>
              </w:rPr>
              <w:t>25,975</w:t>
            </w:r>
          </w:p>
        </w:tc>
      </w:tr>
      <w:tr>
        <w:trPr>
          <w:trHeight w:val="216"/>
        </w:trPr>
        <w:tc>
          <w:tcPr>
            <w:tcW w:w="67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Other</w:t>
            </w: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654</w:t>
            </w:r>
          </w:p>
        </w:tc>
        <w:tc>
          <w:tcPr>
            <w:tcW w:w="100" w:type="dxa"/>
            <w:vAlign w:val="bottom"/>
            <w:shd w:val="clear" w:color="auto" w:fill="CCEEFF"/>
          </w:tcPr>
          <w:p>
            <w:pPr>
              <w:spacing w:after="0"/>
              <w:rPr>
                <w:sz w:val="18"/>
                <w:szCs w:val="18"/>
                <w:color w:val="auto"/>
              </w:rPr>
            </w:pPr>
          </w:p>
        </w:tc>
        <w:tc>
          <w:tcPr>
            <w:tcW w:w="6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697</w:t>
            </w:r>
          </w:p>
        </w:tc>
      </w:tr>
      <w:tr>
        <w:trPr>
          <w:trHeight w:val="230"/>
        </w:trPr>
        <w:tc>
          <w:tcPr>
            <w:tcW w:w="6720" w:type="dxa"/>
            <w:vAlign w:val="bottom"/>
          </w:tcPr>
          <w:p>
            <w:pPr>
              <w:ind w:left="720"/>
              <w:spacing w:after="0"/>
              <w:rPr>
                <w:sz w:val="20"/>
                <w:szCs w:val="20"/>
                <w:color w:val="auto"/>
              </w:rPr>
            </w:pPr>
            <w:r>
              <w:rPr>
                <w:rFonts w:ascii="Arial" w:cs="Arial" w:eastAsia="Arial" w:hAnsi="Arial"/>
                <w:sz w:val="18"/>
                <w:szCs w:val="18"/>
                <w:color w:val="auto"/>
              </w:rPr>
              <w:t>Deferred tax liabilities</w:t>
            </w:r>
          </w:p>
        </w:tc>
        <w:tc>
          <w:tcPr>
            <w:tcW w:w="100" w:type="dxa"/>
            <w:vAlign w:val="bottom"/>
            <w:tcBorders>
              <w:top w:val="single" w:sz="8" w:color="auto"/>
              <w:bottom w:val="single" w:sz="8" w:color="auto"/>
            </w:tcBorders>
          </w:tcPr>
          <w:p>
            <w:pPr>
              <w:spacing w:after="0"/>
              <w:rPr>
                <w:sz w:val="20"/>
                <w:szCs w:val="20"/>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25,697</w:t>
            </w:r>
          </w:p>
        </w:tc>
        <w:tc>
          <w:tcPr>
            <w:tcW w:w="3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26,672</w:t>
            </w:r>
          </w:p>
        </w:tc>
        <w:tc>
          <w:tcPr>
            <w:tcW w:w="100" w:type="dxa"/>
            <w:vAlign w:val="bottom"/>
          </w:tcPr>
          <w:p>
            <w:pPr>
              <w:spacing w:after="0"/>
              <w:rPr>
                <w:sz w:val="20"/>
                <w:szCs w:val="20"/>
                <w:color w:val="auto"/>
              </w:rPr>
            </w:pPr>
          </w:p>
        </w:tc>
      </w:tr>
      <w:tr>
        <w:trPr>
          <w:trHeight w:val="216"/>
        </w:trPr>
        <w:tc>
          <w:tcPr>
            <w:tcW w:w="6720" w:type="dxa"/>
            <w:vAlign w:val="bottom"/>
            <w:shd w:val="clear" w:color="auto" w:fill="CCEEFF"/>
          </w:tcPr>
          <w:p>
            <w:pPr>
              <w:ind w:left="720"/>
              <w:spacing w:after="0"/>
              <w:rPr>
                <w:sz w:val="20"/>
                <w:szCs w:val="20"/>
                <w:color w:val="auto"/>
              </w:rPr>
            </w:pPr>
            <w:r>
              <w:rPr>
                <w:rFonts w:ascii="Arial" w:cs="Arial" w:eastAsia="Arial" w:hAnsi="Arial"/>
                <w:sz w:val="18"/>
                <w:szCs w:val="18"/>
                <w:color w:val="auto"/>
              </w:rPr>
              <w:t>Net deferred tax liabilities</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4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5,338</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6,401</w:t>
            </w:r>
          </w:p>
        </w:tc>
      </w:tr>
      <w:tr>
        <w:trPr>
          <w:trHeight w:val="20"/>
        </w:trPr>
        <w:tc>
          <w:tcPr>
            <w:tcW w:w="67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15" w:lineRule="exact"/>
        <w:rPr>
          <w:sz w:val="20"/>
          <w:szCs w:val="20"/>
          <w:color w:val="auto"/>
        </w:rPr>
      </w:pPr>
    </w:p>
    <w:p>
      <w:pPr>
        <w:ind w:right="20" w:firstLine="440"/>
        <w:spacing w:after="0" w:line="273" w:lineRule="auto"/>
        <w:rPr>
          <w:sz w:val="20"/>
          <w:szCs w:val="20"/>
          <w:color w:val="auto"/>
        </w:rPr>
      </w:pPr>
      <w:r>
        <w:rPr>
          <w:rFonts w:ascii="Arial" w:cs="Arial" w:eastAsia="Arial" w:hAnsi="Arial"/>
          <w:sz w:val="17"/>
          <w:szCs w:val="17"/>
          <w:color w:val="auto"/>
        </w:rPr>
        <w:t>In assessing the extent to which deferred tax assets are realizable, the Company’s management considers whether it is more likely than not that the deferred tax assets will be realized. The ultimate realization of deferred tax assets is dependent upon the generation of future taxable income during the periods in which those temporary differences become deductible. The Company’s management considers the projected future reversal of taxable temporary items for making this assessment. Based upon the projections for the reversal of taxable temporary items over the periods in which the deferred tax assets are deductible, the Company’s management believes it is more likely than not the Company will not realize a portion of the benefits of these deductible differences, thus a valuation allowance has been provided.</w:t>
      </w:r>
    </w:p>
    <w:p>
      <w:pPr>
        <w:spacing w:after="0" w:line="178" w:lineRule="exact"/>
        <w:rPr>
          <w:sz w:val="20"/>
          <w:szCs w:val="20"/>
          <w:color w:val="auto"/>
        </w:rPr>
      </w:pPr>
    </w:p>
    <w:p>
      <w:pPr>
        <w:ind w:right="80" w:firstLine="440"/>
        <w:spacing w:after="0" w:line="277" w:lineRule="auto"/>
        <w:rPr>
          <w:sz w:val="20"/>
          <w:szCs w:val="20"/>
          <w:color w:val="auto"/>
        </w:rPr>
      </w:pPr>
      <w:r>
        <w:rPr>
          <w:rFonts w:ascii="Arial" w:cs="Arial" w:eastAsia="Arial" w:hAnsi="Arial"/>
          <w:sz w:val="18"/>
          <w:szCs w:val="18"/>
          <w:color w:val="auto"/>
        </w:rPr>
        <w:t>On March 27, 2020, the U.S. government enacted the Coronavirus Aid, Relief and Economic Security Act (“CARES Act”). The enactment of the CARES Act does not result in any material adjustments to the Company’s provision for income taxes.</w:t>
      </w:r>
    </w:p>
    <w:p>
      <w:pPr>
        <w:spacing w:after="0" w:line="170" w:lineRule="exact"/>
        <w:rPr>
          <w:sz w:val="20"/>
          <w:szCs w:val="20"/>
          <w:color w:val="auto"/>
        </w:rPr>
      </w:pPr>
    </w:p>
    <w:p>
      <w:pPr>
        <w:ind w:firstLine="440"/>
        <w:spacing w:after="0" w:line="287" w:lineRule="auto"/>
        <w:rPr>
          <w:sz w:val="20"/>
          <w:szCs w:val="20"/>
          <w:color w:val="auto"/>
        </w:rPr>
      </w:pPr>
      <w:r>
        <w:rPr>
          <w:rFonts w:ascii="Arial" w:cs="Arial" w:eastAsia="Arial" w:hAnsi="Arial"/>
          <w:sz w:val="16"/>
          <w:szCs w:val="16"/>
          <w:color w:val="auto"/>
        </w:rPr>
        <w:t>The Company has U.S. federal net operating loss carry-forwards of $106,151 that will begin to expire from December 31, 2021 through December 31, 2037 if not utilized and $25,279 with no expiration date. The Company expects to utilize the net operating loss carry-forwards prior to their expiration, net of the valuation allowance. In the United States, utilization of net operating loss carry-forwards for federal income tax purposes may be subject to a substantial annual limitation if there is an ownership change within the meaning of Section 382 of the Internal Revenue Code. In general, an ownership change within the meaning of Section 382 occurs if a transaction or series of transactions over a three-year period result in a cumulative change of more than 50% in the beneficial ownership of a company’s stock. The Company’s management does not believe the Company has a limitation on the ability to utilize its net operating loss carry-forwards under Section 382 as of December 31, 2020. However, issuances, sales and/or exchanges of the Company’s stock (including, potentially, relatively small transactions and transactions beyond the Company’s control) occurring after December 31, 2020, taken together with prior transactions with respect to the Company’s stock over a three-year period, could trigger an ownership change under Section 382 in the future and therefore a limitation on the Company’s ability to utilize its net operating loss carryforwards. Any such limitation could cause some loss carryforwards to expire before the Company would be able to utilize them to reduce taxable income in future periods, possibly resulting in a substantial income tax expense or write down of the Company’s tax assets or both.</w:t>
      </w:r>
    </w:p>
    <w:p>
      <w:pPr>
        <w:spacing w:after="0" w:line="168" w:lineRule="exact"/>
        <w:rPr>
          <w:sz w:val="20"/>
          <w:szCs w:val="20"/>
          <w:color w:val="auto"/>
        </w:rPr>
      </w:pPr>
    </w:p>
    <w:p>
      <w:pPr>
        <w:ind w:firstLine="440"/>
        <w:spacing w:after="0" w:line="301" w:lineRule="auto"/>
        <w:rPr>
          <w:sz w:val="20"/>
          <w:szCs w:val="20"/>
          <w:color w:val="auto"/>
        </w:rPr>
      </w:pPr>
      <w:r>
        <w:rPr>
          <w:rFonts w:ascii="Arial" w:cs="Arial" w:eastAsia="Arial" w:hAnsi="Arial"/>
          <w:sz w:val="16"/>
          <w:szCs w:val="16"/>
          <w:color w:val="auto"/>
        </w:rPr>
        <w:t>The accompanying consolidated financial statements do not reflect the income taxes that would be payable to foreign taxing jurisdictions if the earnings of a group of corporations operating in those jurisdictions were to be transferred out of such jurisdictions, because such earnings are intended to be permanently reinvested in those countries. At December 31, 2020, cumulative earnings of approximately $41,441 would be subject to income taxes of approximately $12,432 if such earnings of foreign corporations were transferred out of such jurisdictions in the form of dividends.</w:t>
      </w:r>
    </w:p>
    <w:p>
      <w:pPr>
        <w:spacing w:after="0" w:line="157" w:lineRule="exact"/>
        <w:rPr>
          <w:sz w:val="20"/>
          <w:szCs w:val="20"/>
          <w:color w:val="auto"/>
        </w:rPr>
      </w:pPr>
    </w:p>
    <w:p>
      <w:pPr>
        <w:ind w:right="40" w:firstLine="440"/>
        <w:spacing w:after="0" w:line="259" w:lineRule="auto"/>
        <w:rPr>
          <w:sz w:val="20"/>
          <w:szCs w:val="20"/>
          <w:color w:val="auto"/>
        </w:rPr>
      </w:pPr>
      <w:r>
        <w:rPr>
          <w:rFonts w:ascii="Arial" w:cs="Arial" w:eastAsia="Arial" w:hAnsi="Arial"/>
          <w:sz w:val="18"/>
          <w:szCs w:val="18"/>
          <w:color w:val="auto"/>
        </w:rPr>
        <w:t>The Company’s foreign tax returns, including the United States, State of California, State of New Jersey, State of Texas, Malaysia, Singapore, and United Kingdom, are subject to examination by the various tax authorities. The Company’s foreign tax returns are no longer subject to examinations by taxing authorities for years before 2015, except for its United States and State of California tax returns which are no longer subject to examinations for years before 2011 and 2008, respectively.</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F-35</w:t>
      </w:r>
    </w:p>
    <w:p>
      <w:pPr>
        <w:sectPr>
          <w:pgSz w:w="11900" w:h="16838" w:orient="portrait"/>
          <w:cols w:equalWidth="0" w:num="1">
            <w:col w:w="11000"/>
          </w:cols>
          <w:pgMar w:left="440" w:top="274" w:right="459" w:bottom="1440" w:gutter="0" w:footer="0" w:header="0"/>
        </w:sectPr>
      </w:pPr>
    </w:p>
    <w:bookmarkStart w:id="149" w:name="page150"/>
    <w:bookmarkEnd w:id="149"/>
    <w:p>
      <w:pPr>
        <w:ind w:left="44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 reconciliation of the beginning and ending unrecognized tax benefit amounts for 2020 and 2019 are as follows:</w:t>
      </w:r>
    </w:p>
    <w:p>
      <w:pPr>
        <w:spacing w:after="0" w:line="266" w:lineRule="exact"/>
        <w:rPr>
          <w:sz w:val="20"/>
          <w:szCs w:val="20"/>
          <w:color w:val="auto"/>
        </w:rPr>
      </w:pPr>
    </w:p>
    <w:tbl>
      <w:tblPr>
        <w:tblLayout w:type="fixed"/>
        <w:tblInd w:w="1764" w:type="dxa"/>
        <w:tblCellMar>
          <w:top w:w="0" w:type="dxa"/>
          <w:left w:w="0" w:type="dxa"/>
          <w:bottom w:w="0" w:type="dxa"/>
          <w:right w:w="0" w:type="dxa"/>
        </w:tblCellMar>
      </w:tblPr>
      <w:tr>
        <w:trPr>
          <w:trHeight w:val="216"/>
        </w:trPr>
        <w:tc>
          <w:tcPr>
            <w:tcW w:w="50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Balance at December 31, 2018</w:t>
            </w:r>
          </w:p>
        </w:tc>
        <w:tc>
          <w:tcPr>
            <w:tcW w:w="246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$18,145</w:t>
            </w:r>
          </w:p>
        </w:tc>
      </w:tr>
      <w:tr>
        <w:trPr>
          <w:trHeight w:val="216"/>
        </w:trPr>
        <w:tc>
          <w:tcPr>
            <w:tcW w:w="5020" w:type="dxa"/>
            <w:vAlign w:val="bottom"/>
          </w:tcPr>
          <w:p>
            <w:pPr>
              <w:spacing w:after="0"/>
              <w:rPr>
                <w:sz w:val="20"/>
                <w:szCs w:val="20"/>
                <w:color w:val="auto"/>
              </w:rPr>
            </w:pPr>
            <w:r>
              <w:rPr>
                <w:rFonts w:ascii="Arial" w:cs="Arial" w:eastAsia="Arial" w:hAnsi="Arial"/>
                <w:sz w:val="18"/>
                <w:szCs w:val="18"/>
                <w:color w:val="auto"/>
              </w:rPr>
              <w:t>Decreases related to prior year tax positions</w:t>
            </w:r>
          </w:p>
        </w:tc>
        <w:tc>
          <w:tcPr>
            <w:tcW w:w="2460" w:type="dxa"/>
            <w:vAlign w:val="bottom"/>
            <w:gridSpan w:val="3"/>
          </w:tcPr>
          <w:p>
            <w:pPr>
              <w:jc w:val="right"/>
              <w:ind w:right="40"/>
              <w:spacing w:after="0"/>
              <w:rPr>
                <w:sz w:val="20"/>
                <w:szCs w:val="20"/>
                <w:color w:val="auto"/>
              </w:rPr>
            </w:pPr>
            <w:r>
              <w:rPr>
                <w:rFonts w:ascii="Arial" w:cs="Arial" w:eastAsia="Arial" w:hAnsi="Arial"/>
                <w:sz w:val="18"/>
                <w:szCs w:val="18"/>
                <w:color w:val="auto"/>
              </w:rPr>
              <w:t>(82)</w:t>
            </w:r>
          </w:p>
        </w:tc>
      </w:tr>
      <w:tr>
        <w:trPr>
          <w:trHeight w:val="216"/>
        </w:trPr>
        <w:tc>
          <w:tcPr>
            <w:tcW w:w="5020" w:type="dxa"/>
            <w:vAlign w:val="bottom"/>
            <w:shd w:val="clear" w:color="auto" w:fill="CCEEFF"/>
          </w:tcPr>
          <w:p>
            <w:pPr>
              <w:spacing w:after="0"/>
              <w:rPr>
                <w:sz w:val="20"/>
                <w:szCs w:val="20"/>
                <w:color w:val="auto"/>
              </w:rPr>
            </w:pPr>
            <w:r>
              <w:rPr>
                <w:rFonts w:ascii="Arial" w:cs="Arial" w:eastAsia="Arial" w:hAnsi="Arial"/>
                <w:sz w:val="18"/>
                <w:szCs w:val="18"/>
                <w:color w:val="auto"/>
              </w:rPr>
              <w:t>Increases related to current year tax positions</w:t>
            </w:r>
          </w:p>
        </w:tc>
        <w:tc>
          <w:tcPr>
            <w:tcW w:w="246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2,922</w:t>
            </w:r>
          </w:p>
        </w:tc>
      </w:tr>
      <w:tr>
        <w:trPr>
          <w:trHeight w:val="223"/>
        </w:trPr>
        <w:tc>
          <w:tcPr>
            <w:tcW w:w="5020" w:type="dxa"/>
            <w:vAlign w:val="bottom"/>
          </w:tcPr>
          <w:p>
            <w:pPr>
              <w:spacing w:after="0"/>
              <w:rPr>
                <w:sz w:val="20"/>
                <w:szCs w:val="20"/>
                <w:color w:val="auto"/>
              </w:rPr>
            </w:pPr>
            <w:r>
              <w:rPr>
                <w:rFonts w:ascii="Arial" w:cs="Arial" w:eastAsia="Arial" w:hAnsi="Arial"/>
                <w:sz w:val="18"/>
                <w:szCs w:val="18"/>
                <w:color w:val="auto"/>
              </w:rPr>
              <w:t>Lapse of statute of limitations</w:t>
            </w:r>
          </w:p>
        </w:tc>
        <w:tc>
          <w:tcPr>
            <w:tcW w:w="1760" w:type="dxa"/>
            <w:vAlign w:val="bottom"/>
          </w:tcPr>
          <w:p>
            <w:pPr>
              <w:spacing w:after="0"/>
              <w:rPr>
                <w:sz w:val="19"/>
                <w:szCs w:val="19"/>
                <w:color w:val="auto"/>
              </w:rPr>
            </w:pPr>
          </w:p>
        </w:tc>
        <w:tc>
          <w:tcPr>
            <w:tcW w:w="700" w:type="dxa"/>
            <w:vAlign w:val="bottom"/>
            <w:gridSpan w:val="2"/>
          </w:tcPr>
          <w:p>
            <w:pPr>
              <w:jc w:val="right"/>
              <w:ind w:right="40"/>
              <w:spacing w:after="0"/>
              <w:rPr>
                <w:sz w:val="20"/>
                <w:szCs w:val="20"/>
                <w:color w:val="auto"/>
              </w:rPr>
            </w:pPr>
            <w:r>
              <w:rPr>
                <w:rFonts w:ascii="Arial" w:cs="Arial" w:eastAsia="Arial" w:hAnsi="Arial"/>
                <w:sz w:val="18"/>
                <w:szCs w:val="18"/>
                <w:color w:val="auto"/>
              </w:rPr>
              <w:t>(1,343)</w:t>
            </w:r>
          </w:p>
        </w:tc>
      </w:tr>
      <w:tr>
        <w:trPr>
          <w:trHeight w:val="216"/>
        </w:trPr>
        <w:tc>
          <w:tcPr>
            <w:tcW w:w="50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Balance at December 31, 2019</w:t>
            </w:r>
          </w:p>
        </w:tc>
        <w:tc>
          <w:tcPr>
            <w:tcW w:w="1760" w:type="dxa"/>
            <w:vAlign w:val="bottom"/>
            <w:shd w:val="clear" w:color="auto" w:fill="CCEEFF"/>
          </w:tcPr>
          <w:p>
            <w:pPr>
              <w:spacing w:after="0"/>
              <w:rPr>
                <w:sz w:val="18"/>
                <w:szCs w:val="18"/>
                <w:color w:val="auto"/>
              </w:rPr>
            </w:pPr>
          </w:p>
        </w:tc>
        <w:tc>
          <w:tcPr>
            <w:tcW w:w="6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9"/>
              </w:rPr>
              <w:t>$19,642</w:t>
            </w:r>
          </w:p>
        </w:tc>
        <w:tc>
          <w:tcPr>
            <w:tcW w:w="100" w:type="dxa"/>
            <w:vAlign w:val="bottom"/>
            <w:shd w:val="clear" w:color="auto" w:fill="CCEEFF"/>
          </w:tcPr>
          <w:p>
            <w:pPr>
              <w:spacing w:after="0"/>
              <w:rPr>
                <w:sz w:val="18"/>
                <w:szCs w:val="18"/>
                <w:color w:val="auto"/>
              </w:rPr>
            </w:pPr>
          </w:p>
        </w:tc>
      </w:tr>
      <w:tr>
        <w:trPr>
          <w:trHeight w:val="216"/>
        </w:trPr>
        <w:tc>
          <w:tcPr>
            <w:tcW w:w="5020" w:type="dxa"/>
            <w:vAlign w:val="bottom"/>
          </w:tcPr>
          <w:p>
            <w:pPr>
              <w:spacing w:after="0"/>
              <w:rPr>
                <w:sz w:val="20"/>
                <w:szCs w:val="20"/>
                <w:color w:val="auto"/>
              </w:rPr>
            </w:pPr>
            <w:r>
              <w:rPr>
                <w:rFonts w:ascii="Arial" w:cs="Arial" w:eastAsia="Arial" w:hAnsi="Arial"/>
                <w:sz w:val="18"/>
                <w:szCs w:val="18"/>
                <w:color w:val="auto"/>
              </w:rPr>
              <w:t>Increases related to prior year tax positions</w:t>
            </w:r>
          </w:p>
        </w:tc>
        <w:tc>
          <w:tcPr>
            <w:tcW w:w="2460" w:type="dxa"/>
            <w:vAlign w:val="bottom"/>
            <w:gridSpan w:val="3"/>
          </w:tcPr>
          <w:p>
            <w:pPr>
              <w:jc w:val="right"/>
              <w:ind w:right="100"/>
              <w:spacing w:after="0"/>
              <w:rPr>
                <w:sz w:val="20"/>
                <w:szCs w:val="20"/>
                <w:color w:val="auto"/>
              </w:rPr>
            </w:pPr>
            <w:r>
              <w:rPr>
                <w:rFonts w:ascii="Arial" w:cs="Arial" w:eastAsia="Arial" w:hAnsi="Arial"/>
                <w:sz w:val="18"/>
                <w:szCs w:val="18"/>
                <w:color w:val="auto"/>
              </w:rPr>
              <w:t>19</w:t>
            </w:r>
          </w:p>
        </w:tc>
      </w:tr>
      <w:tr>
        <w:trPr>
          <w:trHeight w:val="216"/>
        </w:trPr>
        <w:tc>
          <w:tcPr>
            <w:tcW w:w="5020" w:type="dxa"/>
            <w:vAlign w:val="bottom"/>
            <w:shd w:val="clear" w:color="auto" w:fill="CCEEFF"/>
          </w:tcPr>
          <w:p>
            <w:pPr>
              <w:spacing w:after="0"/>
              <w:rPr>
                <w:sz w:val="20"/>
                <w:szCs w:val="20"/>
                <w:color w:val="auto"/>
              </w:rPr>
            </w:pPr>
            <w:r>
              <w:rPr>
                <w:rFonts w:ascii="Arial" w:cs="Arial" w:eastAsia="Arial" w:hAnsi="Arial"/>
                <w:sz w:val="18"/>
                <w:szCs w:val="18"/>
                <w:color w:val="auto"/>
              </w:rPr>
              <w:t>Increases related to current year tax positions</w:t>
            </w:r>
          </w:p>
        </w:tc>
        <w:tc>
          <w:tcPr>
            <w:tcW w:w="246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2,357</w:t>
            </w:r>
          </w:p>
        </w:tc>
      </w:tr>
      <w:tr>
        <w:trPr>
          <w:trHeight w:val="223"/>
        </w:trPr>
        <w:tc>
          <w:tcPr>
            <w:tcW w:w="5020" w:type="dxa"/>
            <w:vAlign w:val="bottom"/>
          </w:tcPr>
          <w:p>
            <w:pPr>
              <w:spacing w:after="0"/>
              <w:rPr>
                <w:sz w:val="20"/>
                <w:szCs w:val="20"/>
                <w:color w:val="auto"/>
              </w:rPr>
            </w:pPr>
            <w:r>
              <w:rPr>
                <w:rFonts w:ascii="Arial" w:cs="Arial" w:eastAsia="Arial" w:hAnsi="Arial"/>
                <w:sz w:val="18"/>
                <w:szCs w:val="18"/>
                <w:color w:val="auto"/>
              </w:rPr>
              <w:t>Lapse of statute of limitations</w:t>
            </w:r>
          </w:p>
        </w:tc>
        <w:tc>
          <w:tcPr>
            <w:tcW w:w="1760" w:type="dxa"/>
            <w:vAlign w:val="bottom"/>
          </w:tcPr>
          <w:p>
            <w:pPr>
              <w:spacing w:after="0"/>
              <w:rPr>
                <w:sz w:val="19"/>
                <w:szCs w:val="19"/>
                <w:color w:val="auto"/>
              </w:rPr>
            </w:pPr>
          </w:p>
        </w:tc>
        <w:tc>
          <w:tcPr>
            <w:tcW w:w="700" w:type="dxa"/>
            <w:vAlign w:val="bottom"/>
            <w:gridSpan w:val="2"/>
          </w:tcPr>
          <w:p>
            <w:pPr>
              <w:jc w:val="right"/>
              <w:ind w:right="40"/>
              <w:spacing w:after="0"/>
              <w:rPr>
                <w:sz w:val="20"/>
                <w:szCs w:val="20"/>
                <w:color w:val="auto"/>
              </w:rPr>
            </w:pPr>
            <w:r>
              <w:rPr>
                <w:rFonts w:ascii="Arial" w:cs="Arial" w:eastAsia="Arial" w:hAnsi="Arial"/>
                <w:sz w:val="18"/>
                <w:szCs w:val="18"/>
                <w:color w:val="auto"/>
              </w:rPr>
              <w:t>(1,444)</w:t>
            </w:r>
          </w:p>
        </w:tc>
      </w:tr>
      <w:tr>
        <w:trPr>
          <w:trHeight w:val="216"/>
        </w:trPr>
        <w:tc>
          <w:tcPr>
            <w:tcW w:w="50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Balance at December 31, 2020</w:t>
            </w:r>
          </w:p>
        </w:tc>
        <w:tc>
          <w:tcPr>
            <w:tcW w:w="1760" w:type="dxa"/>
            <w:vAlign w:val="bottom"/>
            <w:shd w:val="clear" w:color="auto" w:fill="CCEEFF"/>
          </w:tcPr>
          <w:p>
            <w:pPr>
              <w:spacing w:after="0"/>
              <w:rPr>
                <w:sz w:val="18"/>
                <w:szCs w:val="18"/>
                <w:color w:val="auto"/>
              </w:rPr>
            </w:pPr>
          </w:p>
        </w:tc>
        <w:tc>
          <w:tcPr>
            <w:tcW w:w="6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20,575</w:t>
            </w:r>
          </w:p>
        </w:tc>
        <w:tc>
          <w:tcPr>
            <w:tcW w:w="100" w:type="dxa"/>
            <w:vAlign w:val="bottom"/>
            <w:shd w:val="clear" w:color="auto" w:fill="CCEEFF"/>
          </w:tcPr>
          <w:p>
            <w:pPr>
              <w:spacing w:after="0"/>
              <w:rPr>
                <w:sz w:val="18"/>
                <w:szCs w:val="18"/>
                <w:color w:val="auto"/>
              </w:rPr>
            </w:pPr>
          </w:p>
        </w:tc>
      </w:tr>
      <w:tr>
        <w:trPr>
          <w:trHeight w:val="20"/>
        </w:trPr>
        <w:tc>
          <w:tcPr>
            <w:tcW w:w="5020" w:type="dxa"/>
            <w:vAlign w:val="bottom"/>
          </w:tcPr>
          <w:p>
            <w:pPr>
              <w:spacing w:after="0" w:line="20" w:lineRule="exact"/>
              <w:rPr>
                <w:sz w:val="1"/>
                <w:szCs w:val="1"/>
                <w:color w:val="auto"/>
              </w:rPr>
            </w:pPr>
          </w:p>
        </w:tc>
        <w:tc>
          <w:tcPr>
            <w:tcW w:w="1760" w:type="dxa"/>
            <w:vAlign w:val="bottom"/>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15" w:lineRule="exact"/>
        <w:rPr>
          <w:sz w:val="20"/>
          <w:szCs w:val="20"/>
          <w:color w:val="auto"/>
        </w:rPr>
      </w:pPr>
    </w:p>
    <w:p>
      <w:pPr>
        <w:ind w:left="4" w:right="260" w:firstLine="440"/>
        <w:spacing w:after="0" w:line="286" w:lineRule="auto"/>
        <w:rPr>
          <w:sz w:val="20"/>
          <w:szCs w:val="20"/>
          <w:color w:val="auto"/>
        </w:rPr>
      </w:pPr>
      <w:r>
        <w:rPr>
          <w:rFonts w:ascii="Arial" w:cs="Arial" w:eastAsia="Arial" w:hAnsi="Arial"/>
          <w:sz w:val="17"/>
          <w:szCs w:val="17"/>
          <w:color w:val="auto"/>
        </w:rPr>
        <w:t>If the unrecognized tax benefits of $20,575 at December 31, 20120 were recognized, tax benefits in the amount of $20,511 would reduce our annual effective tax rate. The Company believes the total amount of unrecognized tax benefit as of December 31, 2020 will decrease by $1,457 in the next twelve months due to expiration of the statute of limitations, which would reduce our annual effective tax rate.</w:t>
      </w:r>
    </w:p>
    <w:p>
      <w:pPr>
        <w:spacing w:after="0" w:line="165" w:lineRule="exact"/>
        <w:rPr>
          <w:sz w:val="20"/>
          <w:szCs w:val="20"/>
          <w:color w:val="auto"/>
        </w:rPr>
      </w:pPr>
    </w:p>
    <w:p>
      <w:pPr>
        <w:ind w:left="4" w:right="380" w:firstLine="440"/>
        <w:spacing w:after="0" w:line="342" w:lineRule="auto"/>
        <w:rPr>
          <w:sz w:val="20"/>
          <w:szCs w:val="20"/>
          <w:color w:val="auto"/>
        </w:rPr>
      </w:pPr>
      <w:r>
        <w:rPr>
          <w:rFonts w:ascii="Arial" w:cs="Arial" w:eastAsia="Arial" w:hAnsi="Arial"/>
          <w:sz w:val="16"/>
          <w:szCs w:val="16"/>
          <w:color w:val="auto"/>
        </w:rPr>
        <w:t>Interest and penalty expense recorded during 2020, 2019 and 2018 amounted to $(11), $182 and $180, respectively. Total accrued interest and penalties as of December 31, 2020 and 2019 were $1,460 and $1,470, respectively, and were included in non-current income taxes payable.</w:t>
      </w:r>
    </w:p>
    <w:p>
      <w:pPr>
        <w:spacing w:after="0" w:line="228"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(8) Debt</w:t>
      </w:r>
    </w:p>
    <w:p>
      <w:pPr>
        <w:spacing w:after="0" w:line="121" w:lineRule="exact"/>
        <w:rPr>
          <w:sz w:val="20"/>
          <w:szCs w:val="20"/>
          <w:color w:val="auto"/>
        </w:rPr>
      </w:pPr>
    </w:p>
    <w:p>
      <w:pPr>
        <w:ind w:left="444"/>
        <w:spacing w:after="0"/>
        <w:rPr>
          <w:sz w:val="20"/>
          <w:szCs w:val="20"/>
          <w:color w:val="auto"/>
        </w:rPr>
      </w:pPr>
      <w:r>
        <w:rPr>
          <w:rFonts w:ascii="Arial" w:cs="Arial" w:eastAsia="Arial" w:hAnsi="Arial"/>
          <w:sz w:val="18"/>
          <w:szCs w:val="18"/>
          <w:color w:val="auto"/>
        </w:rPr>
        <w:t>The following represents the Company’s debt obligations as of December 31, 2020 and 2019:</w:t>
      </w:r>
    </w:p>
    <w:p>
      <w:pPr>
        <w:spacing w:after="0" w:line="244" w:lineRule="exact"/>
        <w:rPr>
          <w:sz w:val="20"/>
          <w:szCs w:val="20"/>
          <w:color w:val="auto"/>
        </w:rPr>
      </w:pPr>
    </w:p>
    <w:tbl>
      <w:tblPr>
        <w:tblLayout w:type="fixed"/>
        <w:tblInd w:w="4" w:type="dxa"/>
        <w:tblCellMar>
          <w:top w:w="0" w:type="dxa"/>
          <w:left w:w="0" w:type="dxa"/>
          <w:bottom w:w="0" w:type="dxa"/>
          <w:right w:w="0" w:type="dxa"/>
        </w:tblCellMar>
      </w:tblPr>
      <w:tr>
        <w:trPr>
          <w:trHeight w:val="171"/>
        </w:trPr>
        <w:tc>
          <w:tcPr>
            <w:tcW w:w="564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980" w:type="dxa"/>
            <w:vAlign w:val="bottom"/>
            <w:tcBorders>
              <w:bottom w:val="single" w:sz="8" w:color="auto"/>
            </w:tcBorders>
            <w:gridSpan w:val="2"/>
          </w:tcPr>
          <w:p>
            <w:pPr>
              <w:jc w:val="right"/>
              <w:ind w:right="140"/>
              <w:spacing w:after="0"/>
              <w:rPr>
                <w:sz w:val="20"/>
                <w:szCs w:val="20"/>
                <w:color w:val="auto"/>
              </w:rPr>
            </w:pPr>
            <w:r>
              <w:rPr>
                <w:rFonts w:ascii="Arial" w:cs="Arial" w:eastAsia="Arial" w:hAnsi="Arial"/>
                <w:sz w:val="14"/>
                <w:szCs w:val="14"/>
                <w:b w:val="1"/>
                <w:bCs w:val="1"/>
                <w:color w:val="auto"/>
              </w:rPr>
              <w:t>2020</w:t>
            </w:r>
          </w:p>
        </w:tc>
        <w:tc>
          <w:tcPr>
            <w:tcW w:w="520" w:type="dxa"/>
            <w:vAlign w:val="bottom"/>
            <w:tcBorders>
              <w:bottom w:val="single" w:sz="8" w:color="auto"/>
            </w:tcBorders>
          </w:tcPr>
          <w:p>
            <w:pPr>
              <w:spacing w:after="0"/>
              <w:rPr>
                <w:sz w:val="14"/>
                <w:szCs w:val="14"/>
                <w:color w:val="auto"/>
              </w:rPr>
            </w:pPr>
          </w:p>
        </w:tc>
        <w:tc>
          <w:tcPr>
            <w:tcW w:w="2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980" w:type="dxa"/>
            <w:vAlign w:val="bottom"/>
            <w:tcBorders>
              <w:bottom w:val="single" w:sz="8" w:color="auto"/>
            </w:tcBorders>
            <w:gridSpan w:val="2"/>
          </w:tcPr>
          <w:p>
            <w:pPr>
              <w:jc w:val="right"/>
              <w:ind w:right="140"/>
              <w:spacing w:after="0"/>
              <w:rPr>
                <w:sz w:val="20"/>
                <w:szCs w:val="20"/>
                <w:color w:val="auto"/>
              </w:rPr>
            </w:pPr>
            <w:r>
              <w:rPr>
                <w:rFonts w:ascii="Arial" w:cs="Arial" w:eastAsia="Arial" w:hAnsi="Arial"/>
                <w:sz w:val="14"/>
                <w:szCs w:val="14"/>
                <w:b w:val="1"/>
                <w:bCs w:val="1"/>
                <w:color w:val="auto"/>
              </w:rPr>
              <w:t>2019</w:t>
            </w:r>
          </w:p>
        </w:tc>
        <w:tc>
          <w:tcPr>
            <w:tcW w:w="520" w:type="dxa"/>
            <w:vAlign w:val="bottom"/>
            <w:tcBorders>
              <w:bottom w:val="single" w:sz="8" w:color="auto"/>
            </w:tcBorders>
          </w:tcPr>
          <w:p>
            <w:pPr>
              <w:spacing w:after="0"/>
              <w:rPr>
                <w:sz w:val="14"/>
                <w:szCs w:val="14"/>
                <w:color w:val="auto"/>
              </w:rPr>
            </w:pPr>
          </w:p>
        </w:tc>
        <w:tc>
          <w:tcPr>
            <w:tcW w:w="400" w:type="dxa"/>
            <w:vAlign w:val="bottom"/>
          </w:tcPr>
          <w:p>
            <w:pPr>
              <w:spacing w:after="0"/>
              <w:rPr>
                <w:sz w:val="14"/>
                <w:szCs w:val="14"/>
                <w:color w:val="auto"/>
              </w:rPr>
            </w:pPr>
          </w:p>
        </w:tc>
        <w:tc>
          <w:tcPr>
            <w:tcW w:w="14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5640" w:type="dxa"/>
            <w:vAlign w:val="bottom"/>
          </w:tcPr>
          <w:p>
            <w:pPr>
              <w:spacing w:after="0"/>
              <w:rPr>
                <w:sz w:val="10"/>
                <w:szCs w:val="10"/>
                <w:color w:val="auto"/>
              </w:rPr>
            </w:pPr>
          </w:p>
        </w:tc>
        <w:tc>
          <w:tcPr>
            <w:tcW w:w="820" w:type="dxa"/>
            <w:vAlign w:val="bottom"/>
            <w:gridSpan w:val="2"/>
            <w:vMerge w:val="restart"/>
          </w:tcPr>
          <w:p>
            <w:pPr>
              <w:ind w:left="20"/>
              <w:spacing w:after="0"/>
              <w:rPr>
                <w:sz w:val="20"/>
                <w:szCs w:val="20"/>
                <w:color w:val="auto"/>
              </w:rPr>
            </w:pPr>
            <w:r>
              <w:rPr>
                <w:rFonts w:ascii="Arial" w:cs="Arial" w:eastAsia="Arial" w:hAnsi="Arial"/>
                <w:sz w:val="14"/>
                <w:szCs w:val="14"/>
                <w:b w:val="1"/>
                <w:bCs w:val="1"/>
                <w:color w:val="auto"/>
                <w:w w:val="94"/>
              </w:rPr>
              <w:t>Outstanding</w:t>
            </w:r>
          </w:p>
        </w:tc>
        <w:tc>
          <w:tcPr>
            <w:tcW w:w="260" w:type="dxa"/>
            <w:vAlign w:val="bottom"/>
            <w:vMerge w:val="restart"/>
          </w:tcPr>
          <w:p>
            <w:pPr>
              <w:spacing w:after="0"/>
              <w:rPr>
                <w:sz w:val="10"/>
                <w:szCs w:val="10"/>
                <w:color w:val="auto"/>
              </w:rPr>
            </w:pPr>
          </w:p>
        </w:tc>
        <w:tc>
          <w:tcPr>
            <w:tcW w:w="520" w:type="dxa"/>
            <w:vAlign w:val="bottom"/>
          </w:tcPr>
          <w:p>
            <w:pPr>
              <w:spacing w:after="0" w:line="119" w:lineRule="exact"/>
              <w:rPr>
                <w:sz w:val="20"/>
                <w:szCs w:val="20"/>
                <w:color w:val="auto"/>
              </w:rPr>
            </w:pPr>
            <w:r>
              <w:rPr>
                <w:rFonts w:ascii="Arial" w:cs="Arial" w:eastAsia="Arial" w:hAnsi="Arial"/>
                <w:sz w:val="13"/>
                <w:szCs w:val="13"/>
                <w:b w:val="1"/>
                <w:bCs w:val="1"/>
                <w:color w:val="auto"/>
                <w:w w:val="97"/>
              </w:rPr>
              <w:t>Average</w:t>
            </w:r>
          </w:p>
        </w:tc>
        <w:tc>
          <w:tcPr>
            <w:tcW w:w="2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20" w:type="dxa"/>
            <w:vAlign w:val="bottom"/>
            <w:gridSpan w:val="2"/>
            <w:vMerge w:val="restart"/>
          </w:tcPr>
          <w:p>
            <w:pPr>
              <w:jc w:val="right"/>
              <w:spacing w:after="0"/>
              <w:rPr>
                <w:sz w:val="20"/>
                <w:szCs w:val="20"/>
                <w:color w:val="auto"/>
              </w:rPr>
            </w:pPr>
            <w:r>
              <w:rPr>
                <w:rFonts w:ascii="Arial" w:cs="Arial" w:eastAsia="Arial" w:hAnsi="Arial"/>
                <w:sz w:val="14"/>
                <w:szCs w:val="14"/>
                <w:b w:val="1"/>
                <w:bCs w:val="1"/>
                <w:color w:val="auto"/>
                <w:w w:val="94"/>
              </w:rPr>
              <w:t>Outstanding</w:t>
            </w:r>
          </w:p>
        </w:tc>
        <w:tc>
          <w:tcPr>
            <w:tcW w:w="260" w:type="dxa"/>
            <w:vAlign w:val="bottom"/>
            <w:vMerge w:val="restart"/>
          </w:tcPr>
          <w:p>
            <w:pPr>
              <w:spacing w:after="0"/>
              <w:rPr>
                <w:sz w:val="10"/>
                <w:szCs w:val="10"/>
                <w:color w:val="auto"/>
              </w:rPr>
            </w:pPr>
          </w:p>
        </w:tc>
        <w:tc>
          <w:tcPr>
            <w:tcW w:w="520" w:type="dxa"/>
            <w:vAlign w:val="bottom"/>
          </w:tcPr>
          <w:p>
            <w:pPr>
              <w:spacing w:after="0" w:line="119" w:lineRule="exact"/>
              <w:rPr>
                <w:sz w:val="20"/>
                <w:szCs w:val="20"/>
                <w:color w:val="auto"/>
              </w:rPr>
            </w:pPr>
            <w:r>
              <w:rPr>
                <w:rFonts w:ascii="Arial" w:cs="Arial" w:eastAsia="Arial" w:hAnsi="Arial"/>
                <w:sz w:val="13"/>
                <w:szCs w:val="13"/>
                <w:b w:val="1"/>
                <w:bCs w:val="1"/>
                <w:color w:val="auto"/>
                <w:w w:val="97"/>
              </w:rPr>
              <w:t>Average</w:t>
            </w:r>
          </w:p>
        </w:tc>
        <w:tc>
          <w:tcPr>
            <w:tcW w:w="400" w:type="dxa"/>
            <w:vAlign w:val="bottom"/>
          </w:tcPr>
          <w:p>
            <w:pPr>
              <w:spacing w:after="0"/>
              <w:rPr>
                <w:sz w:val="10"/>
                <w:szCs w:val="10"/>
                <w:color w:val="auto"/>
              </w:rPr>
            </w:pPr>
          </w:p>
        </w:tc>
        <w:tc>
          <w:tcPr>
            <w:tcW w:w="1400" w:type="dxa"/>
            <w:vAlign w:val="bottom"/>
            <w:vMerge w:val="restart"/>
          </w:tcPr>
          <w:p>
            <w:pPr>
              <w:jc w:val="right"/>
              <w:ind w:right="151"/>
              <w:spacing w:after="0"/>
              <w:rPr>
                <w:sz w:val="20"/>
                <w:szCs w:val="20"/>
                <w:color w:val="auto"/>
              </w:rPr>
            </w:pPr>
            <w:r>
              <w:rPr>
                <w:rFonts w:ascii="Arial" w:cs="Arial" w:eastAsia="Arial" w:hAnsi="Arial"/>
                <w:sz w:val="14"/>
                <w:szCs w:val="14"/>
                <w:b w:val="1"/>
                <w:bCs w:val="1"/>
                <w:color w:val="auto"/>
              </w:rPr>
              <w:t>Final Maturity</w:t>
            </w:r>
          </w:p>
        </w:tc>
        <w:tc>
          <w:tcPr>
            <w:tcW w:w="0" w:type="dxa"/>
            <w:vAlign w:val="bottom"/>
          </w:tcPr>
          <w:p>
            <w:pPr>
              <w:spacing w:after="0"/>
              <w:rPr>
                <w:sz w:val="1"/>
                <w:szCs w:val="1"/>
                <w:color w:val="auto"/>
              </w:rPr>
            </w:pPr>
          </w:p>
        </w:tc>
      </w:tr>
      <w:tr>
        <w:trPr>
          <w:trHeight w:val="171"/>
        </w:trPr>
        <w:tc>
          <w:tcPr>
            <w:tcW w:w="5640" w:type="dxa"/>
            <w:vAlign w:val="bottom"/>
            <w:tcBorders>
              <w:bottom w:val="single" w:sz="8" w:color="CCEEFF"/>
            </w:tcBorders>
          </w:tcPr>
          <w:p>
            <w:pPr>
              <w:spacing w:after="0"/>
              <w:rPr>
                <w:sz w:val="14"/>
                <w:szCs w:val="14"/>
                <w:color w:val="auto"/>
              </w:rPr>
            </w:pPr>
          </w:p>
        </w:tc>
        <w:tc>
          <w:tcPr>
            <w:tcW w:w="820" w:type="dxa"/>
            <w:vAlign w:val="bottom"/>
            <w:tcBorders>
              <w:bottom w:val="single" w:sz="8" w:color="auto"/>
            </w:tcBorders>
            <w:gridSpan w:val="2"/>
            <w:vMerge w:val="continue"/>
          </w:tcPr>
          <w:p>
            <w:pPr>
              <w:spacing w:after="0"/>
              <w:rPr>
                <w:sz w:val="14"/>
                <w:szCs w:val="14"/>
                <w:color w:val="auto"/>
              </w:rPr>
            </w:pPr>
          </w:p>
        </w:tc>
        <w:tc>
          <w:tcPr>
            <w:tcW w:w="260" w:type="dxa"/>
            <w:vAlign w:val="bottom"/>
            <w:tcBorders>
              <w:bottom w:val="single" w:sz="8" w:color="CCEEFF"/>
            </w:tcBorders>
            <w:vMerge w:val="continue"/>
          </w:tcPr>
          <w:p>
            <w:pPr>
              <w:spacing w:after="0"/>
              <w:rPr>
                <w:sz w:val="14"/>
                <w:szCs w:val="14"/>
                <w:color w:val="auto"/>
              </w:rPr>
            </w:pPr>
          </w:p>
        </w:tc>
        <w:tc>
          <w:tcPr>
            <w:tcW w:w="520" w:type="dxa"/>
            <w:vAlign w:val="bottom"/>
            <w:tcBorders>
              <w:bottom w:val="single" w:sz="8" w:color="auto"/>
            </w:tcBorders>
          </w:tcPr>
          <w:p>
            <w:pPr>
              <w:ind w:left="20"/>
              <w:spacing w:after="0"/>
              <w:rPr>
                <w:sz w:val="20"/>
                <w:szCs w:val="20"/>
                <w:color w:val="auto"/>
              </w:rPr>
            </w:pPr>
            <w:r>
              <w:rPr>
                <w:rFonts w:ascii="Arial" w:cs="Arial" w:eastAsia="Arial" w:hAnsi="Arial"/>
                <w:sz w:val="14"/>
                <w:szCs w:val="14"/>
                <w:b w:val="1"/>
                <w:bCs w:val="1"/>
                <w:color w:val="auto"/>
                <w:w w:val="94"/>
              </w:rPr>
              <w:t>Interest</w:t>
            </w:r>
          </w:p>
        </w:tc>
        <w:tc>
          <w:tcPr>
            <w:tcW w:w="260" w:type="dxa"/>
            <w:vAlign w:val="bottom"/>
            <w:tcBorders>
              <w:bottom w:val="single" w:sz="8" w:color="CCEEFF"/>
            </w:tcBorders>
          </w:tcPr>
          <w:p>
            <w:pPr>
              <w:spacing w:after="0"/>
              <w:rPr>
                <w:sz w:val="14"/>
                <w:szCs w:val="14"/>
                <w:color w:val="auto"/>
              </w:rPr>
            </w:pPr>
          </w:p>
        </w:tc>
        <w:tc>
          <w:tcPr>
            <w:tcW w:w="120" w:type="dxa"/>
            <w:vAlign w:val="bottom"/>
            <w:tcBorders>
              <w:bottom w:val="single" w:sz="8" w:color="CCEEFF"/>
            </w:tcBorders>
          </w:tcPr>
          <w:p>
            <w:pPr>
              <w:spacing w:after="0"/>
              <w:rPr>
                <w:sz w:val="14"/>
                <w:szCs w:val="14"/>
                <w:color w:val="auto"/>
              </w:rPr>
            </w:pPr>
          </w:p>
        </w:tc>
        <w:tc>
          <w:tcPr>
            <w:tcW w:w="820" w:type="dxa"/>
            <w:vAlign w:val="bottom"/>
            <w:tcBorders>
              <w:bottom w:val="single" w:sz="8" w:color="auto"/>
            </w:tcBorders>
            <w:gridSpan w:val="2"/>
            <w:vMerge w:val="continue"/>
          </w:tcPr>
          <w:p>
            <w:pPr>
              <w:spacing w:after="0"/>
              <w:rPr>
                <w:sz w:val="14"/>
                <w:szCs w:val="14"/>
                <w:color w:val="auto"/>
              </w:rPr>
            </w:pPr>
          </w:p>
        </w:tc>
        <w:tc>
          <w:tcPr>
            <w:tcW w:w="260" w:type="dxa"/>
            <w:vAlign w:val="bottom"/>
            <w:tcBorders>
              <w:bottom w:val="single" w:sz="8" w:color="CCEEFF"/>
            </w:tcBorders>
            <w:vMerge w:val="continue"/>
          </w:tcPr>
          <w:p>
            <w:pPr>
              <w:spacing w:after="0"/>
              <w:rPr>
                <w:sz w:val="14"/>
                <w:szCs w:val="14"/>
                <w:color w:val="auto"/>
              </w:rPr>
            </w:pPr>
          </w:p>
        </w:tc>
        <w:tc>
          <w:tcPr>
            <w:tcW w:w="520" w:type="dxa"/>
            <w:vAlign w:val="bottom"/>
            <w:tcBorders>
              <w:bottom w:val="single" w:sz="8" w:color="auto"/>
            </w:tcBorders>
          </w:tcPr>
          <w:p>
            <w:pPr>
              <w:ind w:left="20"/>
              <w:spacing w:after="0"/>
              <w:rPr>
                <w:sz w:val="20"/>
                <w:szCs w:val="20"/>
                <w:color w:val="auto"/>
              </w:rPr>
            </w:pPr>
            <w:r>
              <w:rPr>
                <w:rFonts w:ascii="Arial" w:cs="Arial" w:eastAsia="Arial" w:hAnsi="Arial"/>
                <w:sz w:val="14"/>
                <w:szCs w:val="14"/>
                <w:b w:val="1"/>
                <w:bCs w:val="1"/>
                <w:color w:val="auto"/>
                <w:w w:val="94"/>
              </w:rPr>
              <w:t>Interest</w:t>
            </w:r>
          </w:p>
        </w:tc>
        <w:tc>
          <w:tcPr>
            <w:tcW w:w="400" w:type="dxa"/>
            <w:vAlign w:val="bottom"/>
            <w:tcBorders>
              <w:bottom w:val="single" w:sz="8" w:color="CCEEFF"/>
            </w:tcBorders>
          </w:tcPr>
          <w:p>
            <w:pPr>
              <w:spacing w:after="0"/>
              <w:rPr>
                <w:sz w:val="14"/>
                <w:szCs w:val="14"/>
                <w:color w:val="auto"/>
              </w:rPr>
            </w:pPr>
          </w:p>
        </w:tc>
        <w:tc>
          <w:tcPr>
            <w:tcW w:w="1400" w:type="dxa"/>
            <w:vAlign w:val="bottom"/>
            <w:tcBorders>
              <w:bottom w:val="single" w:sz="8" w:color="auto"/>
            </w:tcBorders>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5640" w:type="dxa"/>
            <w:vAlign w:val="bottom"/>
            <w:shd w:val="clear" w:color="auto" w:fill="CCEEFF"/>
          </w:tcPr>
          <w:p>
            <w:pPr>
              <w:spacing w:after="0"/>
              <w:rPr>
                <w:sz w:val="20"/>
                <w:szCs w:val="20"/>
                <w:color w:val="auto"/>
              </w:rPr>
            </w:pPr>
            <w:r>
              <w:rPr>
                <w:rFonts w:ascii="Arial" w:cs="Arial" w:eastAsia="Arial" w:hAnsi="Arial"/>
                <w:sz w:val="18"/>
                <w:szCs w:val="18"/>
                <w:color w:val="auto"/>
              </w:rPr>
              <w:t>TL Revolving Credit Facility</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1,433,919</w:t>
            </w:r>
          </w:p>
        </w:tc>
        <w:tc>
          <w:tcPr>
            <w:tcW w:w="26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1.65%</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1,280,037</w:t>
            </w:r>
          </w:p>
        </w:tc>
        <w:tc>
          <w:tcPr>
            <w:tcW w:w="26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3.29%</w:t>
            </w: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September 2023</w:t>
            </w:r>
          </w:p>
        </w:tc>
        <w:tc>
          <w:tcPr>
            <w:tcW w:w="0" w:type="dxa"/>
            <w:vAlign w:val="bottom"/>
          </w:tcPr>
          <w:p>
            <w:pPr>
              <w:spacing w:after="0"/>
              <w:rPr>
                <w:sz w:val="1"/>
                <w:szCs w:val="1"/>
                <w:color w:val="auto"/>
              </w:rPr>
            </w:pPr>
          </w:p>
        </w:tc>
      </w:tr>
      <w:tr>
        <w:trPr>
          <w:trHeight w:val="216"/>
        </w:trPr>
        <w:tc>
          <w:tcPr>
            <w:tcW w:w="5640" w:type="dxa"/>
            <w:vAlign w:val="bottom"/>
          </w:tcPr>
          <w:p>
            <w:pPr>
              <w:spacing w:after="0"/>
              <w:rPr>
                <w:sz w:val="20"/>
                <w:szCs w:val="20"/>
                <w:color w:val="auto"/>
              </w:rPr>
            </w:pPr>
            <w:r>
              <w:rPr>
                <w:rFonts w:ascii="Arial" w:cs="Arial" w:eastAsia="Arial" w:hAnsi="Arial"/>
                <w:sz w:val="18"/>
                <w:szCs w:val="18"/>
                <w:color w:val="auto"/>
              </w:rPr>
              <w:t>TL 2019 Term Loan</w:t>
            </w:r>
          </w:p>
        </w:tc>
        <w:tc>
          <w:tcPr>
            <w:tcW w:w="100" w:type="dxa"/>
            <w:vAlign w:val="bottom"/>
          </w:tcPr>
          <w:p>
            <w:pPr>
              <w:spacing w:after="0"/>
              <w:rPr>
                <w:sz w:val="18"/>
                <w:szCs w:val="18"/>
                <w:color w:val="auto"/>
              </w:rPr>
            </w:pPr>
          </w:p>
        </w:tc>
        <w:tc>
          <w:tcPr>
            <w:tcW w:w="980" w:type="dxa"/>
            <w:vAlign w:val="bottom"/>
            <w:gridSpan w:val="2"/>
          </w:tcPr>
          <w:p>
            <w:pPr>
              <w:jc w:val="right"/>
              <w:ind w:right="260"/>
              <w:spacing w:after="0"/>
              <w:rPr>
                <w:sz w:val="20"/>
                <w:szCs w:val="20"/>
                <w:color w:val="auto"/>
              </w:rPr>
            </w:pPr>
            <w:r>
              <w:rPr>
                <w:rFonts w:ascii="Arial" w:cs="Arial" w:eastAsia="Arial" w:hAnsi="Arial"/>
                <w:sz w:val="18"/>
                <w:szCs w:val="18"/>
                <w:color w:val="auto"/>
              </w:rPr>
              <w:t>148,131</w:t>
            </w:r>
          </w:p>
        </w:tc>
        <w:tc>
          <w:tcPr>
            <w:tcW w:w="780" w:type="dxa"/>
            <w:vAlign w:val="bottom"/>
            <w:gridSpan w:val="2"/>
          </w:tcPr>
          <w:p>
            <w:pPr>
              <w:jc w:val="right"/>
              <w:ind w:right="120"/>
              <w:spacing w:after="0"/>
              <w:rPr>
                <w:sz w:val="20"/>
                <w:szCs w:val="20"/>
                <w:color w:val="auto"/>
              </w:rPr>
            </w:pPr>
            <w:r>
              <w:rPr>
                <w:rFonts w:ascii="Arial" w:cs="Arial" w:eastAsia="Arial" w:hAnsi="Arial"/>
                <w:sz w:val="18"/>
                <w:szCs w:val="18"/>
                <w:color w:val="auto"/>
              </w:rPr>
              <w:t>3.50%</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80" w:type="dxa"/>
            <w:vAlign w:val="bottom"/>
            <w:gridSpan w:val="2"/>
          </w:tcPr>
          <w:p>
            <w:pPr>
              <w:jc w:val="right"/>
              <w:ind w:right="260"/>
              <w:spacing w:after="0"/>
              <w:rPr>
                <w:sz w:val="20"/>
                <w:szCs w:val="20"/>
                <w:color w:val="auto"/>
              </w:rPr>
            </w:pPr>
            <w:r>
              <w:rPr>
                <w:rFonts w:ascii="Arial" w:cs="Arial" w:eastAsia="Arial" w:hAnsi="Arial"/>
                <w:sz w:val="18"/>
                <w:szCs w:val="18"/>
                <w:color w:val="auto"/>
              </w:rPr>
              <w:t>158,371</w:t>
            </w:r>
          </w:p>
        </w:tc>
        <w:tc>
          <w:tcPr>
            <w:tcW w:w="920" w:type="dxa"/>
            <w:vAlign w:val="bottom"/>
            <w:gridSpan w:val="2"/>
          </w:tcPr>
          <w:p>
            <w:pPr>
              <w:jc w:val="right"/>
              <w:ind w:right="260"/>
              <w:spacing w:after="0"/>
              <w:rPr>
                <w:sz w:val="20"/>
                <w:szCs w:val="20"/>
                <w:color w:val="auto"/>
              </w:rPr>
            </w:pPr>
            <w:r>
              <w:rPr>
                <w:rFonts w:ascii="Arial" w:cs="Arial" w:eastAsia="Arial" w:hAnsi="Arial"/>
                <w:sz w:val="18"/>
                <w:szCs w:val="18"/>
                <w:color w:val="auto"/>
              </w:rPr>
              <w:t>3.50%</w:t>
            </w:r>
          </w:p>
        </w:tc>
        <w:tc>
          <w:tcPr>
            <w:tcW w:w="1400" w:type="dxa"/>
            <w:vAlign w:val="bottom"/>
          </w:tcPr>
          <w:p>
            <w:pPr>
              <w:jc w:val="right"/>
              <w:spacing w:after="0"/>
              <w:rPr>
                <w:sz w:val="20"/>
                <w:szCs w:val="20"/>
                <w:color w:val="auto"/>
              </w:rPr>
            </w:pPr>
            <w:r>
              <w:rPr>
                <w:rFonts w:ascii="Arial" w:cs="Arial" w:eastAsia="Arial" w:hAnsi="Arial"/>
                <w:sz w:val="18"/>
                <w:szCs w:val="18"/>
                <w:color w:val="auto"/>
              </w:rPr>
              <w:t>December 2026</w:t>
            </w:r>
          </w:p>
        </w:tc>
        <w:tc>
          <w:tcPr>
            <w:tcW w:w="0" w:type="dxa"/>
            <w:vAlign w:val="bottom"/>
          </w:tcPr>
          <w:p>
            <w:pPr>
              <w:spacing w:after="0"/>
              <w:rPr>
                <w:sz w:val="1"/>
                <w:szCs w:val="1"/>
                <w:color w:val="auto"/>
              </w:rPr>
            </w:pPr>
          </w:p>
        </w:tc>
      </w:tr>
      <w:tr>
        <w:trPr>
          <w:trHeight w:val="216"/>
        </w:trPr>
        <w:tc>
          <w:tcPr>
            <w:tcW w:w="5640" w:type="dxa"/>
            <w:vAlign w:val="bottom"/>
            <w:shd w:val="clear" w:color="auto" w:fill="CCEEFF"/>
          </w:tcPr>
          <w:p>
            <w:pPr>
              <w:spacing w:after="0"/>
              <w:rPr>
                <w:sz w:val="20"/>
                <w:szCs w:val="20"/>
                <w:color w:val="auto"/>
              </w:rPr>
            </w:pPr>
            <w:r>
              <w:rPr>
                <w:rFonts w:ascii="Arial" w:cs="Arial" w:eastAsia="Arial" w:hAnsi="Arial"/>
                <w:sz w:val="18"/>
                <w:szCs w:val="18"/>
                <w:color w:val="auto"/>
              </w:rPr>
              <w:t>TMCL II Secured Debt Facility (1)</w:t>
            </w: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646,551</w:t>
            </w: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1.91%</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689,658</w:t>
            </w:r>
          </w:p>
        </w:tc>
        <w:tc>
          <w:tcPr>
            <w:tcW w:w="92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3.49%</w:t>
            </w: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July 2026</w:t>
            </w:r>
          </w:p>
        </w:tc>
        <w:tc>
          <w:tcPr>
            <w:tcW w:w="0" w:type="dxa"/>
            <w:vAlign w:val="bottom"/>
          </w:tcPr>
          <w:p>
            <w:pPr>
              <w:spacing w:after="0"/>
              <w:rPr>
                <w:sz w:val="1"/>
                <w:szCs w:val="1"/>
                <w:color w:val="auto"/>
              </w:rPr>
            </w:pPr>
          </w:p>
        </w:tc>
      </w:tr>
      <w:tr>
        <w:trPr>
          <w:trHeight w:val="216"/>
        </w:trPr>
        <w:tc>
          <w:tcPr>
            <w:tcW w:w="5640" w:type="dxa"/>
            <w:vAlign w:val="bottom"/>
          </w:tcPr>
          <w:p>
            <w:pPr>
              <w:spacing w:after="0"/>
              <w:rPr>
                <w:sz w:val="20"/>
                <w:szCs w:val="20"/>
                <w:color w:val="auto"/>
              </w:rPr>
            </w:pPr>
            <w:r>
              <w:rPr>
                <w:rFonts w:ascii="Arial" w:cs="Arial" w:eastAsia="Arial" w:hAnsi="Arial"/>
                <w:sz w:val="18"/>
                <w:szCs w:val="18"/>
                <w:color w:val="auto"/>
              </w:rPr>
              <w:t>TMCL VI Term Loan</w:t>
            </w:r>
          </w:p>
        </w:tc>
        <w:tc>
          <w:tcPr>
            <w:tcW w:w="100" w:type="dxa"/>
            <w:vAlign w:val="bottom"/>
          </w:tcPr>
          <w:p>
            <w:pPr>
              <w:spacing w:after="0"/>
              <w:rPr>
                <w:sz w:val="18"/>
                <w:szCs w:val="18"/>
                <w:color w:val="auto"/>
              </w:rPr>
            </w:pPr>
          </w:p>
        </w:tc>
        <w:tc>
          <w:tcPr>
            <w:tcW w:w="980" w:type="dxa"/>
            <w:vAlign w:val="bottom"/>
            <w:gridSpan w:val="2"/>
          </w:tcPr>
          <w:p>
            <w:pPr>
              <w:jc w:val="right"/>
              <w:ind w:right="260"/>
              <w:spacing w:after="0"/>
              <w:rPr>
                <w:sz w:val="20"/>
                <w:szCs w:val="20"/>
                <w:color w:val="auto"/>
              </w:rPr>
            </w:pPr>
            <w:r>
              <w:rPr>
                <w:rFonts w:ascii="Arial" w:cs="Arial" w:eastAsia="Arial" w:hAnsi="Arial"/>
                <w:sz w:val="18"/>
                <w:szCs w:val="18"/>
                <w:color w:val="auto"/>
              </w:rPr>
              <w:t>223,630</w:t>
            </w:r>
          </w:p>
        </w:tc>
        <w:tc>
          <w:tcPr>
            <w:tcW w:w="780" w:type="dxa"/>
            <w:vAlign w:val="bottom"/>
            <w:gridSpan w:val="2"/>
          </w:tcPr>
          <w:p>
            <w:pPr>
              <w:jc w:val="right"/>
              <w:ind w:right="120"/>
              <w:spacing w:after="0"/>
              <w:rPr>
                <w:sz w:val="20"/>
                <w:szCs w:val="20"/>
                <w:color w:val="auto"/>
              </w:rPr>
            </w:pPr>
            <w:r>
              <w:rPr>
                <w:rFonts w:ascii="Arial" w:cs="Arial" w:eastAsia="Arial" w:hAnsi="Arial"/>
                <w:sz w:val="18"/>
                <w:szCs w:val="18"/>
                <w:color w:val="auto"/>
              </w:rPr>
              <w:t>4.29%</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80" w:type="dxa"/>
            <w:vAlign w:val="bottom"/>
            <w:gridSpan w:val="2"/>
          </w:tcPr>
          <w:p>
            <w:pPr>
              <w:jc w:val="right"/>
              <w:ind w:right="260"/>
              <w:spacing w:after="0"/>
              <w:rPr>
                <w:sz w:val="20"/>
                <w:szCs w:val="20"/>
                <w:color w:val="auto"/>
              </w:rPr>
            </w:pPr>
            <w:r>
              <w:rPr>
                <w:rFonts w:ascii="Arial" w:cs="Arial" w:eastAsia="Arial" w:hAnsi="Arial"/>
                <w:sz w:val="18"/>
                <w:szCs w:val="18"/>
                <w:color w:val="auto"/>
              </w:rPr>
              <w:t>249,421</w:t>
            </w:r>
          </w:p>
        </w:tc>
        <w:tc>
          <w:tcPr>
            <w:tcW w:w="920" w:type="dxa"/>
            <w:vAlign w:val="bottom"/>
            <w:gridSpan w:val="2"/>
          </w:tcPr>
          <w:p>
            <w:pPr>
              <w:jc w:val="right"/>
              <w:ind w:right="260"/>
              <w:spacing w:after="0"/>
              <w:rPr>
                <w:sz w:val="20"/>
                <w:szCs w:val="20"/>
                <w:color w:val="auto"/>
              </w:rPr>
            </w:pPr>
            <w:r>
              <w:rPr>
                <w:rFonts w:ascii="Arial" w:cs="Arial" w:eastAsia="Arial" w:hAnsi="Arial"/>
                <w:sz w:val="18"/>
                <w:szCs w:val="18"/>
                <w:color w:val="auto"/>
              </w:rPr>
              <w:t>4.30%</w:t>
            </w:r>
          </w:p>
        </w:tc>
        <w:tc>
          <w:tcPr>
            <w:tcW w:w="1400" w:type="dxa"/>
            <w:vAlign w:val="bottom"/>
          </w:tcPr>
          <w:p>
            <w:pPr>
              <w:jc w:val="right"/>
              <w:spacing w:after="0"/>
              <w:rPr>
                <w:sz w:val="20"/>
                <w:szCs w:val="20"/>
                <w:color w:val="auto"/>
              </w:rPr>
            </w:pPr>
            <w:r>
              <w:rPr>
                <w:rFonts w:ascii="Arial" w:cs="Arial" w:eastAsia="Arial" w:hAnsi="Arial"/>
                <w:sz w:val="18"/>
                <w:szCs w:val="18"/>
                <w:color w:val="auto"/>
              </w:rPr>
              <w:t>February 2038</w:t>
            </w:r>
          </w:p>
        </w:tc>
        <w:tc>
          <w:tcPr>
            <w:tcW w:w="0" w:type="dxa"/>
            <w:vAlign w:val="bottom"/>
          </w:tcPr>
          <w:p>
            <w:pPr>
              <w:spacing w:after="0"/>
              <w:rPr>
                <w:sz w:val="1"/>
                <w:szCs w:val="1"/>
                <w:color w:val="auto"/>
              </w:rPr>
            </w:pPr>
          </w:p>
        </w:tc>
      </w:tr>
      <w:tr>
        <w:trPr>
          <w:trHeight w:val="216"/>
        </w:trPr>
        <w:tc>
          <w:tcPr>
            <w:tcW w:w="5640" w:type="dxa"/>
            <w:vAlign w:val="bottom"/>
            <w:shd w:val="clear" w:color="auto" w:fill="CCEEFF"/>
          </w:tcPr>
          <w:p>
            <w:pPr>
              <w:spacing w:after="0"/>
              <w:rPr>
                <w:sz w:val="20"/>
                <w:szCs w:val="20"/>
                <w:color w:val="auto"/>
              </w:rPr>
            </w:pPr>
            <w:r>
              <w:rPr>
                <w:rFonts w:ascii="Arial" w:cs="Arial" w:eastAsia="Arial" w:hAnsi="Arial"/>
                <w:sz w:val="18"/>
                <w:szCs w:val="18"/>
                <w:color w:val="auto"/>
              </w:rPr>
              <w:t>TMCL VII 2019-1 Bonds</w:t>
            </w: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300,305</w:t>
            </w: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4.02%</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327,563</w:t>
            </w:r>
          </w:p>
        </w:tc>
        <w:tc>
          <w:tcPr>
            <w:tcW w:w="92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4.02%</w:t>
            </w: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April 2044</w:t>
            </w:r>
          </w:p>
        </w:tc>
        <w:tc>
          <w:tcPr>
            <w:tcW w:w="0" w:type="dxa"/>
            <w:vAlign w:val="bottom"/>
          </w:tcPr>
          <w:p>
            <w:pPr>
              <w:spacing w:after="0"/>
              <w:rPr>
                <w:sz w:val="1"/>
                <w:szCs w:val="1"/>
                <w:color w:val="auto"/>
              </w:rPr>
            </w:pPr>
          </w:p>
        </w:tc>
      </w:tr>
      <w:tr>
        <w:trPr>
          <w:trHeight w:val="216"/>
        </w:trPr>
        <w:tc>
          <w:tcPr>
            <w:tcW w:w="5640" w:type="dxa"/>
            <w:vAlign w:val="bottom"/>
          </w:tcPr>
          <w:p>
            <w:pPr>
              <w:spacing w:after="0"/>
              <w:rPr>
                <w:sz w:val="20"/>
                <w:szCs w:val="20"/>
                <w:color w:val="auto"/>
              </w:rPr>
            </w:pPr>
            <w:r>
              <w:rPr>
                <w:rFonts w:ascii="Arial" w:cs="Arial" w:eastAsia="Arial" w:hAnsi="Arial"/>
                <w:sz w:val="18"/>
                <w:szCs w:val="18"/>
                <w:color w:val="auto"/>
              </w:rPr>
              <w:t>TMCL VII 2020-1 Bonds</w:t>
            </w:r>
          </w:p>
        </w:tc>
        <w:tc>
          <w:tcPr>
            <w:tcW w:w="100" w:type="dxa"/>
            <w:vAlign w:val="bottom"/>
          </w:tcPr>
          <w:p>
            <w:pPr>
              <w:spacing w:after="0"/>
              <w:rPr>
                <w:sz w:val="18"/>
                <w:szCs w:val="18"/>
                <w:color w:val="auto"/>
              </w:rPr>
            </w:pPr>
          </w:p>
        </w:tc>
        <w:tc>
          <w:tcPr>
            <w:tcW w:w="980" w:type="dxa"/>
            <w:vAlign w:val="bottom"/>
            <w:gridSpan w:val="2"/>
          </w:tcPr>
          <w:p>
            <w:pPr>
              <w:jc w:val="right"/>
              <w:ind w:right="260"/>
              <w:spacing w:after="0"/>
              <w:rPr>
                <w:sz w:val="20"/>
                <w:szCs w:val="20"/>
                <w:color w:val="auto"/>
              </w:rPr>
            </w:pPr>
            <w:r>
              <w:rPr>
                <w:rFonts w:ascii="Arial" w:cs="Arial" w:eastAsia="Arial" w:hAnsi="Arial"/>
                <w:sz w:val="18"/>
                <w:szCs w:val="18"/>
                <w:color w:val="auto"/>
              </w:rPr>
              <w:t>429,600</w:t>
            </w:r>
          </w:p>
        </w:tc>
        <w:tc>
          <w:tcPr>
            <w:tcW w:w="780" w:type="dxa"/>
            <w:vAlign w:val="bottom"/>
            <w:gridSpan w:val="2"/>
          </w:tcPr>
          <w:p>
            <w:pPr>
              <w:jc w:val="right"/>
              <w:ind w:right="120"/>
              <w:spacing w:after="0"/>
              <w:rPr>
                <w:sz w:val="20"/>
                <w:szCs w:val="20"/>
                <w:color w:val="auto"/>
              </w:rPr>
            </w:pPr>
            <w:r>
              <w:rPr>
                <w:rFonts w:ascii="Arial" w:cs="Arial" w:eastAsia="Arial" w:hAnsi="Arial"/>
                <w:sz w:val="18"/>
                <w:szCs w:val="18"/>
                <w:color w:val="auto"/>
              </w:rPr>
              <w:t>3.07%</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80" w:type="dxa"/>
            <w:vAlign w:val="bottom"/>
            <w:gridSpan w:val="2"/>
          </w:tcPr>
          <w:p>
            <w:pPr>
              <w:jc w:val="right"/>
              <w:ind w:right="340"/>
              <w:spacing w:after="0"/>
              <w:rPr>
                <w:sz w:val="20"/>
                <w:szCs w:val="20"/>
                <w:color w:val="auto"/>
              </w:rPr>
            </w:pPr>
            <w:r>
              <w:rPr>
                <w:rFonts w:ascii="Arial" w:cs="Arial" w:eastAsia="Arial" w:hAnsi="Arial"/>
                <w:sz w:val="18"/>
                <w:szCs w:val="18"/>
                <w:b w:val="1"/>
                <w:bCs w:val="1"/>
                <w:color w:val="auto"/>
              </w:rPr>
              <w:t>—</w:t>
            </w:r>
          </w:p>
        </w:tc>
        <w:tc>
          <w:tcPr>
            <w:tcW w:w="920" w:type="dxa"/>
            <w:vAlign w:val="bottom"/>
            <w:gridSpan w:val="2"/>
          </w:tcPr>
          <w:p>
            <w:pPr>
              <w:jc w:val="right"/>
              <w:ind w:right="260"/>
              <w:spacing w:after="0"/>
              <w:rPr>
                <w:sz w:val="20"/>
                <w:szCs w:val="20"/>
                <w:color w:val="auto"/>
              </w:rPr>
            </w:pPr>
            <w:r>
              <w:rPr>
                <w:rFonts w:ascii="Arial" w:cs="Arial" w:eastAsia="Arial" w:hAnsi="Arial"/>
                <w:sz w:val="18"/>
                <w:szCs w:val="18"/>
                <w:color w:val="auto"/>
              </w:rPr>
              <w:t>0.00%</w:t>
            </w:r>
          </w:p>
        </w:tc>
        <w:tc>
          <w:tcPr>
            <w:tcW w:w="1400" w:type="dxa"/>
            <w:vAlign w:val="bottom"/>
          </w:tcPr>
          <w:p>
            <w:pPr>
              <w:jc w:val="right"/>
              <w:spacing w:after="0"/>
              <w:rPr>
                <w:sz w:val="20"/>
                <w:szCs w:val="20"/>
                <w:color w:val="auto"/>
              </w:rPr>
            </w:pPr>
            <w:r>
              <w:rPr>
                <w:rFonts w:ascii="Arial" w:cs="Arial" w:eastAsia="Arial" w:hAnsi="Arial"/>
                <w:sz w:val="18"/>
                <w:szCs w:val="18"/>
                <w:color w:val="auto"/>
              </w:rPr>
              <w:t>August 2045</w:t>
            </w:r>
          </w:p>
        </w:tc>
        <w:tc>
          <w:tcPr>
            <w:tcW w:w="0" w:type="dxa"/>
            <w:vAlign w:val="bottom"/>
          </w:tcPr>
          <w:p>
            <w:pPr>
              <w:spacing w:after="0"/>
              <w:rPr>
                <w:sz w:val="1"/>
                <w:szCs w:val="1"/>
                <w:color w:val="auto"/>
              </w:rPr>
            </w:pPr>
          </w:p>
        </w:tc>
      </w:tr>
      <w:tr>
        <w:trPr>
          <w:trHeight w:val="216"/>
        </w:trPr>
        <w:tc>
          <w:tcPr>
            <w:tcW w:w="5640" w:type="dxa"/>
            <w:vAlign w:val="bottom"/>
            <w:shd w:val="clear" w:color="auto" w:fill="CCEEFF"/>
          </w:tcPr>
          <w:p>
            <w:pPr>
              <w:spacing w:after="0"/>
              <w:rPr>
                <w:sz w:val="20"/>
                <w:szCs w:val="20"/>
                <w:color w:val="auto"/>
              </w:rPr>
            </w:pPr>
            <w:r>
              <w:rPr>
                <w:rFonts w:ascii="Arial" w:cs="Arial" w:eastAsia="Arial" w:hAnsi="Arial"/>
                <w:sz w:val="18"/>
                <w:szCs w:val="18"/>
                <w:color w:val="auto"/>
              </w:rPr>
              <w:t>TMCL VII 2020-2 Bonds</w:t>
            </w: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587,183</w:t>
            </w: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2.26%</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b w:val="1"/>
                <w:bCs w:val="1"/>
                <w:color w:val="auto"/>
              </w:rPr>
              <w:t>—</w:t>
            </w:r>
          </w:p>
        </w:tc>
        <w:tc>
          <w:tcPr>
            <w:tcW w:w="92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0.00%</w:t>
            </w: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September 2045</w:t>
            </w:r>
          </w:p>
        </w:tc>
        <w:tc>
          <w:tcPr>
            <w:tcW w:w="0" w:type="dxa"/>
            <w:vAlign w:val="bottom"/>
          </w:tcPr>
          <w:p>
            <w:pPr>
              <w:spacing w:after="0"/>
              <w:rPr>
                <w:sz w:val="1"/>
                <w:szCs w:val="1"/>
                <w:color w:val="auto"/>
              </w:rPr>
            </w:pPr>
          </w:p>
        </w:tc>
      </w:tr>
      <w:tr>
        <w:trPr>
          <w:trHeight w:val="216"/>
        </w:trPr>
        <w:tc>
          <w:tcPr>
            <w:tcW w:w="5640" w:type="dxa"/>
            <w:vAlign w:val="bottom"/>
          </w:tcPr>
          <w:p>
            <w:pPr>
              <w:spacing w:after="0"/>
              <w:rPr>
                <w:sz w:val="20"/>
                <w:szCs w:val="20"/>
                <w:color w:val="auto"/>
              </w:rPr>
            </w:pPr>
            <w:r>
              <w:rPr>
                <w:rFonts w:ascii="Arial" w:cs="Arial" w:eastAsia="Arial" w:hAnsi="Arial"/>
                <w:sz w:val="18"/>
                <w:szCs w:val="18"/>
                <w:color w:val="auto"/>
              </w:rPr>
              <w:t>TMCL VII 2020-3 Bonds</w:t>
            </w:r>
          </w:p>
        </w:tc>
        <w:tc>
          <w:tcPr>
            <w:tcW w:w="100" w:type="dxa"/>
            <w:vAlign w:val="bottom"/>
          </w:tcPr>
          <w:p>
            <w:pPr>
              <w:spacing w:after="0"/>
              <w:rPr>
                <w:sz w:val="18"/>
                <w:szCs w:val="18"/>
                <w:color w:val="auto"/>
              </w:rPr>
            </w:pPr>
          </w:p>
        </w:tc>
        <w:tc>
          <w:tcPr>
            <w:tcW w:w="980" w:type="dxa"/>
            <w:vAlign w:val="bottom"/>
            <w:gridSpan w:val="2"/>
          </w:tcPr>
          <w:p>
            <w:pPr>
              <w:jc w:val="right"/>
              <w:ind w:right="260"/>
              <w:spacing w:after="0"/>
              <w:rPr>
                <w:sz w:val="20"/>
                <w:szCs w:val="20"/>
                <w:color w:val="auto"/>
              </w:rPr>
            </w:pPr>
            <w:r>
              <w:rPr>
                <w:rFonts w:ascii="Arial" w:cs="Arial" w:eastAsia="Arial" w:hAnsi="Arial"/>
                <w:sz w:val="18"/>
                <w:szCs w:val="18"/>
                <w:color w:val="auto"/>
              </w:rPr>
              <w:t>214,168</w:t>
            </w:r>
          </w:p>
        </w:tc>
        <w:tc>
          <w:tcPr>
            <w:tcW w:w="780" w:type="dxa"/>
            <w:vAlign w:val="bottom"/>
            <w:gridSpan w:val="2"/>
          </w:tcPr>
          <w:p>
            <w:pPr>
              <w:jc w:val="right"/>
              <w:ind w:right="120"/>
              <w:spacing w:after="0"/>
              <w:rPr>
                <w:sz w:val="20"/>
                <w:szCs w:val="20"/>
                <w:color w:val="auto"/>
              </w:rPr>
            </w:pPr>
            <w:r>
              <w:rPr>
                <w:rFonts w:ascii="Arial" w:cs="Arial" w:eastAsia="Arial" w:hAnsi="Arial"/>
                <w:sz w:val="18"/>
                <w:szCs w:val="18"/>
                <w:color w:val="auto"/>
              </w:rPr>
              <w:t>2.15%</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80" w:type="dxa"/>
            <w:vAlign w:val="bottom"/>
            <w:gridSpan w:val="2"/>
          </w:tcPr>
          <w:p>
            <w:pPr>
              <w:jc w:val="right"/>
              <w:ind w:right="340"/>
              <w:spacing w:after="0"/>
              <w:rPr>
                <w:sz w:val="20"/>
                <w:szCs w:val="20"/>
                <w:color w:val="auto"/>
              </w:rPr>
            </w:pPr>
            <w:r>
              <w:rPr>
                <w:rFonts w:ascii="Arial" w:cs="Arial" w:eastAsia="Arial" w:hAnsi="Arial"/>
                <w:sz w:val="18"/>
                <w:szCs w:val="18"/>
                <w:b w:val="1"/>
                <w:bCs w:val="1"/>
                <w:color w:val="auto"/>
              </w:rPr>
              <w:t>—</w:t>
            </w:r>
          </w:p>
        </w:tc>
        <w:tc>
          <w:tcPr>
            <w:tcW w:w="920" w:type="dxa"/>
            <w:vAlign w:val="bottom"/>
            <w:gridSpan w:val="2"/>
          </w:tcPr>
          <w:p>
            <w:pPr>
              <w:jc w:val="right"/>
              <w:ind w:right="260"/>
              <w:spacing w:after="0"/>
              <w:rPr>
                <w:sz w:val="20"/>
                <w:szCs w:val="20"/>
                <w:color w:val="auto"/>
              </w:rPr>
            </w:pPr>
            <w:r>
              <w:rPr>
                <w:rFonts w:ascii="Arial" w:cs="Arial" w:eastAsia="Arial" w:hAnsi="Arial"/>
                <w:sz w:val="18"/>
                <w:szCs w:val="18"/>
                <w:color w:val="auto"/>
              </w:rPr>
              <w:t>0.00%</w:t>
            </w:r>
          </w:p>
        </w:tc>
        <w:tc>
          <w:tcPr>
            <w:tcW w:w="1400" w:type="dxa"/>
            <w:vAlign w:val="bottom"/>
          </w:tcPr>
          <w:p>
            <w:pPr>
              <w:jc w:val="right"/>
              <w:spacing w:after="0"/>
              <w:rPr>
                <w:sz w:val="20"/>
                <w:szCs w:val="20"/>
                <w:color w:val="auto"/>
              </w:rPr>
            </w:pPr>
            <w:r>
              <w:rPr>
                <w:rFonts w:ascii="Arial" w:cs="Arial" w:eastAsia="Arial" w:hAnsi="Arial"/>
                <w:sz w:val="18"/>
                <w:szCs w:val="18"/>
                <w:color w:val="auto"/>
              </w:rPr>
              <w:t>September 2045</w:t>
            </w:r>
          </w:p>
        </w:tc>
        <w:tc>
          <w:tcPr>
            <w:tcW w:w="0" w:type="dxa"/>
            <w:vAlign w:val="bottom"/>
          </w:tcPr>
          <w:p>
            <w:pPr>
              <w:spacing w:after="0"/>
              <w:rPr>
                <w:sz w:val="1"/>
                <w:szCs w:val="1"/>
                <w:color w:val="auto"/>
              </w:rPr>
            </w:pPr>
          </w:p>
        </w:tc>
      </w:tr>
      <w:tr>
        <w:trPr>
          <w:trHeight w:val="216"/>
        </w:trPr>
        <w:tc>
          <w:tcPr>
            <w:tcW w:w="5640" w:type="dxa"/>
            <w:vAlign w:val="bottom"/>
            <w:shd w:val="clear" w:color="auto" w:fill="CCEEFF"/>
          </w:tcPr>
          <w:p>
            <w:pPr>
              <w:spacing w:after="0"/>
              <w:rPr>
                <w:sz w:val="20"/>
                <w:szCs w:val="20"/>
                <w:color w:val="auto"/>
              </w:rPr>
            </w:pPr>
            <w:r>
              <w:rPr>
                <w:rFonts w:ascii="Arial" w:cs="Arial" w:eastAsia="Arial" w:hAnsi="Arial"/>
                <w:sz w:val="18"/>
                <w:szCs w:val="18"/>
                <w:color w:val="auto"/>
              </w:rPr>
              <w:t>TAP Funding Revolving Credit Facility</w:t>
            </w: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131,857</w:t>
            </w: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2.11%</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152,824</w:t>
            </w:r>
          </w:p>
        </w:tc>
        <w:tc>
          <w:tcPr>
            <w:tcW w:w="92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3.69%</w:t>
            </w: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December 2021</w:t>
            </w:r>
          </w:p>
        </w:tc>
        <w:tc>
          <w:tcPr>
            <w:tcW w:w="0" w:type="dxa"/>
            <w:vAlign w:val="bottom"/>
          </w:tcPr>
          <w:p>
            <w:pPr>
              <w:spacing w:after="0"/>
              <w:rPr>
                <w:sz w:val="1"/>
                <w:szCs w:val="1"/>
                <w:color w:val="auto"/>
              </w:rPr>
            </w:pPr>
          </w:p>
        </w:tc>
      </w:tr>
      <w:tr>
        <w:trPr>
          <w:trHeight w:val="216"/>
        </w:trPr>
        <w:tc>
          <w:tcPr>
            <w:tcW w:w="5640" w:type="dxa"/>
            <w:vAlign w:val="bottom"/>
          </w:tcPr>
          <w:p>
            <w:pPr>
              <w:spacing w:after="0"/>
              <w:rPr>
                <w:sz w:val="20"/>
                <w:szCs w:val="20"/>
                <w:color w:val="auto"/>
              </w:rPr>
            </w:pPr>
            <w:r>
              <w:rPr>
                <w:rFonts w:ascii="Arial" w:cs="Arial" w:eastAsia="Arial" w:hAnsi="Arial"/>
                <w:sz w:val="18"/>
                <w:szCs w:val="18"/>
                <w:color w:val="auto"/>
              </w:rPr>
              <w:t>TMCL V 2017-1 Bonds</w:t>
            </w:r>
          </w:p>
        </w:tc>
        <w:tc>
          <w:tcPr>
            <w:tcW w:w="100" w:type="dxa"/>
            <w:vAlign w:val="bottom"/>
          </w:tcPr>
          <w:p>
            <w:pPr>
              <w:spacing w:after="0"/>
              <w:rPr>
                <w:sz w:val="18"/>
                <w:szCs w:val="18"/>
                <w:color w:val="auto"/>
              </w:rPr>
            </w:pPr>
          </w:p>
        </w:tc>
        <w:tc>
          <w:tcPr>
            <w:tcW w:w="980" w:type="dxa"/>
            <w:vAlign w:val="bottom"/>
            <w:gridSpan w:val="2"/>
          </w:tcPr>
          <w:p>
            <w:pPr>
              <w:jc w:val="right"/>
              <w:ind w:right="340"/>
              <w:spacing w:after="0"/>
              <w:rPr>
                <w:sz w:val="20"/>
                <w:szCs w:val="20"/>
                <w:color w:val="auto"/>
              </w:rPr>
            </w:pPr>
            <w:r>
              <w:rPr>
                <w:rFonts w:ascii="Arial" w:cs="Arial" w:eastAsia="Arial" w:hAnsi="Arial"/>
                <w:sz w:val="18"/>
                <w:szCs w:val="18"/>
                <w:color w:val="auto"/>
              </w:rPr>
              <w:t>—</w:t>
            </w:r>
          </w:p>
        </w:tc>
        <w:tc>
          <w:tcPr>
            <w:tcW w:w="780" w:type="dxa"/>
            <w:vAlign w:val="bottom"/>
            <w:gridSpan w:val="2"/>
          </w:tcPr>
          <w:p>
            <w:pPr>
              <w:jc w:val="right"/>
              <w:ind w:right="120"/>
              <w:spacing w:after="0"/>
              <w:rPr>
                <w:sz w:val="20"/>
                <w:szCs w:val="20"/>
                <w:color w:val="auto"/>
              </w:rPr>
            </w:pPr>
            <w:r>
              <w:rPr>
                <w:rFonts w:ascii="Arial" w:cs="Arial" w:eastAsia="Arial" w:hAnsi="Arial"/>
                <w:sz w:val="18"/>
                <w:szCs w:val="18"/>
                <w:color w:val="auto"/>
              </w:rPr>
              <w:t>0.00%</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80" w:type="dxa"/>
            <w:vAlign w:val="bottom"/>
            <w:gridSpan w:val="2"/>
          </w:tcPr>
          <w:p>
            <w:pPr>
              <w:jc w:val="right"/>
              <w:ind w:right="260"/>
              <w:spacing w:after="0"/>
              <w:rPr>
                <w:sz w:val="20"/>
                <w:szCs w:val="20"/>
                <w:color w:val="auto"/>
              </w:rPr>
            </w:pPr>
            <w:r>
              <w:rPr>
                <w:rFonts w:ascii="Arial" w:cs="Arial" w:eastAsia="Arial" w:hAnsi="Arial"/>
                <w:sz w:val="18"/>
                <w:szCs w:val="18"/>
                <w:color w:val="auto"/>
              </w:rPr>
              <w:t>316,395</w:t>
            </w:r>
          </w:p>
        </w:tc>
        <w:tc>
          <w:tcPr>
            <w:tcW w:w="920" w:type="dxa"/>
            <w:vAlign w:val="bottom"/>
            <w:gridSpan w:val="2"/>
          </w:tcPr>
          <w:p>
            <w:pPr>
              <w:jc w:val="right"/>
              <w:ind w:right="260"/>
              <w:spacing w:after="0"/>
              <w:rPr>
                <w:sz w:val="20"/>
                <w:szCs w:val="20"/>
                <w:color w:val="auto"/>
              </w:rPr>
            </w:pPr>
            <w:r>
              <w:rPr>
                <w:rFonts w:ascii="Arial" w:cs="Arial" w:eastAsia="Arial" w:hAnsi="Arial"/>
                <w:sz w:val="18"/>
                <w:szCs w:val="18"/>
                <w:color w:val="auto"/>
              </w:rPr>
              <w:t>3.91%</w:t>
            </w:r>
          </w:p>
        </w:tc>
        <w:tc>
          <w:tcPr>
            <w:tcW w:w="1400" w:type="dxa"/>
            <w:vAlign w:val="bottom"/>
          </w:tcPr>
          <w:p>
            <w:pPr>
              <w:jc w:val="right"/>
              <w:spacing w:after="0"/>
              <w:rPr>
                <w:sz w:val="20"/>
                <w:szCs w:val="20"/>
                <w:color w:val="auto"/>
              </w:rPr>
            </w:pPr>
            <w:r>
              <w:rPr>
                <w:rFonts w:ascii="Arial" w:cs="Arial" w:eastAsia="Arial" w:hAnsi="Arial"/>
                <w:sz w:val="18"/>
                <w:szCs w:val="18"/>
                <w:color w:val="auto"/>
              </w:rPr>
              <w:t>May 2042</w:t>
            </w:r>
          </w:p>
        </w:tc>
        <w:tc>
          <w:tcPr>
            <w:tcW w:w="0" w:type="dxa"/>
            <w:vAlign w:val="bottom"/>
          </w:tcPr>
          <w:p>
            <w:pPr>
              <w:spacing w:after="0"/>
              <w:rPr>
                <w:sz w:val="1"/>
                <w:szCs w:val="1"/>
                <w:color w:val="auto"/>
              </w:rPr>
            </w:pPr>
          </w:p>
        </w:tc>
      </w:tr>
      <w:tr>
        <w:trPr>
          <w:trHeight w:val="216"/>
        </w:trPr>
        <w:tc>
          <w:tcPr>
            <w:tcW w:w="5640" w:type="dxa"/>
            <w:vAlign w:val="bottom"/>
            <w:shd w:val="clear" w:color="auto" w:fill="CCEEFF"/>
          </w:tcPr>
          <w:p>
            <w:pPr>
              <w:spacing w:after="0"/>
              <w:rPr>
                <w:sz w:val="20"/>
                <w:szCs w:val="20"/>
                <w:color w:val="auto"/>
              </w:rPr>
            </w:pPr>
            <w:r>
              <w:rPr>
                <w:rFonts w:ascii="Arial" w:cs="Arial" w:eastAsia="Arial" w:hAnsi="Arial"/>
                <w:sz w:val="18"/>
                <w:szCs w:val="18"/>
                <w:color w:val="auto"/>
              </w:rPr>
              <w:t>TMCL V 2017-2 Bonds</w:t>
            </w: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0.00%</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395,836</w:t>
            </w:r>
          </w:p>
        </w:tc>
        <w:tc>
          <w:tcPr>
            <w:tcW w:w="92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3.73%</w:t>
            </w: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June 2042</w:t>
            </w:r>
          </w:p>
        </w:tc>
        <w:tc>
          <w:tcPr>
            <w:tcW w:w="0" w:type="dxa"/>
            <w:vAlign w:val="bottom"/>
          </w:tcPr>
          <w:p>
            <w:pPr>
              <w:spacing w:after="0"/>
              <w:rPr>
                <w:sz w:val="1"/>
                <w:szCs w:val="1"/>
                <w:color w:val="auto"/>
              </w:rPr>
            </w:pPr>
          </w:p>
        </w:tc>
      </w:tr>
      <w:tr>
        <w:trPr>
          <w:trHeight w:val="216"/>
        </w:trPr>
        <w:tc>
          <w:tcPr>
            <w:tcW w:w="5640" w:type="dxa"/>
            <w:vAlign w:val="bottom"/>
          </w:tcPr>
          <w:p>
            <w:pPr>
              <w:spacing w:after="0"/>
              <w:rPr>
                <w:sz w:val="20"/>
                <w:szCs w:val="20"/>
                <w:color w:val="auto"/>
              </w:rPr>
            </w:pPr>
            <w:r>
              <w:rPr>
                <w:rFonts w:ascii="Arial" w:cs="Arial" w:eastAsia="Arial" w:hAnsi="Arial"/>
                <w:sz w:val="18"/>
                <w:szCs w:val="18"/>
                <w:color w:val="auto"/>
              </w:rPr>
              <w:t>TMCL VII 2018-1 Bonds</w:t>
            </w:r>
          </w:p>
        </w:tc>
        <w:tc>
          <w:tcPr>
            <w:tcW w:w="100" w:type="dxa"/>
            <w:vAlign w:val="bottom"/>
          </w:tcPr>
          <w:p>
            <w:pPr>
              <w:spacing w:after="0"/>
              <w:rPr>
                <w:sz w:val="18"/>
                <w:szCs w:val="18"/>
                <w:color w:val="auto"/>
              </w:rPr>
            </w:pPr>
          </w:p>
        </w:tc>
        <w:tc>
          <w:tcPr>
            <w:tcW w:w="720" w:type="dxa"/>
            <w:vAlign w:val="bottom"/>
          </w:tcPr>
          <w:p>
            <w:pPr>
              <w:jc w:val="right"/>
              <w:spacing w:after="0"/>
              <w:rPr>
                <w:sz w:val="20"/>
                <w:szCs w:val="20"/>
                <w:color w:val="auto"/>
              </w:rPr>
            </w:pPr>
            <w:r>
              <w:rPr>
                <w:rFonts w:ascii="Arial" w:cs="Arial" w:eastAsia="Arial" w:hAnsi="Arial"/>
                <w:sz w:val="18"/>
                <w:szCs w:val="18"/>
                <w:color w:val="auto"/>
              </w:rPr>
              <w:t>—</w:t>
            </w:r>
          </w:p>
        </w:tc>
        <w:tc>
          <w:tcPr>
            <w:tcW w:w="260" w:type="dxa"/>
            <w:vAlign w:val="bottom"/>
          </w:tcPr>
          <w:p>
            <w:pPr>
              <w:spacing w:after="0"/>
              <w:rPr>
                <w:sz w:val="18"/>
                <w:szCs w:val="18"/>
                <w:color w:val="auto"/>
              </w:rPr>
            </w:pPr>
          </w:p>
        </w:tc>
        <w:tc>
          <w:tcPr>
            <w:tcW w:w="780" w:type="dxa"/>
            <w:vAlign w:val="bottom"/>
            <w:gridSpan w:val="2"/>
          </w:tcPr>
          <w:p>
            <w:pPr>
              <w:jc w:val="right"/>
              <w:ind w:right="120"/>
              <w:spacing w:after="0"/>
              <w:rPr>
                <w:sz w:val="20"/>
                <w:szCs w:val="20"/>
                <w:color w:val="auto"/>
              </w:rPr>
            </w:pPr>
            <w:r>
              <w:rPr>
                <w:rFonts w:ascii="Arial" w:cs="Arial" w:eastAsia="Arial" w:hAnsi="Arial"/>
                <w:sz w:val="18"/>
                <w:szCs w:val="18"/>
                <w:color w:val="auto"/>
              </w:rPr>
              <w:t>0.00%</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80" w:type="dxa"/>
            <w:vAlign w:val="bottom"/>
            <w:gridSpan w:val="2"/>
          </w:tcPr>
          <w:p>
            <w:pPr>
              <w:jc w:val="right"/>
              <w:ind w:right="260"/>
              <w:spacing w:after="0"/>
              <w:rPr>
                <w:sz w:val="20"/>
                <w:szCs w:val="20"/>
                <w:color w:val="auto"/>
              </w:rPr>
            </w:pPr>
            <w:r>
              <w:rPr>
                <w:rFonts w:ascii="Arial" w:cs="Arial" w:eastAsia="Arial" w:hAnsi="Arial"/>
                <w:sz w:val="18"/>
                <w:szCs w:val="18"/>
                <w:color w:val="auto"/>
              </w:rPr>
              <w:t>227,624</w:t>
            </w:r>
          </w:p>
        </w:tc>
        <w:tc>
          <w:tcPr>
            <w:tcW w:w="920" w:type="dxa"/>
            <w:vAlign w:val="bottom"/>
            <w:gridSpan w:val="2"/>
          </w:tcPr>
          <w:p>
            <w:pPr>
              <w:jc w:val="right"/>
              <w:ind w:right="260"/>
              <w:spacing w:after="0"/>
              <w:rPr>
                <w:sz w:val="20"/>
                <w:szCs w:val="20"/>
                <w:color w:val="auto"/>
              </w:rPr>
            </w:pPr>
            <w:r>
              <w:rPr>
                <w:rFonts w:ascii="Arial" w:cs="Arial" w:eastAsia="Arial" w:hAnsi="Arial"/>
                <w:sz w:val="18"/>
                <w:szCs w:val="18"/>
                <w:color w:val="auto"/>
              </w:rPr>
              <w:t>4.14%</w:t>
            </w:r>
          </w:p>
        </w:tc>
        <w:tc>
          <w:tcPr>
            <w:tcW w:w="1400" w:type="dxa"/>
            <w:vAlign w:val="bottom"/>
          </w:tcPr>
          <w:p>
            <w:pPr>
              <w:jc w:val="right"/>
              <w:spacing w:after="0"/>
              <w:rPr>
                <w:sz w:val="20"/>
                <w:szCs w:val="20"/>
                <w:color w:val="auto"/>
              </w:rPr>
            </w:pPr>
            <w:r>
              <w:rPr>
                <w:rFonts w:ascii="Arial" w:cs="Arial" w:eastAsia="Arial" w:hAnsi="Arial"/>
                <w:sz w:val="18"/>
                <w:szCs w:val="18"/>
                <w:color w:val="auto"/>
              </w:rPr>
              <w:t>July 2043</w:t>
            </w:r>
          </w:p>
        </w:tc>
        <w:tc>
          <w:tcPr>
            <w:tcW w:w="0" w:type="dxa"/>
            <w:vAlign w:val="bottom"/>
          </w:tcPr>
          <w:p>
            <w:pPr>
              <w:spacing w:after="0"/>
              <w:rPr>
                <w:sz w:val="1"/>
                <w:szCs w:val="1"/>
                <w:color w:val="auto"/>
              </w:rPr>
            </w:pPr>
          </w:p>
        </w:tc>
      </w:tr>
      <w:tr>
        <w:trPr>
          <w:trHeight w:val="27"/>
        </w:trPr>
        <w:tc>
          <w:tcPr>
            <w:tcW w:w="56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520" w:type="dxa"/>
            <w:vAlign w:val="bottom"/>
          </w:tcPr>
          <w:p>
            <w:pPr>
              <w:spacing w:after="0"/>
              <w:rPr>
                <w:sz w:val="2"/>
                <w:szCs w:val="2"/>
                <w:color w:val="auto"/>
              </w:rPr>
            </w:pPr>
          </w:p>
        </w:tc>
        <w:tc>
          <w:tcPr>
            <w:tcW w:w="26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520" w:type="dxa"/>
            <w:vAlign w:val="bottom"/>
          </w:tcPr>
          <w:p>
            <w:pPr>
              <w:spacing w:after="0"/>
              <w:rPr>
                <w:sz w:val="2"/>
                <w:szCs w:val="2"/>
                <w:color w:val="auto"/>
              </w:rPr>
            </w:pPr>
          </w:p>
        </w:tc>
        <w:tc>
          <w:tcPr>
            <w:tcW w:w="400" w:type="dxa"/>
            <w:vAlign w:val="bottom"/>
          </w:tcPr>
          <w:p>
            <w:pPr>
              <w:spacing w:after="0"/>
              <w:rPr>
                <w:sz w:val="2"/>
                <w:szCs w:val="2"/>
                <w:color w:val="auto"/>
              </w:rPr>
            </w:pPr>
          </w:p>
        </w:tc>
        <w:tc>
          <w:tcPr>
            <w:tcW w:w="14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56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 debt obligations</w:t>
            </w:r>
          </w:p>
        </w:tc>
        <w:tc>
          <w:tcPr>
            <w:tcW w:w="100" w:type="dxa"/>
            <w:vAlign w:val="bottom"/>
            <w:shd w:val="clear" w:color="auto" w:fill="CCEEFF"/>
          </w:tcPr>
          <w:p>
            <w:pPr>
              <w:spacing w:after="0"/>
              <w:rPr>
                <w:sz w:val="20"/>
                <w:szCs w:val="20"/>
                <w:color w:val="auto"/>
              </w:rPr>
            </w:pPr>
            <w:r>
              <w:rPr>
                <w:rFonts w:ascii="Arial" w:cs="Arial" w:eastAsia="Arial" w:hAnsi="Arial"/>
                <w:sz w:val="18"/>
                <w:szCs w:val="18"/>
                <w:u w:val="single" w:color="auto"/>
                <w:color w:val="auto"/>
                <w:w w:val="79"/>
              </w:rPr>
              <w:t>$</w:t>
            </w: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w w:val="87"/>
              </w:rPr>
              <w:t>4,115,344</w:t>
            </w:r>
          </w:p>
        </w:tc>
        <w:tc>
          <w:tcPr>
            <w:tcW w:w="5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w w:val="87"/>
              </w:rPr>
              <w:t>3,797,729</w:t>
            </w:r>
          </w:p>
        </w:tc>
        <w:tc>
          <w:tcPr>
            <w:tcW w:w="52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4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640" w:type="dxa"/>
            <w:vAlign w:val="bottom"/>
            <w:vMerge w:val="restart"/>
          </w:tcPr>
          <w:p>
            <w:pPr>
              <w:ind w:left="360"/>
              <w:spacing w:after="0"/>
              <w:rPr>
                <w:sz w:val="20"/>
                <w:szCs w:val="20"/>
                <w:color w:val="auto"/>
              </w:rPr>
            </w:pPr>
            <w:r>
              <w:rPr>
                <w:rFonts w:ascii="Arial" w:cs="Arial" w:eastAsia="Arial" w:hAnsi="Arial"/>
                <w:sz w:val="18"/>
                <w:szCs w:val="18"/>
                <w:color w:val="auto"/>
              </w:rPr>
              <w:t>Amount due within one year</w:t>
            </w: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640" w:type="dxa"/>
            <w:vAlign w:val="bottom"/>
            <w:vMerge w:val="continue"/>
          </w:tcPr>
          <w:p>
            <w:pPr>
              <w:spacing w:after="0"/>
              <w:rPr>
                <w:sz w:val="18"/>
                <w:szCs w:val="18"/>
                <w:color w:val="auto"/>
              </w:rPr>
            </w:pPr>
          </w:p>
        </w:tc>
        <w:tc>
          <w:tcPr>
            <w:tcW w:w="10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408,365</w:t>
            </w:r>
          </w:p>
        </w:tc>
        <w:tc>
          <w:tcPr>
            <w:tcW w:w="2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242,433</w:t>
            </w:r>
          </w:p>
        </w:tc>
        <w:tc>
          <w:tcPr>
            <w:tcW w:w="2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4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6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6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Amounts due beyond one year</w:t>
            </w:r>
          </w:p>
        </w:tc>
        <w:tc>
          <w:tcPr>
            <w:tcW w:w="100" w:type="dxa"/>
            <w:vAlign w:val="bottom"/>
            <w:shd w:val="clear" w:color="auto" w:fill="CCEEFF"/>
          </w:tcPr>
          <w:p>
            <w:pPr>
              <w:spacing w:after="0"/>
              <w:rPr>
                <w:sz w:val="20"/>
                <w:szCs w:val="20"/>
                <w:color w:val="auto"/>
              </w:rPr>
            </w:pPr>
            <w:r>
              <w:rPr>
                <w:rFonts w:ascii="Arial" w:cs="Arial" w:eastAsia="Arial" w:hAnsi="Arial"/>
                <w:sz w:val="18"/>
                <w:szCs w:val="18"/>
                <w:u w:val="single" w:color="auto"/>
                <w:color w:val="auto"/>
                <w:w w:val="79"/>
              </w:rPr>
              <w:t>$</w:t>
            </w: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w w:val="87"/>
              </w:rPr>
              <w:t>3,706,979</w:t>
            </w:r>
          </w:p>
        </w:tc>
        <w:tc>
          <w:tcPr>
            <w:tcW w:w="5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w w:val="87"/>
              </w:rPr>
              <w:t>3,555,296</w:t>
            </w:r>
          </w:p>
        </w:tc>
        <w:tc>
          <w:tcPr>
            <w:tcW w:w="52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4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6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42" w:lineRule="exact"/>
        <w:rPr>
          <w:sz w:val="20"/>
          <w:szCs w:val="20"/>
          <w:color w:val="auto"/>
        </w:rPr>
      </w:pPr>
    </w:p>
    <w:p>
      <w:pPr>
        <w:ind w:left="424" w:right="120" w:hanging="424"/>
        <w:spacing w:after="0" w:line="277" w:lineRule="auto"/>
        <w:tabs>
          <w:tab w:leader="none" w:pos="424" w:val="left"/>
        </w:tabs>
        <w:numPr>
          <w:ilvl w:val="0"/>
          <w:numId w:val="122"/>
        </w:numPr>
        <w:rPr>
          <w:rFonts w:ascii="Arial" w:cs="Arial" w:eastAsia="Arial" w:hAnsi="Arial"/>
          <w:sz w:val="18"/>
          <w:szCs w:val="18"/>
          <w:color w:val="auto"/>
        </w:rPr>
      </w:pPr>
      <w:r>
        <w:rPr>
          <w:rFonts w:ascii="Arial" w:cs="Arial" w:eastAsia="Arial" w:hAnsi="Arial"/>
          <w:sz w:val="18"/>
          <w:szCs w:val="18"/>
          <w:color w:val="auto"/>
        </w:rPr>
        <w:t>Final maturity of the TMCL II Secured Debt Facility is based on the assumption that the facility will not be extended on its scheduled conversion date.</w:t>
      </w:r>
    </w:p>
    <w:p>
      <w:pPr>
        <w:spacing w:after="0" w:line="10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F-36</w:t>
      </w:r>
    </w:p>
    <w:p>
      <w:pPr>
        <w:sectPr>
          <w:pgSz w:w="11900" w:h="16838" w:orient="portrait"/>
          <w:cols w:equalWidth="0" w:num="1">
            <w:col w:w="11024"/>
          </w:cols>
          <w:pgMar w:left="436" w:top="274" w:right="439" w:bottom="1440" w:gutter="0" w:footer="0" w:header="0"/>
        </w:sectPr>
      </w:pPr>
    </w:p>
    <w:bookmarkStart w:id="150" w:name="page151"/>
    <w:bookmarkEnd w:id="150"/>
    <w:p>
      <w:pPr>
        <w:ind w:left="4" w:right="100" w:firstLine="44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Company’s debt facilities are secured by specific pools of containers and related assets owned by the Company. The Company’s debt agreements contain various restrictive financial and other covenants related to leverage, interest coverage, fixed charge coverage, container sales proceeds ratio, net income and debt levels and consolidated tangible net worth, including limitations on certain liens, indebtedness and investments. All of the Company’s debt facilities contain restrictive covenants on borrowing base minimums.</w:t>
      </w:r>
    </w:p>
    <w:p>
      <w:pPr>
        <w:spacing w:after="0" w:line="187" w:lineRule="exact"/>
        <w:rPr>
          <w:sz w:val="20"/>
          <w:szCs w:val="20"/>
          <w:color w:val="auto"/>
        </w:rPr>
      </w:pPr>
    </w:p>
    <w:p>
      <w:pPr>
        <w:ind w:left="4" w:right="280" w:firstLine="440"/>
        <w:spacing w:after="0" w:line="279" w:lineRule="auto"/>
        <w:rPr>
          <w:sz w:val="20"/>
          <w:szCs w:val="20"/>
          <w:color w:val="auto"/>
        </w:rPr>
      </w:pPr>
      <w:r>
        <w:rPr>
          <w:rFonts w:ascii="Arial" w:cs="Arial" w:eastAsia="Arial" w:hAnsi="Arial"/>
          <w:sz w:val="17"/>
          <w:szCs w:val="17"/>
          <w:color w:val="auto"/>
        </w:rPr>
        <w:t>Under the terms of the debt agreements, the total outstanding principal may not exceed an amount that is calculated as the total of the eligible containers designated to the respective facility times a certain advance rate, then plus the restricted cash amount (the “Asset Base”). For secured debt and revolving credit facilities, the total outstanding principal may not exceed the lesser of the commitment amount or the Asset Base. TGH and its subsidiaries were in full compliance with these restrictive covenants as of December 31, 2020.</w:t>
      </w:r>
    </w:p>
    <w:p>
      <w:pPr>
        <w:spacing w:after="0" w:line="279" w:lineRule="exact"/>
        <w:rPr>
          <w:sz w:val="20"/>
          <w:szCs w:val="20"/>
          <w:color w:val="auto"/>
        </w:rPr>
      </w:pPr>
    </w:p>
    <w:p>
      <w:pPr>
        <w:ind w:left="4"/>
        <w:spacing w:after="0"/>
        <w:rPr>
          <w:sz w:val="20"/>
          <w:szCs w:val="20"/>
          <w:color w:val="auto"/>
        </w:rPr>
      </w:pPr>
      <w:r>
        <w:rPr>
          <w:rFonts w:ascii="Arial" w:cs="Arial" w:eastAsia="Arial" w:hAnsi="Arial"/>
          <w:sz w:val="18"/>
          <w:szCs w:val="18"/>
          <w:b w:val="1"/>
          <w:bCs w:val="1"/>
          <w:i w:val="1"/>
          <w:iCs w:val="1"/>
          <w:color w:val="auto"/>
        </w:rPr>
        <w:t>Secured Debt Facilities</w:t>
      </w:r>
    </w:p>
    <w:p>
      <w:pPr>
        <w:spacing w:after="0" w:line="131" w:lineRule="exact"/>
        <w:rPr>
          <w:sz w:val="20"/>
          <w:szCs w:val="20"/>
          <w:color w:val="auto"/>
        </w:rPr>
      </w:pPr>
    </w:p>
    <w:p>
      <w:pPr>
        <w:ind w:left="424" w:hanging="424"/>
        <w:spacing w:after="0"/>
        <w:tabs>
          <w:tab w:leader="none" w:pos="424" w:val="left"/>
        </w:tabs>
        <w:numPr>
          <w:ilvl w:val="0"/>
          <w:numId w:val="123"/>
        </w:numPr>
        <w:rPr>
          <w:rFonts w:ascii="Arial" w:cs="Arial" w:eastAsia="Arial" w:hAnsi="Arial"/>
          <w:sz w:val="18"/>
          <w:szCs w:val="18"/>
          <w:color w:val="auto"/>
        </w:rPr>
      </w:pPr>
      <w:r>
        <w:rPr>
          <w:rFonts w:ascii="Arial" w:cs="Arial" w:eastAsia="Arial" w:hAnsi="Arial"/>
          <w:sz w:val="18"/>
          <w:szCs w:val="18"/>
          <w:b w:val="1"/>
          <w:bCs w:val="1"/>
          <w:i w:val="1"/>
          <w:iCs w:val="1"/>
          <w:color w:val="auto"/>
        </w:rPr>
        <w:t>TMCL II</w:t>
      </w:r>
    </w:p>
    <w:p>
      <w:pPr>
        <w:spacing w:after="0" w:line="117" w:lineRule="exact"/>
        <w:rPr>
          <w:sz w:val="20"/>
          <w:szCs w:val="20"/>
          <w:color w:val="auto"/>
        </w:rPr>
      </w:pPr>
    </w:p>
    <w:p>
      <w:pPr>
        <w:ind w:left="444"/>
        <w:spacing w:after="0"/>
        <w:rPr>
          <w:sz w:val="20"/>
          <w:szCs w:val="20"/>
          <w:color w:val="auto"/>
        </w:rPr>
      </w:pPr>
      <w:r>
        <w:rPr>
          <w:rFonts w:ascii="Arial" w:cs="Arial" w:eastAsia="Arial" w:hAnsi="Arial"/>
          <w:sz w:val="18"/>
          <w:szCs w:val="18"/>
          <w:color w:val="auto"/>
        </w:rPr>
        <w:t>TMCL II has a securitization facility (the “TMCL II Secured Debt Facility”) that provides for an aggregate commitment amount of up to</w:t>
      </w:r>
    </w:p>
    <w:p>
      <w:pPr>
        <w:spacing w:after="0" w:line="23" w:lineRule="exact"/>
        <w:rPr>
          <w:sz w:val="20"/>
          <w:szCs w:val="20"/>
          <w:color w:val="auto"/>
        </w:rPr>
      </w:pPr>
    </w:p>
    <w:p>
      <w:pPr>
        <w:ind w:left="4"/>
        <w:spacing w:after="0"/>
        <w:rPr>
          <w:sz w:val="20"/>
          <w:szCs w:val="20"/>
          <w:color w:val="auto"/>
        </w:rPr>
      </w:pPr>
      <w:r>
        <w:rPr>
          <w:rFonts w:ascii="Arial" w:cs="Arial" w:eastAsia="Arial" w:hAnsi="Arial"/>
          <w:sz w:val="16"/>
          <w:szCs w:val="16"/>
          <w:color w:val="auto"/>
        </w:rPr>
        <w:t>$1,200,000. There is a commitment fee on the unused amount of the total commitment, payable monthly in arrears. The interest rate, payable monthly in</w:t>
      </w:r>
    </w:p>
    <w:p>
      <w:pPr>
        <w:spacing w:after="0" w:line="32" w:lineRule="exact"/>
        <w:rPr>
          <w:sz w:val="20"/>
          <w:szCs w:val="20"/>
          <w:color w:val="auto"/>
        </w:rPr>
      </w:pPr>
    </w:p>
    <w:p>
      <w:pPr>
        <w:ind w:left="4"/>
        <w:spacing w:after="0"/>
        <w:rPr>
          <w:sz w:val="20"/>
          <w:szCs w:val="20"/>
          <w:color w:val="auto"/>
        </w:rPr>
      </w:pPr>
      <w:r>
        <w:rPr>
          <w:rFonts w:ascii="Arial" w:cs="Arial" w:eastAsia="Arial" w:hAnsi="Arial"/>
          <w:sz w:val="18"/>
          <w:szCs w:val="18"/>
          <w:color w:val="auto"/>
        </w:rPr>
        <w:t>arrears, is one-month LIBOR plus spread of 1.75% during the revolving period prior to the conversion date.</w:t>
      </w:r>
    </w:p>
    <w:p>
      <w:pPr>
        <w:spacing w:after="0" w:line="319" w:lineRule="exact"/>
        <w:rPr>
          <w:sz w:val="20"/>
          <w:szCs w:val="20"/>
          <w:color w:val="auto"/>
        </w:rPr>
      </w:pPr>
    </w:p>
    <w:p>
      <w:pPr>
        <w:ind w:left="4"/>
        <w:spacing w:after="0"/>
        <w:rPr>
          <w:sz w:val="20"/>
          <w:szCs w:val="20"/>
          <w:color w:val="auto"/>
        </w:rPr>
      </w:pPr>
      <w:r>
        <w:rPr>
          <w:rFonts w:ascii="Arial" w:cs="Arial" w:eastAsia="Arial" w:hAnsi="Arial"/>
          <w:sz w:val="18"/>
          <w:szCs w:val="18"/>
          <w:b w:val="1"/>
          <w:bCs w:val="1"/>
          <w:i w:val="1"/>
          <w:iCs w:val="1"/>
          <w:color w:val="auto"/>
        </w:rPr>
        <w:t>Credit Facilities</w:t>
      </w:r>
    </w:p>
    <w:p>
      <w:pPr>
        <w:spacing w:after="0" w:line="131" w:lineRule="exact"/>
        <w:rPr>
          <w:sz w:val="20"/>
          <w:szCs w:val="20"/>
          <w:color w:val="auto"/>
        </w:rPr>
      </w:pPr>
    </w:p>
    <w:p>
      <w:pPr>
        <w:ind w:left="424" w:hanging="424"/>
        <w:spacing w:after="0"/>
        <w:tabs>
          <w:tab w:leader="none" w:pos="424" w:val="left"/>
        </w:tabs>
        <w:numPr>
          <w:ilvl w:val="0"/>
          <w:numId w:val="124"/>
        </w:numPr>
        <w:rPr>
          <w:rFonts w:ascii="Arial" w:cs="Arial" w:eastAsia="Arial" w:hAnsi="Arial"/>
          <w:sz w:val="18"/>
          <w:szCs w:val="18"/>
          <w:color w:val="auto"/>
        </w:rPr>
      </w:pPr>
      <w:r>
        <w:rPr>
          <w:rFonts w:ascii="Arial" w:cs="Arial" w:eastAsia="Arial" w:hAnsi="Arial"/>
          <w:sz w:val="18"/>
          <w:szCs w:val="18"/>
          <w:b w:val="1"/>
          <w:bCs w:val="1"/>
          <w:i w:val="1"/>
          <w:iCs w:val="1"/>
          <w:color w:val="auto"/>
        </w:rPr>
        <w:t>TL</w:t>
      </w:r>
    </w:p>
    <w:p>
      <w:pPr>
        <w:spacing w:after="0" w:line="117" w:lineRule="exact"/>
        <w:rPr>
          <w:sz w:val="20"/>
          <w:szCs w:val="20"/>
          <w:color w:val="auto"/>
        </w:rPr>
      </w:pPr>
    </w:p>
    <w:p>
      <w:pPr>
        <w:ind w:left="4" w:firstLine="440"/>
        <w:spacing w:after="0" w:line="271" w:lineRule="auto"/>
        <w:rPr>
          <w:sz w:val="20"/>
          <w:szCs w:val="20"/>
          <w:color w:val="auto"/>
        </w:rPr>
      </w:pPr>
      <w:r>
        <w:rPr>
          <w:rFonts w:ascii="Arial" w:cs="Arial" w:eastAsia="Arial" w:hAnsi="Arial"/>
          <w:sz w:val="17"/>
          <w:szCs w:val="17"/>
          <w:color w:val="auto"/>
        </w:rPr>
        <w:t>TL has a revolving credit facility (the “TL Revolving Credit Facility”) that provides for an aggregate commitment amount of up to $1,500,000 (which includes a $25,000 letter of credit facility). There is a commitment fee on the unused amount of the total commitment, payable quarterly in arrears. The TL Revolving Credit Facility provides for payments of interest only during its term beginning on its inception date through September 2023 when all borrowings are due in full. Interest on the outstanding amount due under the TL Revolving Credit Facility is based either on the base rate for Base Rate loans plus a spread between 1.5% and 2.0% or LIBOR for Eurodollar rate loans plus a spread between 2.0% and 2.5%, as defined in the credit agreement, which varied based on TGH’s leverage. Interest payments on Base Rate loans and Eurodollar rate loans are payable in arrears on the last day of each calendar month and on the last day of each interest period, respectively. In July 2020, TL entered into an amendment of the TL Revolving Credit Facility which revised certain of the covenants and restrictions.</w:t>
      </w:r>
    </w:p>
    <w:p>
      <w:pPr>
        <w:spacing w:after="0" w:line="178" w:lineRule="exact"/>
        <w:rPr>
          <w:sz w:val="20"/>
          <w:szCs w:val="20"/>
          <w:color w:val="auto"/>
        </w:rPr>
      </w:pPr>
    </w:p>
    <w:p>
      <w:pPr>
        <w:ind w:left="4" w:firstLine="440"/>
        <w:spacing w:after="0" w:line="277" w:lineRule="auto"/>
        <w:rPr>
          <w:sz w:val="20"/>
          <w:szCs w:val="20"/>
          <w:color w:val="auto"/>
        </w:rPr>
      </w:pPr>
      <w:r>
        <w:rPr>
          <w:rFonts w:ascii="Arial" w:cs="Arial" w:eastAsia="Arial" w:hAnsi="Arial"/>
          <w:sz w:val="18"/>
          <w:szCs w:val="18"/>
          <w:color w:val="auto"/>
        </w:rPr>
        <w:t>The TL Revolving Credit Facility contains cross default provisions that may result in an acceleration of principal repayment under the debt facility if an uncured default condition were to exist. TGH acts as an unconditional guarantor of the TL Revolving Credit Facility.</w:t>
      </w:r>
    </w:p>
    <w:p>
      <w:pPr>
        <w:spacing w:after="0" w:line="319" w:lineRule="exact"/>
        <w:rPr>
          <w:sz w:val="20"/>
          <w:szCs w:val="20"/>
          <w:color w:val="auto"/>
        </w:rPr>
      </w:pPr>
    </w:p>
    <w:p>
      <w:pPr>
        <w:ind w:left="424" w:hanging="424"/>
        <w:spacing w:after="0"/>
        <w:tabs>
          <w:tab w:leader="none" w:pos="424" w:val="left"/>
        </w:tabs>
        <w:numPr>
          <w:ilvl w:val="0"/>
          <w:numId w:val="125"/>
        </w:numPr>
        <w:rPr>
          <w:rFonts w:ascii="Arial" w:cs="Arial" w:eastAsia="Arial" w:hAnsi="Arial"/>
          <w:sz w:val="18"/>
          <w:szCs w:val="18"/>
          <w:color w:val="auto"/>
        </w:rPr>
      </w:pPr>
      <w:r>
        <w:rPr>
          <w:rFonts w:ascii="Arial" w:cs="Arial" w:eastAsia="Arial" w:hAnsi="Arial"/>
          <w:sz w:val="18"/>
          <w:szCs w:val="18"/>
          <w:b w:val="1"/>
          <w:bCs w:val="1"/>
          <w:i w:val="1"/>
          <w:iCs w:val="1"/>
          <w:color w:val="auto"/>
        </w:rPr>
        <w:t>TAP Funding</w:t>
      </w:r>
    </w:p>
    <w:p>
      <w:pPr>
        <w:spacing w:after="0" w:line="117" w:lineRule="exact"/>
        <w:rPr>
          <w:sz w:val="20"/>
          <w:szCs w:val="20"/>
          <w:color w:val="auto"/>
        </w:rPr>
      </w:pPr>
    </w:p>
    <w:p>
      <w:pPr>
        <w:ind w:left="4" w:right="20" w:firstLine="440"/>
        <w:spacing w:after="0" w:line="296" w:lineRule="auto"/>
        <w:rPr>
          <w:sz w:val="20"/>
          <w:szCs w:val="20"/>
          <w:color w:val="auto"/>
        </w:rPr>
      </w:pPr>
      <w:r>
        <w:rPr>
          <w:rFonts w:ascii="Arial" w:cs="Arial" w:eastAsia="Arial" w:hAnsi="Arial"/>
          <w:sz w:val="16"/>
          <w:szCs w:val="16"/>
          <w:color w:val="auto"/>
        </w:rPr>
        <w:t>TAP Funding had a credit agreement, that provides for a revolving credit facility with an aggregate commitment amount of up to $155,000 (the “TAP Funding Revolving Credit Facility”). There was a commitment fee on the unused amount of the total commitment, payable monthly in arrears. Interest on the outstanding amount due under the TAP Funding Revolving Credit Facility was based on one-month LIBOR plus 1.95%, payable monthly in arrears. In February 2020, the Company entered into an amendment of the TAP Funding Revolving Credit Facility which decreased the aggregate commitment amount from $190,000 to $155,000, reduced the advance rate from 80% to 78%, and revised certain of the covenants and restrictions.</w:t>
      </w:r>
    </w:p>
    <w:p>
      <w:pPr>
        <w:spacing w:after="0" w:line="161" w:lineRule="exact"/>
        <w:rPr>
          <w:sz w:val="20"/>
          <w:szCs w:val="20"/>
          <w:color w:val="auto"/>
        </w:rPr>
      </w:pPr>
    </w:p>
    <w:p>
      <w:pPr>
        <w:ind w:left="4" w:right="380" w:firstLine="440"/>
        <w:spacing w:after="0" w:line="277" w:lineRule="auto"/>
        <w:rPr>
          <w:sz w:val="20"/>
          <w:szCs w:val="20"/>
          <w:color w:val="auto"/>
        </w:rPr>
      </w:pPr>
      <w:r>
        <w:rPr>
          <w:rFonts w:ascii="Arial" w:cs="Arial" w:eastAsia="Arial" w:hAnsi="Arial"/>
          <w:sz w:val="18"/>
          <w:szCs w:val="18"/>
          <w:color w:val="auto"/>
        </w:rPr>
        <w:t>In February 2021, the Company fully repaid and terminated the TAP Funding Revolving Credit Facility (see Note 14 “Subsequent Event” for further information).</w:t>
      </w:r>
    </w:p>
    <w:p>
      <w:pPr>
        <w:spacing w:after="0" w:line="278" w:lineRule="exact"/>
        <w:rPr>
          <w:sz w:val="20"/>
          <w:szCs w:val="20"/>
          <w:color w:val="auto"/>
        </w:rPr>
      </w:pPr>
    </w:p>
    <w:p>
      <w:pPr>
        <w:ind w:left="4"/>
        <w:spacing w:after="0"/>
        <w:rPr>
          <w:sz w:val="20"/>
          <w:szCs w:val="20"/>
          <w:color w:val="auto"/>
        </w:rPr>
      </w:pPr>
      <w:r>
        <w:rPr>
          <w:rFonts w:ascii="Arial" w:cs="Arial" w:eastAsia="Arial" w:hAnsi="Arial"/>
          <w:sz w:val="18"/>
          <w:szCs w:val="18"/>
          <w:b w:val="1"/>
          <w:bCs w:val="1"/>
          <w:i w:val="1"/>
          <w:iCs w:val="1"/>
          <w:color w:val="auto"/>
        </w:rPr>
        <w:t>Term Loan</w:t>
      </w:r>
    </w:p>
    <w:p>
      <w:pPr>
        <w:spacing w:after="0" w:line="131" w:lineRule="exact"/>
        <w:rPr>
          <w:sz w:val="20"/>
          <w:szCs w:val="20"/>
          <w:color w:val="auto"/>
        </w:rPr>
      </w:pPr>
    </w:p>
    <w:p>
      <w:pPr>
        <w:ind w:left="424" w:hanging="424"/>
        <w:spacing w:after="0"/>
        <w:tabs>
          <w:tab w:leader="none" w:pos="424" w:val="left"/>
        </w:tabs>
        <w:numPr>
          <w:ilvl w:val="0"/>
          <w:numId w:val="126"/>
        </w:numPr>
        <w:rPr>
          <w:rFonts w:ascii="Arial" w:cs="Arial" w:eastAsia="Arial" w:hAnsi="Arial"/>
          <w:sz w:val="18"/>
          <w:szCs w:val="18"/>
          <w:color w:val="auto"/>
        </w:rPr>
      </w:pPr>
      <w:r>
        <w:rPr>
          <w:rFonts w:ascii="Arial" w:cs="Arial" w:eastAsia="Arial" w:hAnsi="Arial"/>
          <w:sz w:val="18"/>
          <w:szCs w:val="18"/>
          <w:b w:val="1"/>
          <w:bCs w:val="1"/>
          <w:i w:val="1"/>
          <w:iCs w:val="1"/>
          <w:color w:val="auto"/>
        </w:rPr>
        <w:t>TL</w:t>
      </w:r>
    </w:p>
    <w:p>
      <w:pPr>
        <w:spacing w:after="0" w:line="117" w:lineRule="exact"/>
        <w:rPr>
          <w:sz w:val="20"/>
          <w:szCs w:val="20"/>
          <w:color w:val="auto"/>
        </w:rPr>
      </w:pPr>
    </w:p>
    <w:p>
      <w:pPr>
        <w:jc w:val="both"/>
        <w:ind w:left="4" w:right="40" w:firstLine="440"/>
        <w:spacing w:after="0" w:line="279" w:lineRule="auto"/>
        <w:rPr>
          <w:sz w:val="20"/>
          <w:szCs w:val="20"/>
          <w:color w:val="auto"/>
        </w:rPr>
      </w:pPr>
      <w:r>
        <w:rPr>
          <w:rFonts w:ascii="Arial" w:cs="Arial" w:eastAsia="Arial" w:hAnsi="Arial"/>
          <w:sz w:val="17"/>
          <w:szCs w:val="17"/>
          <w:color w:val="auto"/>
        </w:rPr>
        <w:t>TL has a $160,000 fixed rate term loan (the “TL 2019 Term Loan”) with a group of financial institutions. Interest on the outstanding amount due under the TL 2019 Term Loan is based on a fixed rate of 3.50% per annum, payable monthly in arrears. In July 2020, TL entered into an amendment of the TL 2019 Term Loan which revised certain of the covenants and restrictions. The TL 2019 Term Loan also contains cross default provisions that may result in an acceleration of principal repayment under the debt facility if an uncured default condition were to exist.</w:t>
      </w:r>
    </w:p>
    <w:p>
      <w:pPr>
        <w:spacing w:after="0" w:line="104"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F-37</w:t>
      </w:r>
    </w:p>
    <w:p>
      <w:pPr>
        <w:sectPr>
          <w:pgSz w:w="11900" w:h="16838" w:orient="portrait"/>
          <w:cols w:equalWidth="0" w:num="1">
            <w:col w:w="11004"/>
          </w:cols>
          <w:pgMar w:left="436" w:top="274" w:right="459" w:bottom="1440" w:gutter="0" w:footer="0" w:header="0"/>
        </w:sectPr>
      </w:pPr>
    </w:p>
    <w:bookmarkStart w:id="151" w:name="page152"/>
    <w:bookmarkEnd w:id="151"/>
    <w:p>
      <w:pPr>
        <w:ind w:left="424" w:hanging="424"/>
        <w:spacing w:after="0"/>
        <w:tabs>
          <w:tab w:leader="none" w:pos="424" w:val="left"/>
        </w:tabs>
        <w:numPr>
          <w:ilvl w:val="0"/>
          <w:numId w:val="127"/>
        </w:numPr>
        <w:rPr>
          <w:rFonts w:ascii="Arial" w:cs="Arial" w:eastAsia="Arial" w:hAnsi="Arial"/>
          <w:sz w:val="18"/>
          <w:szCs w:val="18"/>
          <w:color w:val="auto"/>
        </w:rPr>
      </w:pPr>
      <w:r>
        <w:rPr>
          <w:rFonts w:ascii="Arial" w:cs="Arial" w:eastAsia="Arial" w:hAnsi="Arial"/>
          <w:sz w:val="18"/>
          <w:szCs w:val="18"/>
          <w:b w:val="1"/>
          <w:bCs w:val="1"/>
          <w:i w:val="1"/>
          <w:i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TMCL VI</w:t>
      </w:r>
    </w:p>
    <w:p>
      <w:pPr>
        <w:spacing w:after="0" w:line="117" w:lineRule="exact"/>
        <w:rPr>
          <w:sz w:val="20"/>
          <w:szCs w:val="20"/>
          <w:color w:val="auto"/>
        </w:rPr>
      </w:pPr>
    </w:p>
    <w:p>
      <w:pPr>
        <w:ind w:left="4" w:right="440" w:firstLine="440"/>
        <w:spacing w:after="0" w:line="308" w:lineRule="auto"/>
        <w:rPr>
          <w:sz w:val="20"/>
          <w:szCs w:val="20"/>
          <w:color w:val="auto"/>
        </w:rPr>
      </w:pPr>
      <w:r>
        <w:rPr>
          <w:rFonts w:ascii="Arial" w:cs="Arial" w:eastAsia="Arial" w:hAnsi="Arial"/>
          <w:sz w:val="17"/>
          <w:szCs w:val="17"/>
          <w:color w:val="auto"/>
        </w:rPr>
        <w:t>TMCL VI has a $300,000 fixed rate term loan (the “TMCL VI Term Loan”) with a lender group comprised of a financial institution and one institutional investor. Under the terms of the TMCL VI Term Loan, both principal and interest incurred are payable monthly.</w:t>
      </w:r>
    </w:p>
    <w:p>
      <w:pPr>
        <w:spacing w:after="0" w:line="254" w:lineRule="exact"/>
        <w:rPr>
          <w:sz w:val="20"/>
          <w:szCs w:val="20"/>
          <w:color w:val="auto"/>
        </w:rPr>
      </w:pPr>
    </w:p>
    <w:p>
      <w:pPr>
        <w:ind w:left="4"/>
        <w:spacing w:after="0"/>
        <w:rPr>
          <w:sz w:val="20"/>
          <w:szCs w:val="20"/>
          <w:color w:val="auto"/>
        </w:rPr>
      </w:pPr>
      <w:r>
        <w:rPr>
          <w:rFonts w:ascii="Arial" w:cs="Arial" w:eastAsia="Arial" w:hAnsi="Arial"/>
          <w:sz w:val="18"/>
          <w:szCs w:val="18"/>
          <w:b w:val="1"/>
          <w:bCs w:val="1"/>
          <w:i w:val="1"/>
          <w:iCs w:val="1"/>
          <w:color w:val="auto"/>
        </w:rPr>
        <w:t>Bonds Payable</w:t>
      </w:r>
    </w:p>
    <w:p>
      <w:pPr>
        <w:spacing w:after="0" w:line="131" w:lineRule="exact"/>
        <w:rPr>
          <w:sz w:val="20"/>
          <w:szCs w:val="20"/>
          <w:color w:val="auto"/>
        </w:rPr>
      </w:pPr>
    </w:p>
    <w:p>
      <w:pPr>
        <w:ind w:left="424" w:hanging="424"/>
        <w:spacing w:after="0"/>
        <w:tabs>
          <w:tab w:leader="none" w:pos="424" w:val="left"/>
        </w:tabs>
        <w:numPr>
          <w:ilvl w:val="0"/>
          <w:numId w:val="128"/>
        </w:numPr>
        <w:rPr>
          <w:rFonts w:ascii="Arial" w:cs="Arial" w:eastAsia="Arial" w:hAnsi="Arial"/>
          <w:sz w:val="18"/>
          <w:szCs w:val="18"/>
          <w:color w:val="auto"/>
        </w:rPr>
      </w:pPr>
      <w:r>
        <w:rPr>
          <w:rFonts w:ascii="Arial" w:cs="Arial" w:eastAsia="Arial" w:hAnsi="Arial"/>
          <w:sz w:val="18"/>
          <w:szCs w:val="18"/>
          <w:b w:val="1"/>
          <w:bCs w:val="1"/>
          <w:i w:val="1"/>
          <w:iCs w:val="1"/>
          <w:color w:val="auto"/>
        </w:rPr>
        <w:t>TMCL V</w:t>
      </w:r>
    </w:p>
    <w:p>
      <w:pPr>
        <w:spacing w:after="0" w:line="117" w:lineRule="exact"/>
        <w:rPr>
          <w:sz w:val="20"/>
          <w:szCs w:val="20"/>
          <w:color w:val="auto"/>
        </w:rPr>
      </w:pPr>
    </w:p>
    <w:p>
      <w:pPr>
        <w:jc w:val="both"/>
        <w:ind w:left="4" w:right="100" w:firstLine="440"/>
        <w:spacing w:after="0" w:line="259" w:lineRule="auto"/>
        <w:rPr>
          <w:sz w:val="20"/>
          <w:szCs w:val="20"/>
          <w:color w:val="auto"/>
        </w:rPr>
      </w:pPr>
      <w:r>
        <w:rPr>
          <w:rFonts w:ascii="Arial" w:cs="Arial" w:eastAsia="Arial" w:hAnsi="Arial"/>
          <w:sz w:val="18"/>
          <w:szCs w:val="18"/>
          <w:i w:val="1"/>
          <w:iCs w:val="1"/>
          <w:color w:val="auto"/>
        </w:rPr>
        <w:t xml:space="preserve">TMCL V 2017-1 Bonds. </w:t>
      </w:r>
      <w:r>
        <w:rPr>
          <w:rFonts w:ascii="Arial" w:cs="Arial" w:eastAsia="Arial" w:hAnsi="Arial"/>
          <w:sz w:val="18"/>
          <w:szCs w:val="18"/>
          <w:color w:val="auto"/>
        </w:rPr>
        <w:t>TMCL V issued the Series 2017-1 Fixed Rate Asset Backed Notes (the “TMCL V 2017-1 Bonds”), $350,000 aggregate</w:t>
      </w:r>
      <w:r>
        <w:rPr>
          <w:rFonts w:ascii="Arial" w:cs="Arial" w:eastAsia="Arial" w:hAnsi="Arial"/>
          <w:sz w:val="18"/>
          <w:szCs w:val="18"/>
          <w:i w:val="1"/>
          <w:iCs w:val="1"/>
          <w:color w:val="auto"/>
        </w:rPr>
        <w:t xml:space="preserve"> </w:t>
      </w:r>
      <w:r>
        <w:rPr>
          <w:rFonts w:ascii="Arial" w:cs="Arial" w:eastAsia="Arial" w:hAnsi="Arial"/>
          <w:sz w:val="18"/>
          <w:szCs w:val="18"/>
          <w:color w:val="auto"/>
        </w:rPr>
        <w:t>Class A principal amount and $70,000 aggregate Class B principal amount of TMCL V 2017-1 Bonds. Under the terms of the TMCL V 2017-1 Bonds, both principal and interest incurred were payable monthly. In August 2020, TMCL V 2017-1 Bonds was terminated and fully repaid by proceeds from the TMCL VII 2020-1 Bonds.</w:t>
      </w:r>
    </w:p>
    <w:p>
      <w:pPr>
        <w:spacing w:after="0" w:line="187" w:lineRule="exact"/>
        <w:rPr>
          <w:sz w:val="20"/>
          <w:szCs w:val="20"/>
          <w:color w:val="auto"/>
        </w:rPr>
      </w:pPr>
    </w:p>
    <w:p>
      <w:pPr>
        <w:ind w:left="4" w:right="120" w:firstLine="440"/>
        <w:spacing w:after="0" w:line="259" w:lineRule="auto"/>
        <w:rPr>
          <w:sz w:val="20"/>
          <w:szCs w:val="20"/>
          <w:color w:val="auto"/>
        </w:rPr>
      </w:pPr>
      <w:r>
        <w:rPr>
          <w:rFonts w:ascii="Arial" w:cs="Arial" w:eastAsia="Arial" w:hAnsi="Arial"/>
          <w:sz w:val="18"/>
          <w:szCs w:val="18"/>
          <w:i w:val="1"/>
          <w:iCs w:val="1"/>
          <w:color w:val="auto"/>
        </w:rPr>
        <w:t xml:space="preserve">TMCL V 2017-2 Bonds. </w:t>
      </w:r>
      <w:r>
        <w:rPr>
          <w:rFonts w:ascii="Arial" w:cs="Arial" w:eastAsia="Arial" w:hAnsi="Arial"/>
          <w:sz w:val="18"/>
          <w:szCs w:val="18"/>
          <w:color w:val="auto"/>
        </w:rPr>
        <w:t>TMCL V also issued the Series 2017-2 Fixed Rate Asset Backed Notes (the “TMCL V 2017-2 Bonds”), $416,000</w:t>
      </w:r>
      <w:r>
        <w:rPr>
          <w:rFonts w:ascii="Arial" w:cs="Arial" w:eastAsia="Arial" w:hAnsi="Arial"/>
          <w:sz w:val="18"/>
          <w:szCs w:val="18"/>
          <w:i w:val="1"/>
          <w:iCs w:val="1"/>
          <w:color w:val="auto"/>
        </w:rPr>
        <w:t xml:space="preserve"> </w:t>
      </w:r>
      <w:r>
        <w:rPr>
          <w:rFonts w:ascii="Arial" w:cs="Arial" w:eastAsia="Arial" w:hAnsi="Arial"/>
          <w:sz w:val="18"/>
          <w:szCs w:val="18"/>
          <w:color w:val="auto"/>
        </w:rPr>
        <w:t>aggregate Class A principal amount and $84,000 aggregate Class B principal amount of TMCL V 2017-2 Bonds. Under the terms of the TMCL VII 2020-2 Bonds, both principal and interest incurred were payable monthly. In September 2020, TMCL V 2017-2 Bonds was terminated and fully repaid by proceeds from the TMCL VII 2020-2 Bonds.</w:t>
      </w:r>
    </w:p>
    <w:p>
      <w:pPr>
        <w:spacing w:after="0" w:line="335" w:lineRule="exact"/>
        <w:rPr>
          <w:sz w:val="20"/>
          <w:szCs w:val="20"/>
          <w:color w:val="auto"/>
        </w:rPr>
      </w:pPr>
    </w:p>
    <w:p>
      <w:pPr>
        <w:ind w:left="424" w:hanging="424"/>
        <w:spacing w:after="0"/>
        <w:tabs>
          <w:tab w:leader="none" w:pos="424" w:val="left"/>
        </w:tabs>
        <w:numPr>
          <w:ilvl w:val="0"/>
          <w:numId w:val="129"/>
        </w:numPr>
        <w:rPr>
          <w:rFonts w:ascii="Arial" w:cs="Arial" w:eastAsia="Arial" w:hAnsi="Arial"/>
          <w:sz w:val="18"/>
          <w:szCs w:val="18"/>
          <w:color w:val="auto"/>
        </w:rPr>
      </w:pPr>
      <w:r>
        <w:rPr>
          <w:rFonts w:ascii="Arial" w:cs="Arial" w:eastAsia="Arial" w:hAnsi="Arial"/>
          <w:sz w:val="18"/>
          <w:szCs w:val="18"/>
          <w:b w:val="1"/>
          <w:bCs w:val="1"/>
          <w:i w:val="1"/>
          <w:iCs w:val="1"/>
          <w:color w:val="auto"/>
        </w:rPr>
        <w:t>TMCL VII</w:t>
      </w:r>
    </w:p>
    <w:p>
      <w:pPr>
        <w:spacing w:after="0" w:line="117" w:lineRule="exact"/>
        <w:rPr>
          <w:sz w:val="20"/>
          <w:szCs w:val="20"/>
          <w:color w:val="auto"/>
        </w:rPr>
      </w:pPr>
    </w:p>
    <w:p>
      <w:pPr>
        <w:ind w:left="4" w:firstLine="440"/>
        <w:spacing w:after="0" w:line="259" w:lineRule="auto"/>
        <w:rPr>
          <w:sz w:val="20"/>
          <w:szCs w:val="20"/>
          <w:color w:val="auto"/>
        </w:rPr>
      </w:pPr>
      <w:r>
        <w:rPr>
          <w:rFonts w:ascii="Arial" w:cs="Arial" w:eastAsia="Arial" w:hAnsi="Arial"/>
          <w:sz w:val="18"/>
          <w:szCs w:val="18"/>
          <w:i w:val="1"/>
          <w:iCs w:val="1"/>
          <w:color w:val="auto"/>
        </w:rPr>
        <w:t xml:space="preserve">TMCL VII 2018-1 Bonds. </w:t>
      </w:r>
      <w:r>
        <w:rPr>
          <w:rFonts w:ascii="Arial" w:cs="Arial" w:eastAsia="Arial" w:hAnsi="Arial"/>
          <w:sz w:val="18"/>
          <w:szCs w:val="18"/>
          <w:color w:val="auto"/>
        </w:rPr>
        <w:t>TMCL VII issued the Series 2018-1 Bonds, $250,000 aggregate Class A principal amount and $9,100 aggregate Class B</w:t>
      </w:r>
      <w:r>
        <w:rPr>
          <w:rFonts w:ascii="Arial" w:cs="Arial" w:eastAsia="Arial" w:hAnsi="Arial"/>
          <w:sz w:val="18"/>
          <w:szCs w:val="18"/>
          <w:i w:val="1"/>
          <w:iCs w:val="1"/>
          <w:color w:val="auto"/>
        </w:rPr>
        <w:t xml:space="preserve"> </w:t>
      </w:r>
      <w:r>
        <w:rPr>
          <w:rFonts w:ascii="Arial" w:cs="Arial" w:eastAsia="Arial" w:hAnsi="Arial"/>
          <w:sz w:val="18"/>
          <w:szCs w:val="18"/>
          <w:color w:val="auto"/>
        </w:rPr>
        <w:t>principal amount of Series 2018-1 Fixed Rate Asset Backed Notes (the “TMCL VII 2018-1 Bonds”). Under the terms of the TMCL VII 2018-1 Bonds, both principal and interest incurred were payable monthly. In September 2020, TMCL VII 2018-1 Bonds was terminated and fully repaid by proceeds from the TMCL VII 2020-3 Bonds.</w:t>
      </w:r>
    </w:p>
    <w:p>
      <w:pPr>
        <w:spacing w:after="0" w:line="187" w:lineRule="exact"/>
        <w:rPr>
          <w:sz w:val="20"/>
          <w:szCs w:val="20"/>
          <w:color w:val="auto"/>
        </w:rPr>
      </w:pPr>
    </w:p>
    <w:p>
      <w:pPr>
        <w:ind w:left="4" w:right="40" w:firstLine="440"/>
        <w:spacing w:after="0" w:line="263" w:lineRule="auto"/>
        <w:rPr>
          <w:sz w:val="20"/>
          <w:szCs w:val="20"/>
          <w:color w:val="auto"/>
        </w:rPr>
      </w:pPr>
      <w:r>
        <w:rPr>
          <w:rFonts w:ascii="Arial" w:cs="Arial" w:eastAsia="Arial" w:hAnsi="Arial"/>
          <w:sz w:val="18"/>
          <w:szCs w:val="18"/>
          <w:i w:val="1"/>
          <w:iCs w:val="1"/>
          <w:color w:val="auto"/>
        </w:rPr>
        <w:t xml:space="preserve">TMCL VII 2019-1 Bonds. </w:t>
      </w:r>
      <w:r>
        <w:rPr>
          <w:rFonts w:ascii="Arial" w:cs="Arial" w:eastAsia="Arial" w:hAnsi="Arial"/>
          <w:sz w:val="18"/>
          <w:szCs w:val="18"/>
          <w:color w:val="auto"/>
        </w:rPr>
        <w:t>TMCL VII issued the Series 2019-1 Fixed Rate Asset Backed Notes (the “TMCL VII 2019-1 Bonds”), $328,900 of</w:t>
      </w:r>
      <w:r>
        <w:rPr>
          <w:rFonts w:ascii="Arial" w:cs="Arial" w:eastAsia="Arial" w:hAnsi="Arial"/>
          <w:sz w:val="18"/>
          <w:szCs w:val="18"/>
          <w:i w:val="1"/>
          <w:iCs w:val="1"/>
          <w:color w:val="auto"/>
        </w:rPr>
        <w:t xml:space="preserve"> </w:t>
      </w:r>
      <w:r>
        <w:rPr>
          <w:rFonts w:ascii="Arial" w:cs="Arial" w:eastAsia="Arial" w:hAnsi="Arial"/>
          <w:sz w:val="18"/>
          <w:szCs w:val="18"/>
          <w:color w:val="auto"/>
        </w:rPr>
        <w:t>aggregate Class A principal amount and $21,100 of aggregate Class B principal amount of TMCL VII 2019-1 Bonds. Under the terms of the TMCL VII 2019-1 Bonds, both principal and interest incurred are payable monthly.</w:t>
      </w:r>
    </w:p>
    <w:p>
      <w:pPr>
        <w:spacing w:after="0" w:line="184" w:lineRule="exact"/>
        <w:rPr>
          <w:sz w:val="20"/>
          <w:szCs w:val="20"/>
          <w:color w:val="auto"/>
        </w:rPr>
      </w:pPr>
    </w:p>
    <w:p>
      <w:pPr>
        <w:ind w:left="4" w:right="80" w:firstLine="440"/>
        <w:spacing w:after="0" w:line="279" w:lineRule="auto"/>
        <w:rPr>
          <w:sz w:val="20"/>
          <w:szCs w:val="20"/>
          <w:color w:val="auto"/>
        </w:rPr>
      </w:pPr>
      <w:r>
        <w:rPr>
          <w:rFonts w:ascii="Arial" w:cs="Arial" w:eastAsia="Arial" w:hAnsi="Arial"/>
          <w:sz w:val="17"/>
          <w:szCs w:val="17"/>
          <w:i w:val="1"/>
          <w:iCs w:val="1"/>
          <w:color w:val="auto"/>
        </w:rPr>
        <w:t xml:space="preserve">TMCL VII 2020-1 Bonds. </w:t>
      </w:r>
      <w:r>
        <w:rPr>
          <w:rFonts w:ascii="Arial" w:cs="Arial" w:eastAsia="Arial" w:hAnsi="Arial"/>
          <w:sz w:val="17"/>
          <w:szCs w:val="17"/>
          <w:color w:val="auto"/>
        </w:rPr>
        <w:t>In August 2020, TMCL VII issued $380,800 of aggregate Class A principal amount and $69,200 of aggregate Class B</w:t>
      </w:r>
      <w:r>
        <w:rPr>
          <w:rFonts w:ascii="Arial" w:cs="Arial" w:eastAsia="Arial" w:hAnsi="Arial"/>
          <w:sz w:val="17"/>
          <w:szCs w:val="17"/>
          <w:i w:val="1"/>
          <w:iCs w:val="1"/>
          <w:color w:val="auto"/>
        </w:rPr>
        <w:t xml:space="preserve"> </w:t>
      </w:r>
      <w:r>
        <w:rPr>
          <w:rFonts w:ascii="Arial" w:cs="Arial" w:eastAsia="Arial" w:hAnsi="Arial"/>
          <w:sz w:val="17"/>
          <w:szCs w:val="17"/>
          <w:color w:val="auto"/>
        </w:rPr>
        <w:t>principal amount of the Series 2020-1 Fixed Rate Asset Backed Notes (the “TMCL VII 2020-1 Bonds”). Under the terms of the TMCL VII 2020-1 Bonds, both principal and interest incurred are payable monthly. Proceeds from the TMCL VII 2020-1 Bonds were primarily used to pay off the TMCL V 2017-1 Bonds and pay down debt in our secured debt facility and revolving credit facility.</w:t>
      </w:r>
    </w:p>
    <w:p>
      <w:pPr>
        <w:spacing w:after="0" w:line="171" w:lineRule="exact"/>
        <w:rPr>
          <w:sz w:val="20"/>
          <w:szCs w:val="20"/>
          <w:color w:val="auto"/>
        </w:rPr>
      </w:pPr>
    </w:p>
    <w:p>
      <w:pPr>
        <w:ind w:left="4" w:right="60" w:firstLine="440"/>
        <w:spacing w:after="0" w:line="279" w:lineRule="auto"/>
        <w:rPr>
          <w:sz w:val="20"/>
          <w:szCs w:val="20"/>
          <w:color w:val="auto"/>
        </w:rPr>
      </w:pPr>
      <w:r>
        <w:rPr>
          <w:rFonts w:ascii="Arial" w:cs="Arial" w:eastAsia="Arial" w:hAnsi="Arial"/>
          <w:sz w:val="17"/>
          <w:szCs w:val="17"/>
          <w:i w:val="1"/>
          <w:iCs w:val="1"/>
          <w:color w:val="auto"/>
        </w:rPr>
        <w:t xml:space="preserve">TMCL VII 2020-2 Bonds. </w:t>
      </w:r>
      <w:r>
        <w:rPr>
          <w:rFonts w:ascii="Arial" w:cs="Arial" w:eastAsia="Arial" w:hAnsi="Arial"/>
          <w:sz w:val="17"/>
          <w:szCs w:val="17"/>
          <w:color w:val="auto"/>
        </w:rPr>
        <w:t>In September 2020, TMCL VII issued $531,600 of aggregate Class A principal amount and $76,200 of aggregate</w:t>
      </w:r>
      <w:r>
        <w:rPr>
          <w:rFonts w:ascii="Arial" w:cs="Arial" w:eastAsia="Arial" w:hAnsi="Arial"/>
          <w:sz w:val="17"/>
          <w:szCs w:val="17"/>
          <w:i w:val="1"/>
          <w:iCs w:val="1"/>
          <w:color w:val="auto"/>
        </w:rPr>
        <w:t xml:space="preserve"> </w:t>
      </w:r>
      <w:r>
        <w:rPr>
          <w:rFonts w:ascii="Arial" w:cs="Arial" w:eastAsia="Arial" w:hAnsi="Arial"/>
          <w:sz w:val="17"/>
          <w:szCs w:val="17"/>
          <w:color w:val="auto"/>
        </w:rPr>
        <w:t>Class B principal amount of the Series 2020-2 Fixed Rate Asset Backed Notes (“the TMCL VII 2020-2 Bonds”). Under the terms of the TMCL VII 2020-2 Bonds, both principal and interest incurred are payable monthly. Proceeds from the TMCL VII 2020-2 Bonds were primarily used to pay off the TMCL V 2017-2 Bonds and pay down debt in our secured debt facility and revolving credit facility.</w:t>
      </w:r>
    </w:p>
    <w:p>
      <w:pPr>
        <w:spacing w:after="0" w:line="171" w:lineRule="exact"/>
        <w:rPr>
          <w:sz w:val="20"/>
          <w:szCs w:val="20"/>
          <w:color w:val="auto"/>
        </w:rPr>
      </w:pPr>
    </w:p>
    <w:p>
      <w:pPr>
        <w:ind w:left="4" w:firstLine="440"/>
        <w:spacing w:after="0" w:line="259" w:lineRule="auto"/>
        <w:rPr>
          <w:sz w:val="20"/>
          <w:szCs w:val="20"/>
          <w:color w:val="auto"/>
        </w:rPr>
      </w:pPr>
      <w:r>
        <w:rPr>
          <w:rFonts w:ascii="Arial" w:cs="Arial" w:eastAsia="Arial" w:hAnsi="Arial"/>
          <w:sz w:val="18"/>
          <w:szCs w:val="18"/>
          <w:i w:val="1"/>
          <w:iCs w:val="1"/>
          <w:color w:val="auto"/>
        </w:rPr>
        <w:t xml:space="preserve">TMCL VII 2020-3 Bonds. </w:t>
      </w:r>
      <w:r>
        <w:rPr>
          <w:rFonts w:ascii="Arial" w:cs="Arial" w:eastAsia="Arial" w:hAnsi="Arial"/>
          <w:sz w:val="18"/>
          <w:szCs w:val="18"/>
          <w:color w:val="auto"/>
        </w:rPr>
        <w:t>In September 2020, TMCL VII issued $213,000 of aggregate Class A principal amount and $8,000 of aggregate Class B</w:t>
      </w:r>
      <w:r>
        <w:rPr>
          <w:rFonts w:ascii="Arial" w:cs="Arial" w:eastAsia="Arial" w:hAnsi="Arial"/>
          <w:sz w:val="18"/>
          <w:szCs w:val="18"/>
          <w:i w:val="1"/>
          <w:iCs w:val="1"/>
          <w:color w:val="auto"/>
        </w:rPr>
        <w:t xml:space="preserve"> </w:t>
      </w:r>
      <w:r>
        <w:rPr>
          <w:rFonts w:ascii="Arial" w:cs="Arial" w:eastAsia="Arial" w:hAnsi="Arial"/>
          <w:sz w:val="18"/>
          <w:szCs w:val="18"/>
          <w:color w:val="auto"/>
        </w:rPr>
        <w:t>principal amount of the Series 2020-3 Fixed Rate Asset Backed Notes (“the TMCL VII 2020-3 Bonds”). Under the terms of the TMCL VII 2020-3 Bonds, both principal and interest incurred are payable monthly. Proceeds from the TMCL VII 2020-3 Bonds were primarily used to pay off the TMCL VII 2018-1 Bonds.</w:t>
      </w:r>
    </w:p>
    <w:p>
      <w:pPr>
        <w:spacing w:after="0" w:line="119"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F-38</w:t>
      </w:r>
    </w:p>
    <w:p>
      <w:pPr>
        <w:sectPr>
          <w:pgSz w:w="11900" w:h="16838" w:orient="portrait"/>
          <w:cols w:equalWidth="0" w:num="1">
            <w:col w:w="10984"/>
          </w:cols>
          <w:pgMar w:left="436" w:top="274" w:right="479" w:bottom="1440" w:gutter="0" w:footer="0" w:header="0"/>
        </w:sectPr>
      </w:pPr>
    </w:p>
    <w:bookmarkStart w:id="152" w:name="page153"/>
    <w:bookmarkEnd w:id="152"/>
    <w:p>
      <w:pPr>
        <w:ind w:left="4"/>
        <w:spacing w:after="0"/>
        <w:rPr>
          <w:sz w:val="20"/>
          <w:szCs w:val="20"/>
          <w:color w:val="auto"/>
        </w:rPr>
      </w:pPr>
      <w:r>
        <w:rPr>
          <w:rFonts w:ascii="Arial" w:cs="Arial" w:eastAsia="Arial" w:hAnsi="Arial"/>
          <w:sz w:val="18"/>
          <w:szCs w:val="18"/>
          <w:b w:val="1"/>
          <w:bCs w:val="1"/>
          <w:i w:val="1"/>
          <w:i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Estimated Future Principal Payments</w:t>
      </w:r>
    </w:p>
    <w:p>
      <w:pPr>
        <w:spacing w:after="0" w:line="117" w:lineRule="exact"/>
        <w:rPr>
          <w:sz w:val="20"/>
          <w:szCs w:val="20"/>
          <w:color w:val="auto"/>
        </w:rPr>
      </w:pPr>
    </w:p>
    <w:p>
      <w:pPr>
        <w:ind w:left="444"/>
        <w:spacing w:after="0"/>
        <w:rPr>
          <w:sz w:val="20"/>
          <w:szCs w:val="20"/>
          <w:color w:val="auto"/>
        </w:rPr>
      </w:pPr>
      <w:r>
        <w:rPr>
          <w:rFonts w:ascii="Arial" w:cs="Arial" w:eastAsia="Arial" w:hAnsi="Arial"/>
          <w:sz w:val="18"/>
          <w:szCs w:val="18"/>
          <w:color w:val="auto"/>
        </w:rPr>
        <w:t>The following is a schedule of future scheduled repayments, by year, and borrowing capacities, as of December 31, 2020:</w:t>
      </w:r>
    </w:p>
    <w:p>
      <w:pPr>
        <w:spacing w:after="0" w:line="231" w:lineRule="exact"/>
        <w:rPr>
          <w:sz w:val="20"/>
          <w:szCs w:val="20"/>
          <w:color w:val="auto"/>
        </w:rPr>
      </w:pPr>
    </w:p>
    <w:tbl>
      <w:tblPr>
        <w:tblLayout w:type="fixed"/>
        <w:tblInd w:w="4" w:type="dxa"/>
        <w:tblCellMar>
          <w:top w:w="0" w:type="dxa"/>
          <w:left w:w="0" w:type="dxa"/>
          <w:bottom w:w="0" w:type="dxa"/>
          <w:right w:w="0" w:type="dxa"/>
        </w:tblCellMar>
      </w:tblPr>
      <w:tr>
        <w:trPr>
          <w:trHeight w:val="161"/>
        </w:trPr>
        <w:tc>
          <w:tcPr>
            <w:tcW w:w="1220" w:type="dxa"/>
            <w:vAlign w:val="bottom"/>
          </w:tcPr>
          <w:p>
            <w:pPr>
              <w:spacing w:after="0"/>
              <w:rPr>
                <w:sz w:val="14"/>
                <w:szCs w:val="14"/>
                <w:color w:val="auto"/>
              </w:rPr>
            </w:pPr>
          </w:p>
        </w:tc>
        <w:tc>
          <w:tcPr>
            <w:tcW w:w="19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80" w:type="dxa"/>
            <w:vAlign w:val="bottom"/>
            <w:gridSpan w:val="2"/>
          </w:tcPr>
          <w:p>
            <w:pPr>
              <w:jc w:val="center"/>
              <w:ind w:right="60"/>
              <w:spacing w:after="0"/>
              <w:rPr>
                <w:sz w:val="20"/>
                <w:szCs w:val="20"/>
                <w:color w:val="auto"/>
              </w:rPr>
            </w:pPr>
            <w:r>
              <w:rPr>
                <w:rFonts w:ascii="Arial" w:cs="Arial" w:eastAsia="Arial" w:hAnsi="Arial"/>
                <w:sz w:val="14"/>
                <w:szCs w:val="14"/>
                <w:b w:val="1"/>
                <w:bCs w:val="1"/>
                <w:color w:val="auto"/>
                <w:w w:val="98"/>
              </w:rPr>
              <w:t>Current</w:t>
            </w:r>
          </w:p>
        </w:tc>
        <w:tc>
          <w:tcPr>
            <w:tcW w:w="0" w:type="dxa"/>
            <w:vAlign w:val="bottom"/>
          </w:tcPr>
          <w:p>
            <w:pPr>
              <w:spacing w:after="0"/>
              <w:rPr>
                <w:sz w:val="1"/>
                <w:szCs w:val="1"/>
                <w:color w:val="auto"/>
              </w:rPr>
            </w:pPr>
          </w:p>
        </w:tc>
      </w:tr>
      <w:tr>
        <w:trPr>
          <w:trHeight w:val="148"/>
        </w:trPr>
        <w:tc>
          <w:tcPr>
            <w:tcW w:w="1220" w:type="dxa"/>
            <w:vAlign w:val="bottom"/>
          </w:tcPr>
          <w:p>
            <w:pPr>
              <w:spacing w:after="0"/>
              <w:rPr>
                <w:sz w:val="12"/>
                <w:szCs w:val="12"/>
                <w:color w:val="auto"/>
              </w:rPr>
            </w:pPr>
          </w:p>
        </w:tc>
        <w:tc>
          <w:tcPr>
            <w:tcW w:w="19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80" w:type="dxa"/>
            <w:vAlign w:val="bottom"/>
            <w:gridSpan w:val="2"/>
          </w:tcPr>
          <w:p>
            <w:pPr>
              <w:jc w:val="center"/>
              <w:ind w:right="60"/>
              <w:spacing w:after="0" w:line="149" w:lineRule="exact"/>
              <w:rPr>
                <w:sz w:val="20"/>
                <w:szCs w:val="20"/>
                <w:color w:val="auto"/>
              </w:rPr>
            </w:pPr>
            <w:r>
              <w:rPr>
                <w:rFonts w:ascii="Arial" w:cs="Arial" w:eastAsia="Arial" w:hAnsi="Arial"/>
                <w:sz w:val="14"/>
                <w:szCs w:val="14"/>
                <w:b w:val="1"/>
                <w:bCs w:val="1"/>
                <w:color w:val="auto"/>
                <w:w w:val="88"/>
              </w:rPr>
              <w:t>and</w:t>
            </w:r>
          </w:p>
        </w:tc>
        <w:tc>
          <w:tcPr>
            <w:tcW w:w="0" w:type="dxa"/>
            <w:vAlign w:val="bottom"/>
          </w:tcPr>
          <w:p>
            <w:pPr>
              <w:spacing w:after="0"/>
              <w:rPr>
                <w:sz w:val="1"/>
                <w:szCs w:val="1"/>
                <w:color w:val="auto"/>
              </w:rPr>
            </w:pPr>
          </w:p>
        </w:tc>
      </w:tr>
      <w:tr>
        <w:trPr>
          <w:trHeight w:val="158"/>
        </w:trPr>
        <w:tc>
          <w:tcPr>
            <w:tcW w:w="1220" w:type="dxa"/>
            <w:vAlign w:val="bottom"/>
          </w:tcPr>
          <w:p>
            <w:pPr>
              <w:spacing w:after="0"/>
              <w:rPr>
                <w:sz w:val="13"/>
                <w:szCs w:val="13"/>
                <w:color w:val="auto"/>
              </w:rPr>
            </w:pPr>
          </w:p>
        </w:tc>
        <w:tc>
          <w:tcPr>
            <w:tcW w:w="19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120" w:type="dxa"/>
            <w:vAlign w:val="bottom"/>
            <w:gridSpan w:val="9"/>
            <w:vMerge w:val="restart"/>
          </w:tcPr>
          <w:p>
            <w:pPr>
              <w:ind w:left="60"/>
              <w:spacing w:after="0"/>
              <w:rPr>
                <w:sz w:val="20"/>
                <w:szCs w:val="20"/>
                <w:color w:val="auto"/>
              </w:rPr>
            </w:pPr>
            <w:r>
              <w:rPr>
                <w:rFonts w:ascii="Arial" w:cs="Arial" w:eastAsia="Arial" w:hAnsi="Arial"/>
                <w:sz w:val="14"/>
                <w:szCs w:val="14"/>
                <w:b w:val="1"/>
                <w:bCs w:val="1"/>
                <w:color w:val="auto"/>
              </w:rPr>
              <w:t>Twelve months ending December 31,</w:t>
            </w:r>
          </w:p>
        </w:tc>
        <w:tc>
          <w:tcPr>
            <w:tcW w:w="120" w:type="dxa"/>
            <w:vAlign w:val="bottom"/>
          </w:tcPr>
          <w:p>
            <w:pPr>
              <w:spacing w:after="0"/>
              <w:rPr>
                <w:sz w:val="13"/>
                <w:szCs w:val="13"/>
                <w:color w:val="auto"/>
              </w:rPr>
            </w:pPr>
          </w:p>
        </w:tc>
        <w:tc>
          <w:tcPr>
            <w:tcW w:w="82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820" w:type="dxa"/>
            <w:vAlign w:val="bottom"/>
            <w:gridSpan w:val="3"/>
          </w:tcPr>
          <w:p>
            <w:pPr>
              <w:jc w:val="center"/>
              <w:ind w:right="120"/>
              <w:spacing w:after="0" w:line="158" w:lineRule="exact"/>
              <w:rPr>
                <w:sz w:val="20"/>
                <w:szCs w:val="20"/>
                <w:color w:val="auto"/>
              </w:rPr>
            </w:pPr>
            <w:r>
              <w:rPr>
                <w:rFonts w:ascii="Arial" w:cs="Arial" w:eastAsia="Arial" w:hAnsi="Arial"/>
                <w:sz w:val="14"/>
                <w:szCs w:val="14"/>
                <w:b w:val="1"/>
                <w:bCs w:val="1"/>
                <w:color w:val="auto"/>
                <w:w w:val="94"/>
              </w:rPr>
              <w:t>Available</w:t>
            </w:r>
          </w:p>
        </w:tc>
        <w:tc>
          <w:tcPr>
            <w:tcW w:w="120" w:type="dxa"/>
            <w:vAlign w:val="bottom"/>
          </w:tcPr>
          <w:p>
            <w:pPr>
              <w:spacing w:after="0"/>
              <w:rPr>
                <w:sz w:val="13"/>
                <w:szCs w:val="13"/>
                <w:color w:val="auto"/>
              </w:rPr>
            </w:pPr>
          </w:p>
        </w:tc>
        <w:tc>
          <w:tcPr>
            <w:tcW w:w="880" w:type="dxa"/>
            <w:vAlign w:val="bottom"/>
            <w:gridSpan w:val="2"/>
          </w:tcPr>
          <w:p>
            <w:pPr>
              <w:jc w:val="center"/>
              <w:ind w:right="60"/>
              <w:spacing w:after="0" w:line="158" w:lineRule="exact"/>
              <w:rPr>
                <w:sz w:val="20"/>
                <w:szCs w:val="20"/>
                <w:color w:val="auto"/>
              </w:rPr>
            </w:pPr>
            <w:r>
              <w:rPr>
                <w:rFonts w:ascii="Arial" w:cs="Arial" w:eastAsia="Arial" w:hAnsi="Arial"/>
                <w:sz w:val="14"/>
                <w:szCs w:val="14"/>
                <w:b w:val="1"/>
                <w:bCs w:val="1"/>
                <w:color w:val="auto"/>
                <w:w w:val="94"/>
              </w:rPr>
              <w:t>Available</w:t>
            </w:r>
          </w:p>
        </w:tc>
        <w:tc>
          <w:tcPr>
            <w:tcW w:w="0" w:type="dxa"/>
            <w:vAlign w:val="bottom"/>
          </w:tcPr>
          <w:p>
            <w:pPr>
              <w:spacing w:after="0"/>
              <w:rPr>
                <w:sz w:val="1"/>
                <w:szCs w:val="1"/>
                <w:color w:val="auto"/>
              </w:rPr>
            </w:pPr>
          </w:p>
        </w:tc>
      </w:tr>
      <w:tr>
        <w:trPr>
          <w:trHeight w:val="153"/>
        </w:trPr>
        <w:tc>
          <w:tcPr>
            <w:tcW w:w="1220" w:type="dxa"/>
            <w:vAlign w:val="bottom"/>
          </w:tcPr>
          <w:p>
            <w:pPr>
              <w:spacing w:after="0"/>
              <w:rPr>
                <w:sz w:val="13"/>
                <w:szCs w:val="13"/>
                <w:color w:val="auto"/>
              </w:rPr>
            </w:pPr>
          </w:p>
        </w:tc>
        <w:tc>
          <w:tcPr>
            <w:tcW w:w="19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120" w:type="dxa"/>
            <w:vAlign w:val="bottom"/>
            <w:gridSpan w:val="9"/>
            <w:vMerge w:val="continue"/>
          </w:tcPr>
          <w:p>
            <w:pPr>
              <w:spacing w:after="0"/>
              <w:rPr>
                <w:sz w:val="13"/>
                <w:szCs w:val="13"/>
                <w:color w:val="auto"/>
              </w:rPr>
            </w:pPr>
          </w:p>
        </w:tc>
        <w:tc>
          <w:tcPr>
            <w:tcW w:w="120" w:type="dxa"/>
            <w:vAlign w:val="bottom"/>
          </w:tcPr>
          <w:p>
            <w:pPr>
              <w:spacing w:after="0"/>
              <w:rPr>
                <w:sz w:val="13"/>
                <w:szCs w:val="13"/>
                <w:color w:val="auto"/>
              </w:rPr>
            </w:pPr>
          </w:p>
        </w:tc>
        <w:tc>
          <w:tcPr>
            <w:tcW w:w="82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820" w:type="dxa"/>
            <w:vAlign w:val="bottom"/>
            <w:gridSpan w:val="3"/>
          </w:tcPr>
          <w:p>
            <w:pPr>
              <w:jc w:val="center"/>
              <w:ind w:right="140"/>
              <w:spacing w:after="0" w:line="153" w:lineRule="exact"/>
              <w:rPr>
                <w:sz w:val="20"/>
                <w:szCs w:val="20"/>
                <w:color w:val="auto"/>
              </w:rPr>
            </w:pPr>
            <w:r>
              <w:rPr>
                <w:rFonts w:ascii="Arial" w:cs="Arial" w:eastAsia="Arial" w:hAnsi="Arial"/>
                <w:sz w:val="14"/>
                <w:szCs w:val="14"/>
                <w:b w:val="1"/>
                <w:bCs w:val="1"/>
                <w:color w:val="auto"/>
                <w:w w:val="93"/>
              </w:rPr>
              <w:t>borrowing,</w:t>
            </w:r>
          </w:p>
        </w:tc>
        <w:tc>
          <w:tcPr>
            <w:tcW w:w="120" w:type="dxa"/>
            <w:vAlign w:val="bottom"/>
          </w:tcPr>
          <w:p>
            <w:pPr>
              <w:spacing w:after="0"/>
              <w:rPr>
                <w:sz w:val="13"/>
                <w:szCs w:val="13"/>
                <w:color w:val="auto"/>
              </w:rPr>
            </w:pPr>
          </w:p>
        </w:tc>
        <w:tc>
          <w:tcPr>
            <w:tcW w:w="880" w:type="dxa"/>
            <w:vAlign w:val="bottom"/>
            <w:gridSpan w:val="2"/>
          </w:tcPr>
          <w:p>
            <w:pPr>
              <w:jc w:val="center"/>
              <w:ind w:right="60"/>
              <w:spacing w:after="0" w:line="153" w:lineRule="exact"/>
              <w:rPr>
                <w:sz w:val="20"/>
                <w:szCs w:val="20"/>
                <w:color w:val="auto"/>
              </w:rPr>
            </w:pPr>
            <w:r>
              <w:rPr>
                <w:rFonts w:ascii="Arial" w:cs="Arial" w:eastAsia="Arial" w:hAnsi="Arial"/>
                <w:sz w:val="14"/>
                <w:szCs w:val="14"/>
                <w:b w:val="1"/>
                <w:bCs w:val="1"/>
                <w:color w:val="auto"/>
                <w:w w:val="94"/>
              </w:rPr>
              <w:t>Borrowing,</w:t>
            </w:r>
          </w:p>
        </w:tc>
        <w:tc>
          <w:tcPr>
            <w:tcW w:w="0" w:type="dxa"/>
            <w:vAlign w:val="bottom"/>
          </w:tcPr>
          <w:p>
            <w:pPr>
              <w:spacing w:after="0"/>
              <w:rPr>
                <w:sz w:val="1"/>
                <w:szCs w:val="1"/>
                <w:color w:val="auto"/>
              </w:rPr>
            </w:pPr>
          </w:p>
        </w:tc>
      </w:tr>
      <w:tr>
        <w:trPr>
          <w:trHeight w:val="23"/>
        </w:trPr>
        <w:tc>
          <w:tcPr>
            <w:tcW w:w="1220" w:type="dxa"/>
            <w:vAlign w:val="bottom"/>
          </w:tcPr>
          <w:p>
            <w:pPr>
              <w:spacing w:after="0" w:line="20" w:lineRule="exact"/>
              <w:rPr>
                <w:sz w:val="1"/>
                <w:szCs w:val="1"/>
                <w:color w:val="auto"/>
              </w:rPr>
            </w:pPr>
          </w:p>
        </w:tc>
        <w:tc>
          <w:tcPr>
            <w:tcW w:w="19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20" w:type="dxa"/>
            <w:vAlign w:val="bottom"/>
            <w:gridSpan w:val="3"/>
            <w:vMerge w:val="restart"/>
          </w:tcPr>
          <w:p>
            <w:pPr>
              <w:jc w:val="center"/>
              <w:ind w:right="140"/>
              <w:spacing w:after="0" w:line="149" w:lineRule="exact"/>
              <w:rPr>
                <w:sz w:val="20"/>
                <w:szCs w:val="20"/>
                <w:color w:val="auto"/>
              </w:rPr>
            </w:pPr>
            <w:r>
              <w:rPr>
                <w:rFonts w:ascii="Arial" w:cs="Arial" w:eastAsia="Arial" w:hAnsi="Arial"/>
                <w:sz w:val="14"/>
                <w:szCs w:val="14"/>
                <w:b w:val="1"/>
                <w:bCs w:val="1"/>
                <w:color w:val="auto"/>
                <w:w w:val="92"/>
              </w:rPr>
              <w:t>as limited</w:t>
            </w:r>
          </w:p>
        </w:tc>
        <w:tc>
          <w:tcPr>
            <w:tcW w:w="120" w:type="dxa"/>
            <w:vAlign w:val="bottom"/>
          </w:tcPr>
          <w:p>
            <w:pPr>
              <w:spacing w:after="0" w:line="20" w:lineRule="exact"/>
              <w:rPr>
                <w:sz w:val="1"/>
                <w:szCs w:val="1"/>
                <w:color w:val="auto"/>
              </w:rPr>
            </w:pPr>
          </w:p>
        </w:tc>
        <w:tc>
          <w:tcPr>
            <w:tcW w:w="880" w:type="dxa"/>
            <w:vAlign w:val="bottom"/>
            <w:gridSpan w:val="2"/>
            <w:vMerge w:val="restart"/>
          </w:tcPr>
          <w:p>
            <w:pPr>
              <w:jc w:val="center"/>
              <w:ind w:right="80"/>
              <w:spacing w:after="0" w:line="149" w:lineRule="exact"/>
              <w:rPr>
                <w:sz w:val="20"/>
                <w:szCs w:val="20"/>
                <w:color w:val="auto"/>
              </w:rPr>
            </w:pPr>
            <w:r>
              <w:rPr>
                <w:rFonts w:ascii="Arial" w:cs="Arial" w:eastAsia="Arial" w:hAnsi="Arial"/>
                <w:sz w:val="14"/>
                <w:szCs w:val="14"/>
                <w:b w:val="1"/>
                <w:bCs w:val="1"/>
                <w:color w:val="auto"/>
                <w:w w:val="92"/>
              </w:rPr>
              <w:t>as limited</w:t>
            </w:r>
          </w:p>
        </w:tc>
        <w:tc>
          <w:tcPr>
            <w:tcW w:w="0" w:type="dxa"/>
            <w:vAlign w:val="bottom"/>
          </w:tcPr>
          <w:p>
            <w:pPr>
              <w:spacing w:after="0"/>
              <w:rPr>
                <w:sz w:val="1"/>
                <w:szCs w:val="1"/>
                <w:color w:val="auto"/>
              </w:rPr>
            </w:pPr>
          </w:p>
        </w:tc>
      </w:tr>
      <w:tr>
        <w:trPr>
          <w:trHeight w:val="106"/>
        </w:trPr>
        <w:tc>
          <w:tcPr>
            <w:tcW w:w="1220" w:type="dxa"/>
            <w:vAlign w:val="bottom"/>
          </w:tcPr>
          <w:p>
            <w:pPr>
              <w:spacing w:after="0"/>
              <w:rPr>
                <w:sz w:val="9"/>
                <w:szCs w:val="9"/>
                <w:color w:val="auto"/>
              </w:rPr>
            </w:pPr>
          </w:p>
        </w:tc>
        <w:tc>
          <w:tcPr>
            <w:tcW w:w="1980" w:type="dxa"/>
            <w:vAlign w:val="bottom"/>
          </w:tcPr>
          <w:p>
            <w:pPr>
              <w:spacing w:after="0"/>
              <w:rPr>
                <w:sz w:val="9"/>
                <w:szCs w:val="9"/>
                <w:color w:val="auto"/>
              </w:rPr>
            </w:pPr>
          </w:p>
        </w:tc>
        <w:tc>
          <w:tcPr>
            <w:tcW w:w="100" w:type="dxa"/>
            <w:vAlign w:val="bottom"/>
          </w:tcPr>
          <w:p>
            <w:pPr>
              <w:spacing w:after="0"/>
              <w:rPr>
                <w:sz w:val="9"/>
                <w:szCs w:val="9"/>
                <w:color w:val="auto"/>
              </w:rPr>
            </w:pPr>
          </w:p>
        </w:tc>
        <w:tc>
          <w:tcPr>
            <w:tcW w:w="600" w:type="dxa"/>
            <w:vAlign w:val="bottom"/>
          </w:tcPr>
          <w:p>
            <w:pPr>
              <w:spacing w:after="0"/>
              <w:rPr>
                <w:sz w:val="9"/>
                <w:szCs w:val="9"/>
                <w:color w:val="auto"/>
              </w:rPr>
            </w:pPr>
          </w:p>
        </w:tc>
        <w:tc>
          <w:tcPr>
            <w:tcW w:w="20" w:type="dxa"/>
            <w:vAlign w:val="bottom"/>
          </w:tcPr>
          <w:p>
            <w:pPr>
              <w:spacing w:after="0"/>
              <w:rPr>
                <w:sz w:val="9"/>
                <w:szCs w:val="9"/>
                <w:color w:val="auto"/>
              </w:rPr>
            </w:pPr>
          </w:p>
        </w:tc>
        <w:tc>
          <w:tcPr>
            <w:tcW w:w="220" w:type="dxa"/>
            <w:vAlign w:val="bottom"/>
          </w:tcPr>
          <w:p>
            <w:pPr>
              <w:spacing w:after="0"/>
              <w:rPr>
                <w:sz w:val="9"/>
                <w:szCs w:val="9"/>
                <w:color w:val="auto"/>
              </w:rPr>
            </w:pPr>
          </w:p>
        </w:tc>
        <w:tc>
          <w:tcPr>
            <w:tcW w:w="680" w:type="dxa"/>
            <w:vAlign w:val="bottom"/>
          </w:tcPr>
          <w:p>
            <w:pPr>
              <w:spacing w:after="0"/>
              <w:rPr>
                <w:sz w:val="9"/>
                <w:szCs w:val="9"/>
                <w:color w:val="auto"/>
              </w:rPr>
            </w:pPr>
          </w:p>
        </w:tc>
        <w:tc>
          <w:tcPr>
            <w:tcW w:w="80" w:type="dxa"/>
            <w:vAlign w:val="bottom"/>
          </w:tcPr>
          <w:p>
            <w:pPr>
              <w:spacing w:after="0"/>
              <w:rPr>
                <w:sz w:val="9"/>
                <w:szCs w:val="9"/>
                <w:color w:val="auto"/>
              </w:rPr>
            </w:pPr>
          </w:p>
        </w:tc>
        <w:tc>
          <w:tcPr>
            <w:tcW w:w="180" w:type="dxa"/>
            <w:vAlign w:val="bottom"/>
          </w:tcPr>
          <w:p>
            <w:pPr>
              <w:spacing w:after="0"/>
              <w:rPr>
                <w:sz w:val="9"/>
                <w:szCs w:val="9"/>
                <w:color w:val="auto"/>
              </w:rPr>
            </w:pPr>
          </w:p>
        </w:tc>
        <w:tc>
          <w:tcPr>
            <w:tcW w:w="8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580" w:type="dxa"/>
            <w:vAlign w:val="bottom"/>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74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820" w:type="dxa"/>
            <w:vAlign w:val="bottom"/>
          </w:tcPr>
          <w:p>
            <w:pPr>
              <w:spacing w:after="0"/>
              <w:rPr>
                <w:sz w:val="9"/>
                <w:szCs w:val="9"/>
                <w:color w:val="auto"/>
              </w:rPr>
            </w:pPr>
          </w:p>
        </w:tc>
        <w:tc>
          <w:tcPr>
            <w:tcW w:w="240" w:type="dxa"/>
            <w:vAlign w:val="bottom"/>
          </w:tcPr>
          <w:p>
            <w:pPr>
              <w:spacing w:after="0"/>
              <w:rPr>
                <w:sz w:val="9"/>
                <w:szCs w:val="9"/>
                <w:color w:val="auto"/>
              </w:rPr>
            </w:pPr>
          </w:p>
        </w:tc>
        <w:tc>
          <w:tcPr>
            <w:tcW w:w="820" w:type="dxa"/>
            <w:vAlign w:val="bottom"/>
            <w:gridSpan w:val="3"/>
            <w:vMerge w:val="continue"/>
          </w:tcPr>
          <w:p>
            <w:pPr>
              <w:spacing w:after="0"/>
              <w:rPr>
                <w:sz w:val="9"/>
                <w:szCs w:val="9"/>
                <w:color w:val="auto"/>
              </w:rPr>
            </w:pPr>
          </w:p>
        </w:tc>
        <w:tc>
          <w:tcPr>
            <w:tcW w:w="120" w:type="dxa"/>
            <w:vAlign w:val="bottom"/>
          </w:tcPr>
          <w:p>
            <w:pPr>
              <w:spacing w:after="0"/>
              <w:rPr>
                <w:sz w:val="9"/>
                <w:szCs w:val="9"/>
                <w:color w:val="auto"/>
              </w:rPr>
            </w:pPr>
          </w:p>
        </w:tc>
        <w:tc>
          <w:tcPr>
            <w:tcW w:w="880" w:type="dxa"/>
            <w:vAlign w:val="bottom"/>
            <w:gridSpan w:val="2"/>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48"/>
        </w:trPr>
        <w:tc>
          <w:tcPr>
            <w:tcW w:w="1220" w:type="dxa"/>
            <w:vAlign w:val="bottom"/>
          </w:tcPr>
          <w:p>
            <w:pPr>
              <w:spacing w:after="0"/>
              <w:rPr>
                <w:sz w:val="12"/>
                <w:szCs w:val="12"/>
                <w:color w:val="auto"/>
              </w:rPr>
            </w:pPr>
          </w:p>
        </w:tc>
        <w:tc>
          <w:tcPr>
            <w:tcW w:w="19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60" w:type="dxa"/>
            <w:vAlign w:val="bottom"/>
            <w:gridSpan w:val="2"/>
            <w:vMerge w:val="restart"/>
          </w:tcPr>
          <w:p>
            <w:pPr>
              <w:jc w:val="center"/>
              <w:ind w:right="220"/>
              <w:spacing w:after="0"/>
              <w:rPr>
                <w:sz w:val="20"/>
                <w:szCs w:val="20"/>
                <w:color w:val="auto"/>
              </w:rPr>
            </w:pPr>
            <w:r>
              <w:rPr>
                <w:rFonts w:ascii="Arial" w:cs="Arial" w:eastAsia="Arial" w:hAnsi="Arial"/>
                <w:sz w:val="14"/>
                <w:szCs w:val="14"/>
                <w:b w:val="1"/>
                <w:bCs w:val="1"/>
                <w:color w:val="auto"/>
                <w:w w:val="93"/>
              </w:rPr>
              <w:t>2025 and</w:t>
            </w:r>
          </w:p>
        </w:tc>
        <w:tc>
          <w:tcPr>
            <w:tcW w:w="120" w:type="dxa"/>
            <w:vAlign w:val="bottom"/>
          </w:tcPr>
          <w:p>
            <w:pPr>
              <w:spacing w:after="0"/>
              <w:rPr>
                <w:sz w:val="12"/>
                <w:szCs w:val="12"/>
                <w:color w:val="auto"/>
              </w:rPr>
            </w:pPr>
          </w:p>
        </w:tc>
        <w:tc>
          <w:tcPr>
            <w:tcW w:w="1060" w:type="dxa"/>
            <w:vAlign w:val="bottom"/>
            <w:gridSpan w:val="2"/>
            <w:vMerge w:val="restart"/>
          </w:tcPr>
          <w:p>
            <w:pPr>
              <w:jc w:val="right"/>
              <w:ind w:right="500"/>
              <w:spacing w:after="0"/>
              <w:rPr>
                <w:sz w:val="20"/>
                <w:szCs w:val="20"/>
                <w:color w:val="auto"/>
              </w:rPr>
            </w:pPr>
            <w:r>
              <w:rPr>
                <w:rFonts w:ascii="Arial" w:cs="Arial" w:eastAsia="Arial" w:hAnsi="Arial"/>
                <w:sz w:val="14"/>
                <w:szCs w:val="14"/>
                <w:b w:val="1"/>
                <w:bCs w:val="1"/>
                <w:color w:val="auto"/>
              </w:rPr>
              <w:t>Total</w:t>
            </w:r>
          </w:p>
        </w:tc>
        <w:tc>
          <w:tcPr>
            <w:tcW w:w="120" w:type="dxa"/>
            <w:vAlign w:val="bottom"/>
          </w:tcPr>
          <w:p>
            <w:pPr>
              <w:spacing w:after="0"/>
              <w:rPr>
                <w:sz w:val="12"/>
                <w:szCs w:val="12"/>
                <w:color w:val="auto"/>
              </w:rPr>
            </w:pPr>
          </w:p>
        </w:tc>
        <w:tc>
          <w:tcPr>
            <w:tcW w:w="70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92"/>
              </w:rPr>
              <w:t>by the</w:t>
            </w:r>
          </w:p>
        </w:tc>
        <w:tc>
          <w:tcPr>
            <w:tcW w:w="120" w:type="dxa"/>
            <w:vAlign w:val="bottom"/>
          </w:tcPr>
          <w:p>
            <w:pPr>
              <w:spacing w:after="0"/>
              <w:rPr>
                <w:sz w:val="12"/>
                <w:szCs w:val="12"/>
                <w:color w:val="auto"/>
              </w:rPr>
            </w:pPr>
          </w:p>
        </w:tc>
        <w:tc>
          <w:tcPr>
            <w:tcW w:w="880" w:type="dxa"/>
            <w:vAlign w:val="bottom"/>
            <w:gridSpan w:val="2"/>
          </w:tcPr>
          <w:p>
            <w:pPr>
              <w:jc w:val="center"/>
              <w:ind w:right="60"/>
              <w:spacing w:after="0" w:line="149" w:lineRule="exact"/>
              <w:rPr>
                <w:sz w:val="20"/>
                <w:szCs w:val="20"/>
                <w:color w:val="auto"/>
              </w:rPr>
            </w:pPr>
            <w:r>
              <w:rPr>
                <w:rFonts w:ascii="Arial" w:cs="Arial" w:eastAsia="Arial" w:hAnsi="Arial"/>
                <w:sz w:val="14"/>
                <w:szCs w:val="14"/>
                <w:b w:val="1"/>
                <w:bCs w:val="1"/>
                <w:color w:val="auto"/>
                <w:w w:val="92"/>
              </w:rPr>
              <w:t>by the</w:t>
            </w:r>
          </w:p>
        </w:tc>
        <w:tc>
          <w:tcPr>
            <w:tcW w:w="0" w:type="dxa"/>
            <w:vAlign w:val="bottom"/>
          </w:tcPr>
          <w:p>
            <w:pPr>
              <w:spacing w:after="0"/>
              <w:rPr>
                <w:sz w:val="1"/>
                <w:szCs w:val="1"/>
                <w:color w:val="auto"/>
              </w:rPr>
            </w:pPr>
          </w:p>
        </w:tc>
      </w:tr>
      <w:tr>
        <w:trPr>
          <w:trHeight w:val="148"/>
        </w:trPr>
        <w:tc>
          <w:tcPr>
            <w:tcW w:w="1220" w:type="dxa"/>
            <w:vAlign w:val="bottom"/>
          </w:tcPr>
          <w:p>
            <w:pPr>
              <w:spacing w:after="0"/>
              <w:rPr>
                <w:sz w:val="12"/>
                <w:szCs w:val="12"/>
                <w:color w:val="auto"/>
              </w:rPr>
            </w:pPr>
          </w:p>
        </w:tc>
        <w:tc>
          <w:tcPr>
            <w:tcW w:w="19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0" w:type="dxa"/>
            <w:vAlign w:val="bottom"/>
            <w:vMerge w:val="restart"/>
          </w:tcPr>
          <w:p>
            <w:pPr>
              <w:jc w:val="right"/>
              <w:ind w:right="112"/>
              <w:spacing w:after="0"/>
              <w:rPr>
                <w:sz w:val="20"/>
                <w:szCs w:val="20"/>
                <w:color w:val="auto"/>
              </w:rPr>
            </w:pPr>
            <w:r>
              <w:rPr>
                <w:rFonts w:ascii="Arial" w:cs="Arial" w:eastAsia="Arial" w:hAnsi="Arial"/>
                <w:sz w:val="14"/>
                <w:szCs w:val="14"/>
                <w:b w:val="1"/>
                <w:bCs w:val="1"/>
                <w:color w:val="auto"/>
              </w:rPr>
              <w:t>2021</w:t>
            </w:r>
          </w:p>
        </w:tc>
        <w:tc>
          <w:tcPr>
            <w:tcW w:w="20" w:type="dxa"/>
            <w:vAlign w:val="bottom"/>
          </w:tcPr>
          <w:p>
            <w:pPr>
              <w:spacing w:after="0"/>
              <w:rPr>
                <w:sz w:val="12"/>
                <w:szCs w:val="12"/>
                <w:color w:val="auto"/>
              </w:rPr>
            </w:pPr>
          </w:p>
        </w:tc>
        <w:tc>
          <w:tcPr>
            <w:tcW w:w="900" w:type="dxa"/>
            <w:vAlign w:val="bottom"/>
            <w:gridSpan w:val="2"/>
            <w:vMerge w:val="restart"/>
          </w:tcPr>
          <w:p>
            <w:pPr>
              <w:ind w:left="420"/>
              <w:spacing w:after="0"/>
              <w:rPr>
                <w:sz w:val="20"/>
                <w:szCs w:val="20"/>
                <w:color w:val="auto"/>
              </w:rPr>
            </w:pPr>
            <w:r>
              <w:rPr>
                <w:rFonts w:ascii="Arial" w:cs="Arial" w:eastAsia="Arial" w:hAnsi="Arial"/>
                <w:sz w:val="14"/>
                <w:szCs w:val="14"/>
                <w:b w:val="1"/>
                <w:bCs w:val="1"/>
                <w:color w:val="auto"/>
              </w:rPr>
              <w:t>2022</w:t>
            </w:r>
          </w:p>
        </w:tc>
        <w:tc>
          <w:tcPr>
            <w:tcW w:w="80" w:type="dxa"/>
            <w:vAlign w:val="bottom"/>
          </w:tcPr>
          <w:p>
            <w:pPr>
              <w:spacing w:after="0"/>
              <w:rPr>
                <w:sz w:val="12"/>
                <w:szCs w:val="12"/>
                <w:color w:val="auto"/>
              </w:rPr>
            </w:pPr>
          </w:p>
        </w:tc>
        <w:tc>
          <w:tcPr>
            <w:tcW w:w="1000" w:type="dxa"/>
            <w:vAlign w:val="bottom"/>
            <w:gridSpan w:val="2"/>
            <w:vMerge w:val="restart"/>
          </w:tcPr>
          <w:p>
            <w:pPr>
              <w:jc w:val="right"/>
              <w:ind w:right="190"/>
              <w:spacing w:after="0"/>
              <w:rPr>
                <w:sz w:val="20"/>
                <w:szCs w:val="20"/>
                <w:color w:val="auto"/>
              </w:rPr>
            </w:pPr>
            <w:r>
              <w:rPr>
                <w:rFonts w:ascii="Arial" w:cs="Arial" w:eastAsia="Arial" w:hAnsi="Arial"/>
                <w:sz w:val="14"/>
                <w:szCs w:val="14"/>
                <w:b w:val="1"/>
                <w:bCs w:val="1"/>
                <w:color w:val="auto"/>
              </w:rPr>
              <w:t>2023</w:t>
            </w:r>
          </w:p>
        </w:tc>
        <w:tc>
          <w:tcPr>
            <w:tcW w:w="2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80" w:type="dxa"/>
            <w:vAlign w:val="bottom"/>
            <w:vMerge w:val="restart"/>
          </w:tcPr>
          <w:p>
            <w:pPr>
              <w:ind w:left="100"/>
              <w:spacing w:after="0"/>
              <w:rPr>
                <w:sz w:val="20"/>
                <w:szCs w:val="20"/>
                <w:color w:val="auto"/>
              </w:rPr>
            </w:pPr>
            <w:r>
              <w:rPr>
                <w:rFonts w:ascii="Arial" w:cs="Arial" w:eastAsia="Arial" w:hAnsi="Arial"/>
                <w:sz w:val="14"/>
                <w:szCs w:val="14"/>
                <w:b w:val="1"/>
                <w:bCs w:val="1"/>
                <w:color w:val="auto"/>
              </w:rPr>
              <w:t>2024</w:t>
            </w:r>
          </w:p>
        </w:tc>
        <w:tc>
          <w:tcPr>
            <w:tcW w:w="2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60" w:type="dxa"/>
            <w:vAlign w:val="bottom"/>
            <w:gridSpan w:val="2"/>
            <w:vMerge w:val="continue"/>
          </w:tcPr>
          <w:p>
            <w:pPr>
              <w:spacing w:after="0"/>
              <w:rPr>
                <w:sz w:val="12"/>
                <w:szCs w:val="12"/>
                <w:color w:val="auto"/>
              </w:rPr>
            </w:pPr>
          </w:p>
        </w:tc>
        <w:tc>
          <w:tcPr>
            <w:tcW w:w="120" w:type="dxa"/>
            <w:vAlign w:val="bottom"/>
          </w:tcPr>
          <w:p>
            <w:pPr>
              <w:spacing w:after="0"/>
              <w:rPr>
                <w:sz w:val="12"/>
                <w:szCs w:val="12"/>
                <w:color w:val="auto"/>
              </w:rPr>
            </w:pPr>
          </w:p>
        </w:tc>
        <w:tc>
          <w:tcPr>
            <w:tcW w:w="1060" w:type="dxa"/>
            <w:vAlign w:val="bottom"/>
            <w:gridSpan w:val="2"/>
            <w:vMerge w:val="continue"/>
          </w:tcPr>
          <w:p>
            <w:pPr>
              <w:spacing w:after="0"/>
              <w:rPr>
                <w:sz w:val="12"/>
                <w:szCs w:val="12"/>
                <w:color w:val="auto"/>
              </w:rPr>
            </w:pPr>
          </w:p>
        </w:tc>
        <w:tc>
          <w:tcPr>
            <w:tcW w:w="820" w:type="dxa"/>
            <w:vAlign w:val="bottom"/>
            <w:gridSpan w:val="3"/>
          </w:tcPr>
          <w:p>
            <w:pPr>
              <w:jc w:val="center"/>
              <w:ind w:right="120"/>
              <w:spacing w:after="0" w:line="149" w:lineRule="exact"/>
              <w:rPr>
                <w:sz w:val="20"/>
                <w:szCs w:val="20"/>
                <w:color w:val="auto"/>
              </w:rPr>
            </w:pPr>
            <w:r>
              <w:rPr>
                <w:rFonts w:ascii="Arial" w:cs="Arial" w:eastAsia="Arial" w:hAnsi="Arial"/>
                <w:sz w:val="14"/>
                <w:szCs w:val="14"/>
                <w:b w:val="1"/>
                <w:bCs w:val="1"/>
                <w:color w:val="auto"/>
                <w:w w:val="94"/>
              </w:rPr>
              <w:t>Borrowing</w:t>
            </w:r>
          </w:p>
        </w:tc>
        <w:tc>
          <w:tcPr>
            <w:tcW w:w="120" w:type="dxa"/>
            <w:vAlign w:val="bottom"/>
          </w:tcPr>
          <w:p>
            <w:pPr>
              <w:spacing w:after="0"/>
              <w:rPr>
                <w:sz w:val="12"/>
                <w:szCs w:val="12"/>
                <w:color w:val="auto"/>
              </w:rPr>
            </w:pPr>
          </w:p>
        </w:tc>
        <w:tc>
          <w:tcPr>
            <w:tcW w:w="880" w:type="dxa"/>
            <w:vAlign w:val="bottom"/>
            <w:gridSpan w:val="2"/>
          </w:tcPr>
          <w:p>
            <w:pPr>
              <w:jc w:val="center"/>
              <w:ind w:right="60"/>
              <w:spacing w:after="0" w:line="149" w:lineRule="exact"/>
              <w:rPr>
                <w:sz w:val="20"/>
                <w:szCs w:val="20"/>
                <w:color w:val="auto"/>
              </w:rPr>
            </w:pPr>
            <w:r>
              <w:rPr>
                <w:rFonts w:ascii="Arial" w:cs="Arial" w:eastAsia="Arial" w:hAnsi="Arial"/>
                <w:sz w:val="14"/>
                <w:szCs w:val="14"/>
                <w:b w:val="1"/>
                <w:bCs w:val="1"/>
                <w:color w:val="auto"/>
                <w:w w:val="94"/>
              </w:rPr>
              <w:t>Borrowing</w:t>
            </w:r>
          </w:p>
        </w:tc>
        <w:tc>
          <w:tcPr>
            <w:tcW w:w="0" w:type="dxa"/>
            <w:vAlign w:val="bottom"/>
          </w:tcPr>
          <w:p>
            <w:pPr>
              <w:spacing w:after="0"/>
              <w:rPr>
                <w:sz w:val="1"/>
                <w:szCs w:val="1"/>
                <w:color w:val="auto"/>
              </w:rPr>
            </w:pPr>
          </w:p>
        </w:tc>
      </w:tr>
      <w:tr>
        <w:trPr>
          <w:trHeight w:val="171"/>
        </w:trPr>
        <w:tc>
          <w:tcPr>
            <w:tcW w:w="1220" w:type="dxa"/>
            <w:vAlign w:val="bottom"/>
          </w:tcPr>
          <w:p>
            <w:pPr>
              <w:spacing w:after="0"/>
              <w:rPr>
                <w:sz w:val="14"/>
                <w:szCs w:val="14"/>
                <w:color w:val="auto"/>
              </w:rPr>
            </w:pPr>
          </w:p>
        </w:tc>
        <w:tc>
          <w:tcPr>
            <w:tcW w:w="19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0" w:type="dxa"/>
            <w:vAlign w:val="bottom"/>
            <w:vMerge w:val="continue"/>
          </w:tcPr>
          <w:p>
            <w:pPr>
              <w:spacing w:after="0"/>
              <w:rPr>
                <w:sz w:val="14"/>
                <w:szCs w:val="14"/>
                <w:color w:val="auto"/>
              </w:rPr>
            </w:pPr>
          </w:p>
        </w:tc>
        <w:tc>
          <w:tcPr>
            <w:tcW w:w="20" w:type="dxa"/>
            <w:vAlign w:val="bottom"/>
          </w:tcPr>
          <w:p>
            <w:pPr>
              <w:spacing w:after="0"/>
              <w:rPr>
                <w:sz w:val="14"/>
                <w:szCs w:val="14"/>
                <w:color w:val="auto"/>
              </w:rPr>
            </w:pPr>
          </w:p>
        </w:tc>
        <w:tc>
          <w:tcPr>
            <w:tcW w:w="900" w:type="dxa"/>
            <w:vAlign w:val="bottom"/>
            <w:gridSpan w:val="2"/>
            <w:vMerge w:val="continue"/>
          </w:tcPr>
          <w:p>
            <w:pPr>
              <w:spacing w:after="0"/>
              <w:rPr>
                <w:sz w:val="14"/>
                <w:szCs w:val="14"/>
                <w:color w:val="auto"/>
              </w:rPr>
            </w:pPr>
          </w:p>
        </w:tc>
        <w:tc>
          <w:tcPr>
            <w:tcW w:w="80" w:type="dxa"/>
            <w:vAlign w:val="bottom"/>
          </w:tcPr>
          <w:p>
            <w:pPr>
              <w:spacing w:after="0"/>
              <w:rPr>
                <w:sz w:val="14"/>
                <w:szCs w:val="14"/>
                <w:color w:val="auto"/>
              </w:rPr>
            </w:pPr>
          </w:p>
        </w:tc>
        <w:tc>
          <w:tcPr>
            <w:tcW w:w="1000" w:type="dxa"/>
            <w:vAlign w:val="bottom"/>
            <w:gridSpan w:val="2"/>
            <w:vMerge w:val="continue"/>
          </w:tcPr>
          <w:p>
            <w:pPr>
              <w:spacing w:after="0"/>
              <w:rPr>
                <w:sz w:val="14"/>
                <w:szCs w:val="14"/>
                <w:color w:val="auto"/>
              </w:rPr>
            </w:pPr>
          </w:p>
        </w:tc>
        <w:tc>
          <w:tcPr>
            <w:tcW w:w="2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80" w:type="dxa"/>
            <w:vAlign w:val="bottom"/>
            <w:vMerge w:val="continue"/>
          </w:tcPr>
          <w:p>
            <w:pPr>
              <w:spacing w:after="0"/>
              <w:rPr>
                <w:sz w:val="14"/>
                <w:szCs w:val="14"/>
                <w:color w:val="auto"/>
              </w:rPr>
            </w:pPr>
          </w:p>
        </w:tc>
        <w:tc>
          <w:tcPr>
            <w:tcW w:w="2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6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2"/>
              </w:rPr>
              <w:t>thereafter</w:t>
            </w:r>
          </w:p>
        </w:tc>
        <w:tc>
          <w:tcPr>
            <w:tcW w:w="120" w:type="dxa"/>
            <w:vAlign w:val="bottom"/>
          </w:tcPr>
          <w:p>
            <w:pPr>
              <w:spacing w:after="0"/>
              <w:rPr>
                <w:sz w:val="14"/>
                <w:szCs w:val="14"/>
                <w:color w:val="auto"/>
              </w:rPr>
            </w:pPr>
          </w:p>
        </w:tc>
        <w:tc>
          <w:tcPr>
            <w:tcW w:w="1060" w:type="dxa"/>
            <w:vAlign w:val="bottom"/>
            <w:gridSpan w:val="2"/>
          </w:tcPr>
          <w:p>
            <w:pPr>
              <w:jc w:val="right"/>
              <w:ind w:right="320"/>
              <w:spacing w:after="0"/>
              <w:rPr>
                <w:sz w:val="20"/>
                <w:szCs w:val="20"/>
                <w:color w:val="auto"/>
              </w:rPr>
            </w:pPr>
            <w:r>
              <w:rPr>
                <w:rFonts w:ascii="Arial" w:cs="Arial" w:eastAsia="Arial" w:hAnsi="Arial"/>
                <w:sz w:val="14"/>
                <w:szCs w:val="14"/>
                <w:b w:val="1"/>
                <w:bCs w:val="1"/>
                <w:color w:val="auto"/>
              </w:rPr>
              <w:t>Borrowing</w:t>
            </w:r>
          </w:p>
        </w:tc>
        <w:tc>
          <w:tcPr>
            <w:tcW w:w="120" w:type="dxa"/>
            <w:vAlign w:val="bottom"/>
          </w:tcPr>
          <w:p>
            <w:pPr>
              <w:spacing w:after="0"/>
              <w:rPr>
                <w:sz w:val="14"/>
                <w:szCs w:val="14"/>
                <w:color w:val="auto"/>
              </w:rPr>
            </w:pPr>
          </w:p>
        </w:tc>
        <w:tc>
          <w:tcPr>
            <w:tcW w:w="70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89"/>
              </w:rPr>
              <w:t>Base</w:t>
            </w:r>
          </w:p>
        </w:tc>
        <w:tc>
          <w:tcPr>
            <w:tcW w:w="120" w:type="dxa"/>
            <w:vAlign w:val="bottom"/>
          </w:tcPr>
          <w:p>
            <w:pPr>
              <w:spacing w:after="0"/>
              <w:rPr>
                <w:sz w:val="14"/>
                <w:szCs w:val="14"/>
                <w:color w:val="auto"/>
              </w:rPr>
            </w:pPr>
          </w:p>
        </w:tc>
        <w:tc>
          <w:tcPr>
            <w:tcW w:w="880" w:type="dxa"/>
            <w:vAlign w:val="bottom"/>
            <w:gridSpan w:val="2"/>
          </w:tcPr>
          <w:p>
            <w:pPr>
              <w:jc w:val="center"/>
              <w:ind w:right="60"/>
              <w:spacing w:after="0"/>
              <w:rPr>
                <w:sz w:val="20"/>
                <w:szCs w:val="20"/>
                <w:color w:val="auto"/>
              </w:rPr>
            </w:pPr>
            <w:r>
              <w:rPr>
                <w:rFonts w:ascii="Arial" w:cs="Arial" w:eastAsia="Arial" w:hAnsi="Arial"/>
                <w:sz w:val="14"/>
                <w:szCs w:val="14"/>
                <w:b w:val="1"/>
                <w:bCs w:val="1"/>
                <w:color w:val="auto"/>
                <w:w w:val="89"/>
              </w:rPr>
              <w:t>Base</w:t>
            </w:r>
          </w:p>
        </w:tc>
        <w:tc>
          <w:tcPr>
            <w:tcW w:w="0" w:type="dxa"/>
            <w:vAlign w:val="bottom"/>
          </w:tcPr>
          <w:p>
            <w:pPr>
              <w:spacing w:after="0"/>
              <w:rPr>
                <w:sz w:val="1"/>
                <w:szCs w:val="1"/>
                <w:color w:val="auto"/>
              </w:rPr>
            </w:pPr>
          </w:p>
        </w:tc>
      </w:tr>
      <w:tr>
        <w:trPr>
          <w:trHeight w:val="210"/>
        </w:trPr>
        <w:tc>
          <w:tcPr>
            <w:tcW w:w="3200" w:type="dxa"/>
            <w:vAlign w:val="bottom"/>
            <w:tcBorders>
              <w:top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TL Revolving Credit Facility</w:t>
            </w: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31,316</w:t>
            </w:r>
          </w:p>
        </w:tc>
        <w:tc>
          <w:tcPr>
            <w:tcW w:w="20" w:type="dxa"/>
            <w:vAlign w:val="bottom"/>
            <w:tcBorders>
              <w:top w:val="single" w:sz="8" w:color="CCEEFF"/>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6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7"/>
              </w:rPr>
              <w:t>$135,245</w:t>
            </w:r>
          </w:p>
        </w:tc>
        <w:tc>
          <w:tcPr>
            <w:tcW w:w="80" w:type="dxa"/>
            <w:vAlign w:val="bottom"/>
            <w:tcBorders>
              <w:top w:val="single" w:sz="8" w:color="CCEEFF"/>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8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8"/>
              </w:rPr>
              <w:t>$1,271,939</w:t>
            </w:r>
          </w:p>
        </w:tc>
        <w:tc>
          <w:tcPr>
            <w:tcW w:w="24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tcBorders>
              <w:top w:val="single" w:sz="8" w:color="auto"/>
            </w:tcBorders>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24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40" w:type="dxa"/>
            <w:vAlign w:val="bottom"/>
            <w:tcBorders>
              <w:top w:val="single" w:sz="8" w:color="auto"/>
            </w:tcBorders>
            <w:shd w:val="clear" w:color="auto" w:fill="CCEEFF"/>
          </w:tcPr>
          <w:p>
            <w:pPr>
              <w:jc w:val="right"/>
              <w:ind w:right="13"/>
              <w:spacing w:after="0"/>
              <w:rPr>
                <w:sz w:val="20"/>
                <w:szCs w:val="20"/>
                <w:color w:val="auto"/>
              </w:rPr>
            </w:pPr>
            <w:r>
              <w:rPr>
                <w:rFonts w:ascii="Arial" w:cs="Arial" w:eastAsia="Arial" w:hAnsi="Arial"/>
                <w:sz w:val="18"/>
                <w:szCs w:val="18"/>
                <w:color w:val="auto"/>
              </w:rPr>
              <w:t>—</w:t>
            </w:r>
          </w:p>
        </w:tc>
        <w:tc>
          <w:tcPr>
            <w:tcW w:w="12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CCEEFF"/>
            </w:tcBorders>
            <w:shd w:val="clear" w:color="auto" w:fill="CCEEFF"/>
          </w:tcPr>
          <w:p>
            <w:pPr>
              <w:spacing w:after="0"/>
              <w:rPr>
                <w:sz w:val="18"/>
                <w:szCs w:val="18"/>
                <w:color w:val="auto"/>
              </w:rPr>
            </w:pPr>
          </w:p>
        </w:tc>
        <w:tc>
          <w:tcPr>
            <w:tcW w:w="8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8"/>
              </w:rPr>
              <w:t>$1,438,500</w:t>
            </w:r>
          </w:p>
        </w:tc>
        <w:tc>
          <w:tcPr>
            <w:tcW w:w="24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61,500</w:t>
            </w:r>
          </w:p>
        </w:tc>
        <w:tc>
          <w:tcPr>
            <w:tcW w:w="12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CCEEFF"/>
            </w:tcBorders>
            <w:shd w:val="clear" w:color="auto" w:fill="CCEEFF"/>
          </w:tcPr>
          <w:p>
            <w:pPr>
              <w:spacing w:after="0"/>
              <w:rPr>
                <w:sz w:val="18"/>
                <w:szCs w:val="18"/>
                <w:color w:val="auto"/>
              </w:rPr>
            </w:pPr>
          </w:p>
        </w:tc>
        <w:tc>
          <w:tcPr>
            <w:tcW w:w="8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8"/>
              </w:rPr>
              <w:t>$1,500,000</w:t>
            </w:r>
          </w:p>
        </w:tc>
        <w:tc>
          <w:tcPr>
            <w:tcW w:w="6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200" w:type="dxa"/>
            <w:vAlign w:val="bottom"/>
            <w:gridSpan w:val="2"/>
          </w:tcPr>
          <w:p>
            <w:pPr>
              <w:spacing w:after="0"/>
              <w:rPr>
                <w:sz w:val="20"/>
                <w:szCs w:val="20"/>
                <w:color w:val="auto"/>
              </w:rPr>
            </w:pPr>
            <w:r>
              <w:rPr>
                <w:rFonts w:ascii="Arial" w:cs="Arial" w:eastAsia="Arial" w:hAnsi="Arial"/>
                <w:sz w:val="18"/>
                <w:szCs w:val="18"/>
                <w:color w:val="auto"/>
              </w:rPr>
              <w:t>TL 2019 Term Loan</w:t>
            </w:r>
          </w:p>
        </w:tc>
        <w:tc>
          <w:tcPr>
            <w:tcW w:w="100" w:type="dxa"/>
            <w:vAlign w:val="bottom"/>
          </w:tcPr>
          <w:p>
            <w:pPr>
              <w:spacing w:after="0"/>
              <w:rPr>
                <w:sz w:val="18"/>
                <w:szCs w:val="18"/>
                <w:color w:val="auto"/>
              </w:rPr>
            </w:pPr>
          </w:p>
        </w:tc>
        <w:tc>
          <w:tcPr>
            <w:tcW w:w="620" w:type="dxa"/>
            <w:vAlign w:val="bottom"/>
            <w:gridSpan w:val="2"/>
          </w:tcPr>
          <w:p>
            <w:pPr>
              <w:jc w:val="right"/>
              <w:ind w:right="20"/>
              <w:spacing w:after="0"/>
              <w:rPr>
                <w:sz w:val="20"/>
                <w:szCs w:val="20"/>
                <w:color w:val="auto"/>
              </w:rPr>
            </w:pPr>
            <w:r>
              <w:rPr>
                <w:rFonts w:ascii="Arial" w:cs="Arial" w:eastAsia="Arial" w:hAnsi="Arial"/>
                <w:sz w:val="18"/>
                <w:szCs w:val="18"/>
                <w:color w:val="auto"/>
              </w:rPr>
              <w:t>10,898</w:t>
            </w:r>
          </w:p>
        </w:tc>
        <w:tc>
          <w:tcPr>
            <w:tcW w:w="980" w:type="dxa"/>
            <w:vAlign w:val="bottom"/>
            <w:gridSpan w:val="3"/>
          </w:tcPr>
          <w:p>
            <w:pPr>
              <w:ind w:left="420"/>
              <w:spacing w:after="0"/>
              <w:rPr>
                <w:sz w:val="20"/>
                <w:szCs w:val="20"/>
                <w:color w:val="auto"/>
              </w:rPr>
            </w:pPr>
            <w:r>
              <w:rPr>
                <w:rFonts w:ascii="Arial" w:cs="Arial" w:eastAsia="Arial" w:hAnsi="Arial"/>
                <w:sz w:val="18"/>
                <w:szCs w:val="18"/>
                <w:color w:val="auto"/>
                <w:w w:val="98"/>
              </w:rPr>
              <w:t>11,285</w:t>
            </w:r>
          </w:p>
        </w:tc>
        <w:tc>
          <w:tcPr>
            <w:tcW w:w="1240" w:type="dxa"/>
            <w:vAlign w:val="bottom"/>
            <w:gridSpan w:val="3"/>
          </w:tcPr>
          <w:p>
            <w:pPr>
              <w:jc w:val="right"/>
              <w:ind w:right="240"/>
              <w:spacing w:after="0"/>
              <w:rPr>
                <w:sz w:val="20"/>
                <w:szCs w:val="20"/>
                <w:color w:val="auto"/>
              </w:rPr>
            </w:pPr>
            <w:r>
              <w:rPr>
                <w:rFonts w:ascii="Arial" w:cs="Arial" w:eastAsia="Arial" w:hAnsi="Arial"/>
                <w:sz w:val="18"/>
                <w:szCs w:val="18"/>
                <w:color w:val="auto"/>
              </w:rPr>
              <w:t>11,686</w:t>
            </w:r>
          </w:p>
        </w:tc>
        <w:tc>
          <w:tcPr>
            <w:tcW w:w="100" w:type="dxa"/>
            <w:vAlign w:val="bottom"/>
          </w:tcPr>
          <w:p>
            <w:pPr>
              <w:spacing w:after="0"/>
              <w:rPr>
                <w:sz w:val="18"/>
                <w:szCs w:val="18"/>
                <w:color w:val="auto"/>
              </w:rPr>
            </w:pPr>
          </w:p>
        </w:tc>
        <w:tc>
          <w:tcPr>
            <w:tcW w:w="820" w:type="dxa"/>
            <w:vAlign w:val="bottom"/>
            <w:gridSpan w:val="2"/>
          </w:tcPr>
          <w:p>
            <w:pPr>
              <w:ind w:left="100"/>
              <w:spacing w:after="0"/>
              <w:rPr>
                <w:sz w:val="20"/>
                <w:szCs w:val="20"/>
                <w:color w:val="auto"/>
              </w:rPr>
            </w:pPr>
            <w:r>
              <w:rPr>
                <w:rFonts w:ascii="Arial" w:cs="Arial" w:eastAsia="Arial" w:hAnsi="Arial"/>
                <w:sz w:val="18"/>
                <w:szCs w:val="18"/>
                <w:color w:val="auto"/>
              </w:rPr>
              <w:t>12,102</w:t>
            </w:r>
          </w:p>
        </w:tc>
        <w:tc>
          <w:tcPr>
            <w:tcW w:w="100" w:type="dxa"/>
            <w:vAlign w:val="bottom"/>
          </w:tcPr>
          <w:p>
            <w:pPr>
              <w:spacing w:after="0"/>
              <w:rPr>
                <w:sz w:val="18"/>
                <w:szCs w:val="18"/>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rPr>
              <w:t>103,506</w:t>
            </w:r>
          </w:p>
        </w:tc>
        <w:tc>
          <w:tcPr>
            <w:tcW w:w="1180" w:type="dxa"/>
            <w:vAlign w:val="bottom"/>
            <w:gridSpan w:val="3"/>
          </w:tcPr>
          <w:p>
            <w:pPr>
              <w:jc w:val="right"/>
              <w:ind w:right="240"/>
              <w:spacing w:after="0"/>
              <w:rPr>
                <w:sz w:val="20"/>
                <w:szCs w:val="20"/>
                <w:color w:val="auto"/>
              </w:rPr>
            </w:pPr>
            <w:r>
              <w:rPr>
                <w:rFonts w:ascii="Arial" w:cs="Arial" w:eastAsia="Arial" w:hAnsi="Arial"/>
                <w:sz w:val="18"/>
                <w:szCs w:val="18"/>
                <w:color w:val="auto"/>
              </w:rPr>
              <w:t>149,477</w:t>
            </w:r>
          </w:p>
        </w:tc>
        <w:tc>
          <w:tcPr>
            <w:tcW w:w="120" w:type="dxa"/>
            <w:vAlign w:val="bottom"/>
          </w:tcPr>
          <w:p>
            <w:pPr>
              <w:spacing w:after="0"/>
              <w:rPr>
                <w:sz w:val="18"/>
                <w:szCs w:val="18"/>
                <w:color w:val="auto"/>
              </w:rPr>
            </w:pPr>
          </w:p>
        </w:tc>
        <w:tc>
          <w:tcPr>
            <w:tcW w:w="700" w:type="dxa"/>
            <w:vAlign w:val="bottom"/>
            <w:gridSpan w:val="2"/>
          </w:tcPr>
          <w:p>
            <w:pPr>
              <w:ind w:left="30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880" w:type="dxa"/>
            <w:vAlign w:val="bottom"/>
            <w:gridSpan w:val="2"/>
          </w:tcPr>
          <w:p>
            <w:pPr>
              <w:ind w:left="5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2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TMCL II Secured Debt Facility (1)</w:t>
            </w:r>
          </w:p>
        </w:tc>
        <w:tc>
          <w:tcPr>
            <w:tcW w:w="10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51,964</w:t>
            </w:r>
          </w:p>
        </w:tc>
        <w:tc>
          <w:tcPr>
            <w:tcW w:w="980" w:type="dxa"/>
            <w:vAlign w:val="bottom"/>
            <w:gridSpan w:val="3"/>
            <w:shd w:val="clear" w:color="auto" w:fill="CCEEFF"/>
          </w:tcPr>
          <w:p>
            <w:pPr>
              <w:ind w:left="420"/>
              <w:spacing w:after="0"/>
              <w:rPr>
                <w:sz w:val="20"/>
                <w:szCs w:val="20"/>
                <w:color w:val="auto"/>
              </w:rPr>
            </w:pPr>
            <w:r>
              <w:rPr>
                <w:rFonts w:ascii="Arial" w:cs="Arial" w:eastAsia="Arial" w:hAnsi="Arial"/>
                <w:sz w:val="18"/>
                <w:szCs w:val="18"/>
                <w:color w:val="auto"/>
                <w:w w:val="98"/>
              </w:rPr>
              <w:t>56,707</w:t>
            </w:r>
          </w:p>
        </w:tc>
        <w:tc>
          <w:tcPr>
            <w:tcW w:w="1240" w:type="dxa"/>
            <w:vAlign w:val="bottom"/>
            <w:gridSpan w:val="3"/>
            <w:shd w:val="clear" w:color="auto" w:fill="CCEEFF"/>
          </w:tcPr>
          <w:p>
            <w:pPr>
              <w:jc w:val="right"/>
              <w:ind w:right="240"/>
              <w:spacing w:after="0"/>
              <w:rPr>
                <w:sz w:val="20"/>
                <w:szCs w:val="20"/>
                <w:color w:val="auto"/>
              </w:rPr>
            </w:pPr>
            <w:r>
              <w:rPr>
                <w:rFonts w:ascii="Arial" w:cs="Arial" w:eastAsia="Arial" w:hAnsi="Arial"/>
                <w:sz w:val="18"/>
                <w:szCs w:val="18"/>
                <w:color w:val="auto"/>
              </w:rPr>
              <w:t>56,439</w:t>
            </w: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ind w:left="100"/>
              <w:spacing w:after="0"/>
              <w:rPr>
                <w:sz w:val="20"/>
                <w:szCs w:val="20"/>
                <w:color w:val="auto"/>
              </w:rPr>
            </w:pPr>
            <w:r>
              <w:rPr>
                <w:rFonts w:ascii="Arial" w:cs="Arial" w:eastAsia="Arial" w:hAnsi="Arial"/>
                <w:sz w:val="18"/>
                <w:szCs w:val="18"/>
                <w:color w:val="auto"/>
              </w:rPr>
              <w:t>56,439</w:t>
            </w:r>
          </w:p>
        </w:tc>
        <w:tc>
          <w:tcPr>
            <w:tcW w:w="1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427,981</w:t>
            </w:r>
          </w:p>
        </w:tc>
        <w:tc>
          <w:tcPr>
            <w:tcW w:w="1180" w:type="dxa"/>
            <w:vAlign w:val="bottom"/>
            <w:gridSpan w:val="3"/>
            <w:shd w:val="clear" w:color="auto" w:fill="CCEEFF"/>
          </w:tcPr>
          <w:p>
            <w:pPr>
              <w:jc w:val="right"/>
              <w:ind w:right="240"/>
              <w:spacing w:after="0"/>
              <w:rPr>
                <w:sz w:val="20"/>
                <w:szCs w:val="20"/>
                <w:color w:val="auto"/>
              </w:rPr>
            </w:pPr>
            <w:r>
              <w:rPr>
                <w:rFonts w:ascii="Arial" w:cs="Arial" w:eastAsia="Arial" w:hAnsi="Arial"/>
                <w:sz w:val="18"/>
                <w:szCs w:val="18"/>
                <w:color w:val="auto"/>
              </w:rPr>
              <w:t>649,531</w:t>
            </w:r>
          </w:p>
        </w:tc>
        <w:tc>
          <w:tcPr>
            <w:tcW w:w="12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4,906</w:t>
            </w:r>
          </w:p>
        </w:tc>
        <w:tc>
          <w:tcPr>
            <w:tcW w:w="100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654,437</w:t>
            </w:r>
          </w:p>
        </w:tc>
        <w:tc>
          <w:tcPr>
            <w:tcW w:w="0" w:type="dxa"/>
            <w:vAlign w:val="bottom"/>
          </w:tcPr>
          <w:p>
            <w:pPr>
              <w:spacing w:after="0"/>
              <w:rPr>
                <w:sz w:val="1"/>
                <w:szCs w:val="1"/>
                <w:color w:val="auto"/>
              </w:rPr>
            </w:pPr>
          </w:p>
        </w:tc>
      </w:tr>
      <w:tr>
        <w:trPr>
          <w:trHeight w:val="216"/>
        </w:trPr>
        <w:tc>
          <w:tcPr>
            <w:tcW w:w="3200" w:type="dxa"/>
            <w:vAlign w:val="bottom"/>
            <w:gridSpan w:val="2"/>
          </w:tcPr>
          <w:p>
            <w:pPr>
              <w:spacing w:after="0"/>
              <w:rPr>
                <w:sz w:val="20"/>
                <w:szCs w:val="20"/>
                <w:color w:val="auto"/>
              </w:rPr>
            </w:pPr>
            <w:r>
              <w:rPr>
                <w:rFonts w:ascii="Arial" w:cs="Arial" w:eastAsia="Arial" w:hAnsi="Arial"/>
                <w:sz w:val="18"/>
                <w:szCs w:val="18"/>
                <w:color w:val="auto"/>
              </w:rPr>
              <w:t>TMCL VI Term Loan</w:t>
            </w:r>
          </w:p>
        </w:tc>
        <w:tc>
          <w:tcPr>
            <w:tcW w:w="100" w:type="dxa"/>
            <w:vAlign w:val="bottom"/>
          </w:tcPr>
          <w:p>
            <w:pPr>
              <w:spacing w:after="0"/>
              <w:rPr>
                <w:sz w:val="18"/>
                <w:szCs w:val="18"/>
                <w:color w:val="auto"/>
              </w:rPr>
            </w:pPr>
          </w:p>
        </w:tc>
        <w:tc>
          <w:tcPr>
            <w:tcW w:w="620" w:type="dxa"/>
            <w:vAlign w:val="bottom"/>
            <w:gridSpan w:val="2"/>
          </w:tcPr>
          <w:p>
            <w:pPr>
              <w:jc w:val="right"/>
              <w:ind w:right="20"/>
              <w:spacing w:after="0"/>
              <w:rPr>
                <w:sz w:val="20"/>
                <w:szCs w:val="20"/>
                <w:color w:val="auto"/>
              </w:rPr>
            </w:pPr>
            <w:r>
              <w:rPr>
                <w:rFonts w:ascii="Arial" w:cs="Arial" w:eastAsia="Arial" w:hAnsi="Arial"/>
                <w:sz w:val="18"/>
                <w:szCs w:val="18"/>
                <w:color w:val="auto"/>
              </w:rPr>
              <w:t>25,206</w:t>
            </w:r>
          </w:p>
        </w:tc>
        <w:tc>
          <w:tcPr>
            <w:tcW w:w="980" w:type="dxa"/>
            <w:vAlign w:val="bottom"/>
            <w:gridSpan w:val="3"/>
          </w:tcPr>
          <w:p>
            <w:pPr>
              <w:ind w:left="420"/>
              <w:spacing w:after="0"/>
              <w:rPr>
                <w:sz w:val="20"/>
                <w:szCs w:val="20"/>
                <w:color w:val="auto"/>
              </w:rPr>
            </w:pPr>
            <w:r>
              <w:rPr>
                <w:rFonts w:ascii="Arial" w:cs="Arial" w:eastAsia="Arial" w:hAnsi="Arial"/>
                <w:sz w:val="18"/>
                <w:szCs w:val="18"/>
                <w:color w:val="auto"/>
                <w:w w:val="98"/>
              </w:rPr>
              <w:t>25,206</w:t>
            </w:r>
          </w:p>
        </w:tc>
        <w:tc>
          <w:tcPr>
            <w:tcW w:w="1240" w:type="dxa"/>
            <w:vAlign w:val="bottom"/>
            <w:gridSpan w:val="3"/>
          </w:tcPr>
          <w:p>
            <w:pPr>
              <w:jc w:val="right"/>
              <w:ind w:right="240"/>
              <w:spacing w:after="0"/>
              <w:rPr>
                <w:sz w:val="20"/>
                <w:szCs w:val="20"/>
                <w:color w:val="auto"/>
              </w:rPr>
            </w:pPr>
            <w:r>
              <w:rPr>
                <w:rFonts w:ascii="Arial" w:cs="Arial" w:eastAsia="Arial" w:hAnsi="Arial"/>
                <w:sz w:val="18"/>
                <w:szCs w:val="18"/>
                <w:color w:val="auto"/>
              </w:rPr>
              <w:t>25,206</w:t>
            </w:r>
          </w:p>
        </w:tc>
        <w:tc>
          <w:tcPr>
            <w:tcW w:w="100" w:type="dxa"/>
            <w:vAlign w:val="bottom"/>
          </w:tcPr>
          <w:p>
            <w:pPr>
              <w:spacing w:after="0"/>
              <w:rPr>
                <w:sz w:val="18"/>
                <w:szCs w:val="18"/>
                <w:color w:val="auto"/>
              </w:rPr>
            </w:pPr>
          </w:p>
        </w:tc>
        <w:tc>
          <w:tcPr>
            <w:tcW w:w="820" w:type="dxa"/>
            <w:vAlign w:val="bottom"/>
            <w:gridSpan w:val="2"/>
          </w:tcPr>
          <w:p>
            <w:pPr>
              <w:ind w:left="100"/>
              <w:spacing w:after="0"/>
              <w:rPr>
                <w:sz w:val="20"/>
                <w:szCs w:val="20"/>
                <w:color w:val="auto"/>
              </w:rPr>
            </w:pPr>
            <w:r>
              <w:rPr>
                <w:rFonts w:ascii="Arial" w:cs="Arial" w:eastAsia="Arial" w:hAnsi="Arial"/>
                <w:sz w:val="18"/>
                <w:szCs w:val="18"/>
                <w:color w:val="auto"/>
              </w:rPr>
              <w:t>25,206</w:t>
            </w:r>
          </w:p>
        </w:tc>
        <w:tc>
          <w:tcPr>
            <w:tcW w:w="100" w:type="dxa"/>
            <w:vAlign w:val="bottom"/>
          </w:tcPr>
          <w:p>
            <w:pPr>
              <w:spacing w:after="0"/>
              <w:rPr>
                <w:sz w:val="18"/>
                <w:szCs w:val="18"/>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rPr>
              <w:t>124,300</w:t>
            </w:r>
          </w:p>
        </w:tc>
        <w:tc>
          <w:tcPr>
            <w:tcW w:w="1180" w:type="dxa"/>
            <w:vAlign w:val="bottom"/>
            <w:gridSpan w:val="3"/>
          </w:tcPr>
          <w:p>
            <w:pPr>
              <w:jc w:val="right"/>
              <w:ind w:right="240"/>
              <w:spacing w:after="0"/>
              <w:rPr>
                <w:sz w:val="20"/>
                <w:szCs w:val="20"/>
                <w:color w:val="auto"/>
              </w:rPr>
            </w:pPr>
            <w:r>
              <w:rPr>
                <w:rFonts w:ascii="Arial" w:cs="Arial" w:eastAsia="Arial" w:hAnsi="Arial"/>
                <w:sz w:val="18"/>
                <w:szCs w:val="18"/>
                <w:color w:val="auto"/>
              </w:rPr>
              <w:t>225,123</w:t>
            </w:r>
          </w:p>
        </w:tc>
        <w:tc>
          <w:tcPr>
            <w:tcW w:w="120" w:type="dxa"/>
            <w:vAlign w:val="bottom"/>
          </w:tcPr>
          <w:p>
            <w:pPr>
              <w:spacing w:after="0"/>
              <w:rPr>
                <w:sz w:val="18"/>
                <w:szCs w:val="18"/>
                <w:color w:val="auto"/>
              </w:rPr>
            </w:pPr>
          </w:p>
        </w:tc>
        <w:tc>
          <w:tcPr>
            <w:tcW w:w="700" w:type="dxa"/>
            <w:vAlign w:val="bottom"/>
            <w:gridSpan w:val="2"/>
          </w:tcPr>
          <w:p>
            <w:pPr>
              <w:ind w:left="30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880" w:type="dxa"/>
            <w:vAlign w:val="bottom"/>
            <w:gridSpan w:val="2"/>
          </w:tcPr>
          <w:p>
            <w:pPr>
              <w:ind w:left="5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2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TMCL VII 2019-1 Bonds (2)</w:t>
            </w:r>
          </w:p>
        </w:tc>
        <w:tc>
          <w:tcPr>
            <w:tcW w:w="10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28,000</w:t>
            </w:r>
          </w:p>
        </w:tc>
        <w:tc>
          <w:tcPr>
            <w:tcW w:w="980" w:type="dxa"/>
            <w:vAlign w:val="bottom"/>
            <w:gridSpan w:val="3"/>
            <w:shd w:val="clear" w:color="auto" w:fill="CCEEFF"/>
          </w:tcPr>
          <w:p>
            <w:pPr>
              <w:ind w:left="420"/>
              <w:spacing w:after="0"/>
              <w:rPr>
                <w:sz w:val="20"/>
                <w:szCs w:val="20"/>
                <w:color w:val="auto"/>
              </w:rPr>
            </w:pPr>
            <w:r>
              <w:rPr>
                <w:rFonts w:ascii="Arial" w:cs="Arial" w:eastAsia="Arial" w:hAnsi="Arial"/>
                <w:sz w:val="18"/>
                <w:szCs w:val="18"/>
                <w:color w:val="auto"/>
                <w:w w:val="98"/>
              </w:rPr>
              <w:t>28,000</w:t>
            </w:r>
          </w:p>
        </w:tc>
        <w:tc>
          <w:tcPr>
            <w:tcW w:w="1240" w:type="dxa"/>
            <w:vAlign w:val="bottom"/>
            <w:gridSpan w:val="3"/>
            <w:shd w:val="clear" w:color="auto" w:fill="CCEEFF"/>
          </w:tcPr>
          <w:p>
            <w:pPr>
              <w:jc w:val="right"/>
              <w:ind w:right="240"/>
              <w:spacing w:after="0"/>
              <w:rPr>
                <w:sz w:val="20"/>
                <w:szCs w:val="20"/>
                <w:color w:val="auto"/>
              </w:rPr>
            </w:pPr>
            <w:r>
              <w:rPr>
                <w:rFonts w:ascii="Arial" w:cs="Arial" w:eastAsia="Arial" w:hAnsi="Arial"/>
                <w:sz w:val="18"/>
                <w:szCs w:val="18"/>
                <w:color w:val="auto"/>
              </w:rPr>
              <w:t>28,000</w:t>
            </w: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ind w:left="100"/>
              <w:spacing w:after="0"/>
              <w:rPr>
                <w:sz w:val="20"/>
                <w:szCs w:val="20"/>
                <w:color w:val="auto"/>
              </w:rPr>
            </w:pPr>
            <w:r>
              <w:rPr>
                <w:rFonts w:ascii="Arial" w:cs="Arial" w:eastAsia="Arial" w:hAnsi="Arial"/>
                <w:sz w:val="18"/>
                <w:szCs w:val="18"/>
                <w:color w:val="auto"/>
              </w:rPr>
              <w:t>28,000</w:t>
            </w:r>
          </w:p>
        </w:tc>
        <w:tc>
          <w:tcPr>
            <w:tcW w:w="1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191,333</w:t>
            </w:r>
          </w:p>
        </w:tc>
        <w:tc>
          <w:tcPr>
            <w:tcW w:w="1180" w:type="dxa"/>
            <w:vAlign w:val="bottom"/>
            <w:gridSpan w:val="3"/>
            <w:shd w:val="clear" w:color="auto" w:fill="CCEEFF"/>
          </w:tcPr>
          <w:p>
            <w:pPr>
              <w:jc w:val="right"/>
              <w:ind w:right="240"/>
              <w:spacing w:after="0"/>
              <w:rPr>
                <w:sz w:val="20"/>
                <w:szCs w:val="20"/>
                <w:color w:val="auto"/>
              </w:rPr>
            </w:pPr>
            <w:r>
              <w:rPr>
                <w:rFonts w:ascii="Arial" w:cs="Arial" w:eastAsia="Arial" w:hAnsi="Arial"/>
                <w:sz w:val="18"/>
                <w:szCs w:val="18"/>
                <w:color w:val="auto"/>
              </w:rPr>
              <w:t>303,333</w:t>
            </w:r>
          </w:p>
        </w:tc>
        <w:tc>
          <w:tcPr>
            <w:tcW w:w="120" w:type="dxa"/>
            <w:vAlign w:val="bottom"/>
            <w:shd w:val="clear" w:color="auto" w:fill="CCEEFF"/>
          </w:tcPr>
          <w:p>
            <w:pPr>
              <w:spacing w:after="0"/>
              <w:rPr>
                <w:sz w:val="18"/>
                <w:szCs w:val="18"/>
                <w:color w:val="auto"/>
              </w:rPr>
            </w:pPr>
          </w:p>
        </w:tc>
        <w:tc>
          <w:tcPr>
            <w:tcW w:w="70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880" w:type="dxa"/>
            <w:vAlign w:val="bottom"/>
            <w:gridSpan w:val="2"/>
            <w:shd w:val="clear" w:color="auto" w:fill="CCEEFF"/>
          </w:tcPr>
          <w:p>
            <w:pPr>
              <w:ind w:left="5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200" w:type="dxa"/>
            <w:vAlign w:val="bottom"/>
            <w:gridSpan w:val="2"/>
          </w:tcPr>
          <w:p>
            <w:pPr>
              <w:spacing w:after="0"/>
              <w:rPr>
                <w:sz w:val="20"/>
                <w:szCs w:val="20"/>
                <w:color w:val="auto"/>
              </w:rPr>
            </w:pPr>
            <w:r>
              <w:rPr>
                <w:rFonts w:ascii="Arial" w:cs="Arial" w:eastAsia="Arial" w:hAnsi="Arial"/>
                <w:sz w:val="18"/>
                <w:szCs w:val="18"/>
                <w:color w:val="auto"/>
              </w:rPr>
              <w:t>TMCL VII 2020-1 Bonds (2)</w:t>
            </w:r>
          </w:p>
        </w:tc>
        <w:tc>
          <w:tcPr>
            <w:tcW w:w="100" w:type="dxa"/>
            <w:vAlign w:val="bottom"/>
          </w:tcPr>
          <w:p>
            <w:pPr>
              <w:spacing w:after="0"/>
              <w:rPr>
                <w:sz w:val="18"/>
                <w:szCs w:val="18"/>
                <w:color w:val="auto"/>
              </w:rPr>
            </w:pPr>
          </w:p>
        </w:tc>
        <w:tc>
          <w:tcPr>
            <w:tcW w:w="620" w:type="dxa"/>
            <w:vAlign w:val="bottom"/>
            <w:gridSpan w:val="2"/>
          </w:tcPr>
          <w:p>
            <w:pPr>
              <w:jc w:val="right"/>
              <w:ind w:right="20"/>
              <w:spacing w:after="0"/>
              <w:rPr>
                <w:sz w:val="20"/>
                <w:szCs w:val="20"/>
                <w:color w:val="auto"/>
              </w:rPr>
            </w:pPr>
            <w:r>
              <w:rPr>
                <w:rFonts w:ascii="Arial" w:cs="Arial" w:eastAsia="Arial" w:hAnsi="Arial"/>
                <w:sz w:val="18"/>
                <w:szCs w:val="18"/>
                <w:color w:val="auto"/>
              </w:rPr>
              <w:t>52,906</w:t>
            </w:r>
          </w:p>
        </w:tc>
        <w:tc>
          <w:tcPr>
            <w:tcW w:w="980" w:type="dxa"/>
            <w:vAlign w:val="bottom"/>
            <w:gridSpan w:val="3"/>
          </w:tcPr>
          <w:p>
            <w:pPr>
              <w:ind w:left="420"/>
              <w:spacing w:after="0"/>
              <w:rPr>
                <w:sz w:val="20"/>
                <w:szCs w:val="20"/>
                <w:color w:val="auto"/>
              </w:rPr>
            </w:pPr>
            <w:r>
              <w:rPr>
                <w:rFonts w:ascii="Arial" w:cs="Arial" w:eastAsia="Arial" w:hAnsi="Arial"/>
                <w:sz w:val="18"/>
                <w:szCs w:val="18"/>
                <w:color w:val="auto"/>
                <w:w w:val="98"/>
              </w:rPr>
              <w:t>56,170</w:t>
            </w:r>
          </w:p>
        </w:tc>
        <w:tc>
          <w:tcPr>
            <w:tcW w:w="1240" w:type="dxa"/>
            <w:vAlign w:val="bottom"/>
            <w:gridSpan w:val="3"/>
          </w:tcPr>
          <w:p>
            <w:pPr>
              <w:jc w:val="right"/>
              <w:ind w:right="240"/>
              <w:spacing w:after="0"/>
              <w:rPr>
                <w:sz w:val="20"/>
                <w:szCs w:val="20"/>
                <w:color w:val="auto"/>
              </w:rPr>
            </w:pPr>
            <w:r>
              <w:rPr>
                <w:rFonts w:ascii="Arial" w:cs="Arial" w:eastAsia="Arial" w:hAnsi="Arial"/>
                <w:sz w:val="18"/>
                <w:szCs w:val="18"/>
                <w:color w:val="auto"/>
              </w:rPr>
              <w:t>56,925</w:t>
            </w:r>
          </w:p>
        </w:tc>
        <w:tc>
          <w:tcPr>
            <w:tcW w:w="100" w:type="dxa"/>
            <w:vAlign w:val="bottom"/>
          </w:tcPr>
          <w:p>
            <w:pPr>
              <w:spacing w:after="0"/>
              <w:rPr>
                <w:sz w:val="18"/>
                <w:szCs w:val="18"/>
                <w:color w:val="auto"/>
              </w:rPr>
            </w:pPr>
          </w:p>
        </w:tc>
        <w:tc>
          <w:tcPr>
            <w:tcW w:w="820" w:type="dxa"/>
            <w:vAlign w:val="bottom"/>
            <w:gridSpan w:val="2"/>
          </w:tcPr>
          <w:p>
            <w:pPr>
              <w:ind w:left="100"/>
              <w:spacing w:after="0"/>
              <w:rPr>
                <w:sz w:val="20"/>
                <w:szCs w:val="20"/>
                <w:color w:val="auto"/>
              </w:rPr>
            </w:pPr>
            <w:r>
              <w:rPr>
                <w:rFonts w:ascii="Arial" w:cs="Arial" w:eastAsia="Arial" w:hAnsi="Arial"/>
                <w:sz w:val="18"/>
                <w:szCs w:val="18"/>
                <w:color w:val="auto"/>
              </w:rPr>
              <w:t>57,669</w:t>
            </w:r>
          </w:p>
        </w:tc>
        <w:tc>
          <w:tcPr>
            <w:tcW w:w="100" w:type="dxa"/>
            <w:vAlign w:val="bottom"/>
          </w:tcPr>
          <w:p>
            <w:pPr>
              <w:spacing w:after="0"/>
              <w:rPr>
                <w:sz w:val="18"/>
                <w:szCs w:val="18"/>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rPr>
              <w:t>210,617</w:t>
            </w:r>
          </w:p>
        </w:tc>
        <w:tc>
          <w:tcPr>
            <w:tcW w:w="1180" w:type="dxa"/>
            <w:vAlign w:val="bottom"/>
            <w:gridSpan w:val="3"/>
          </w:tcPr>
          <w:p>
            <w:pPr>
              <w:jc w:val="right"/>
              <w:ind w:right="240"/>
              <w:spacing w:after="0"/>
              <w:rPr>
                <w:sz w:val="20"/>
                <w:szCs w:val="20"/>
                <w:color w:val="auto"/>
              </w:rPr>
            </w:pPr>
            <w:r>
              <w:rPr>
                <w:rFonts w:ascii="Arial" w:cs="Arial" w:eastAsia="Arial" w:hAnsi="Arial"/>
                <w:sz w:val="18"/>
                <w:szCs w:val="18"/>
                <w:color w:val="auto"/>
              </w:rPr>
              <w:t>434,288</w:t>
            </w:r>
          </w:p>
        </w:tc>
        <w:tc>
          <w:tcPr>
            <w:tcW w:w="120" w:type="dxa"/>
            <w:vAlign w:val="bottom"/>
          </w:tcPr>
          <w:p>
            <w:pPr>
              <w:spacing w:after="0"/>
              <w:rPr>
                <w:sz w:val="18"/>
                <w:szCs w:val="18"/>
                <w:color w:val="auto"/>
              </w:rPr>
            </w:pPr>
          </w:p>
        </w:tc>
        <w:tc>
          <w:tcPr>
            <w:tcW w:w="700" w:type="dxa"/>
            <w:vAlign w:val="bottom"/>
            <w:gridSpan w:val="2"/>
          </w:tcPr>
          <w:p>
            <w:pPr>
              <w:ind w:left="30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880" w:type="dxa"/>
            <w:vAlign w:val="bottom"/>
            <w:gridSpan w:val="2"/>
          </w:tcPr>
          <w:p>
            <w:pPr>
              <w:ind w:left="5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2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TMCL VII 2020-2 Bonds (2)</w:t>
            </w:r>
          </w:p>
        </w:tc>
        <w:tc>
          <w:tcPr>
            <w:tcW w:w="10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63,858</w:t>
            </w:r>
          </w:p>
        </w:tc>
        <w:tc>
          <w:tcPr>
            <w:tcW w:w="980" w:type="dxa"/>
            <w:vAlign w:val="bottom"/>
            <w:gridSpan w:val="3"/>
            <w:shd w:val="clear" w:color="auto" w:fill="CCEEFF"/>
          </w:tcPr>
          <w:p>
            <w:pPr>
              <w:ind w:left="420"/>
              <w:spacing w:after="0"/>
              <w:rPr>
                <w:sz w:val="20"/>
                <w:szCs w:val="20"/>
                <w:color w:val="auto"/>
              </w:rPr>
            </w:pPr>
            <w:r>
              <w:rPr>
                <w:rFonts w:ascii="Arial" w:cs="Arial" w:eastAsia="Arial" w:hAnsi="Arial"/>
                <w:sz w:val="18"/>
                <w:szCs w:val="18"/>
                <w:color w:val="auto"/>
                <w:w w:val="98"/>
              </w:rPr>
              <w:t>60,569</w:t>
            </w:r>
          </w:p>
        </w:tc>
        <w:tc>
          <w:tcPr>
            <w:tcW w:w="1240" w:type="dxa"/>
            <w:vAlign w:val="bottom"/>
            <w:gridSpan w:val="3"/>
            <w:shd w:val="clear" w:color="auto" w:fill="CCEEFF"/>
          </w:tcPr>
          <w:p>
            <w:pPr>
              <w:jc w:val="right"/>
              <w:ind w:right="240"/>
              <w:spacing w:after="0"/>
              <w:rPr>
                <w:sz w:val="20"/>
                <w:szCs w:val="20"/>
                <w:color w:val="auto"/>
              </w:rPr>
            </w:pPr>
            <w:r>
              <w:rPr>
                <w:rFonts w:ascii="Arial" w:cs="Arial" w:eastAsia="Arial" w:hAnsi="Arial"/>
                <w:sz w:val="18"/>
                <w:szCs w:val="18"/>
                <w:color w:val="auto"/>
              </w:rPr>
              <w:t>66,179</w:t>
            </w: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ind w:left="100"/>
              <w:spacing w:after="0"/>
              <w:rPr>
                <w:sz w:val="20"/>
                <w:szCs w:val="20"/>
                <w:color w:val="auto"/>
              </w:rPr>
            </w:pPr>
            <w:r>
              <w:rPr>
                <w:rFonts w:ascii="Arial" w:cs="Arial" w:eastAsia="Arial" w:hAnsi="Arial"/>
                <w:sz w:val="18"/>
                <w:szCs w:val="18"/>
                <w:color w:val="auto"/>
              </w:rPr>
              <w:t>68,745</w:t>
            </w:r>
          </w:p>
        </w:tc>
        <w:tc>
          <w:tcPr>
            <w:tcW w:w="1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334,301</w:t>
            </w:r>
          </w:p>
        </w:tc>
        <w:tc>
          <w:tcPr>
            <w:tcW w:w="1180" w:type="dxa"/>
            <w:vAlign w:val="bottom"/>
            <w:gridSpan w:val="3"/>
            <w:shd w:val="clear" w:color="auto" w:fill="CCEEFF"/>
          </w:tcPr>
          <w:p>
            <w:pPr>
              <w:jc w:val="right"/>
              <w:ind w:right="240"/>
              <w:spacing w:after="0"/>
              <w:rPr>
                <w:sz w:val="20"/>
                <w:szCs w:val="20"/>
                <w:color w:val="auto"/>
              </w:rPr>
            </w:pPr>
            <w:r>
              <w:rPr>
                <w:rFonts w:ascii="Arial" w:cs="Arial" w:eastAsia="Arial" w:hAnsi="Arial"/>
                <w:sz w:val="18"/>
                <w:szCs w:val="18"/>
                <w:color w:val="auto"/>
              </w:rPr>
              <w:t>593,652</w:t>
            </w:r>
          </w:p>
        </w:tc>
        <w:tc>
          <w:tcPr>
            <w:tcW w:w="120" w:type="dxa"/>
            <w:vAlign w:val="bottom"/>
            <w:shd w:val="clear" w:color="auto" w:fill="CCEEFF"/>
          </w:tcPr>
          <w:p>
            <w:pPr>
              <w:spacing w:after="0"/>
              <w:rPr>
                <w:sz w:val="18"/>
                <w:szCs w:val="18"/>
                <w:color w:val="auto"/>
              </w:rPr>
            </w:pPr>
          </w:p>
        </w:tc>
        <w:tc>
          <w:tcPr>
            <w:tcW w:w="70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880" w:type="dxa"/>
            <w:vAlign w:val="bottom"/>
            <w:gridSpan w:val="2"/>
            <w:shd w:val="clear" w:color="auto" w:fill="CCEEFF"/>
          </w:tcPr>
          <w:p>
            <w:pPr>
              <w:ind w:left="5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200" w:type="dxa"/>
            <w:vAlign w:val="bottom"/>
            <w:gridSpan w:val="2"/>
          </w:tcPr>
          <w:p>
            <w:pPr>
              <w:spacing w:after="0"/>
              <w:rPr>
                <w:sz w:val="20"/>
                <w:szCs w:val="20"/>
                <w:color w:val="auto"/>
              </w:rPr>
            </w:pPr>
            <w:r>
              <w:rPr>
                <w:rFonts w:ascii="Arial" w:cs="Arial" w:eastAsia="Arial" w:hAnsi="Arial"/>
                <w:sz w:val="18"/>
                <w:szCs w:val="18"/>
                <w:color w:val="auto"/>
              </w:rPr>
              <w:t>TMCL VII 2020-3 Bonds (2)</w:t>
            </w:r>
          </w:p>
        </w:tc>
        <w:tc>
          <w:tcPr>
            <w:tcW w:w="100" w:type="dxa"/>
            <w:vAlign w:val="bottom"/>
          </w:tcPr>
          <w:p>
            <w:pPr>
              <w:spacing w:after="0"/>
              <w:rPr>
                <w:sz w:val="18"/>
                <w:szCs w:val="18"/>
                <w:color w:val="auto"/>
              </w:rPr>
            </w:pPr>
          </w:p>
        </w:tc>
        <w:tc>
          <w:tcPr>
            <w:tcW w:w="620" w:type="dxa"/>
            <w:vAlign w:val="bottom"/>
            <w:gridSpan w:val="2"/>
          </w:tcPr>
          <w:p>
            <w:pPr>
              <w:jc w:val="right"/>
              <w:ind w:right="20"/>
              <w:spacing w:after="0"/>
              <w:rPr>
                <w:sz w:val="20"/>
                <w:szCs w:val="20"/>
                <w:color w:val="auto"/>
              </w:rPr>
            </w:pPr>
            <w:r>
              <w:rPr>
                <w:rFonts w:ascii="Arial" w:cs="Arial" w:eastAsia="Arial" w:hAnsi="Arial"/>
                <w:sz w:val="18"/>
                <w:szCs w:val="18"/>
                <w:color w:val="auto"/>
              </w:rPr>
              <w:t>20,111</w:t>
            </w:r>
          </w:p>
        </w:tc>
        <w:tc>
          <w:tcPr>
            <w:tcW w:w="980" w:type="dxa"/>
            <w:vAlign w:val="bottom"/>
            <w:gridSpan w:val="3"/>
          </w:tcPr>
          <w:p>
            <w:pPr>
              <w:ind w:left="420"/>
              <w:spacing w:after="0"/>
              <w:rPr>
                <w:sz w:val="20"/>
                <w:szCs w:val="20"/>
                <w:color w:val="auto"/>
              </w:rPr>
            </w:pPr>
            <w:r>
              <w:rPr>
                <w:rFonts w:ascii="Arial" w:cs="Arial" w:eastAsia="Arial" w:hAnsi="Arial"/>
                <w:sz w:val="18"/>
                <w:szCs w:val="18"/>
                <w:color w:val="auto"/>
                <w:w w:val="98"/>
              </w:rPr>
              <w:t>20,111</w:t>
            </w:r>
          </w:p>
        </w:tc>
        <w:tc>
          <w:tcPr>
            <w:tcW w:w="1240" w:type="dxa"/>
            <w:vAlign w:val="bottom"/>
            <w:gridSpan w:val="3"/>
          </w:tcPr>
          <w:p>
            <w:pPr>
              <w:jc w:val="right"/>
              <w:ind w:right="240"/>
              <w:spacing w:after="0"/>
              <w:rPr>
                <w:sz w:val="20"/>
                <w:szCs w:val="20"/>
                <w:color w:val="auto"/>
              </w:rPr>
            </w:pPr>
            <w:r>
              <w:rPr>
                <w:rFonts w:ascii="Arial" w:cs="Arial" w:eastAsia="Arial" w:hAnsi="Arial"/>
                <w:sz w:val="18"/>
                <w:szCs w:val="18"/>
                <w:color w:val="auto"/>
              </w:rPr>
              <w:t>20,111</w:t>
            </w:r>
          </w:p>
        </w:tc>
        <w:tc>
          <w:tcPr>
            <w:tcW w:w="100" w:type="dxa"/>
            <w:vAlign w:val="bottom"/>
          </w:tcPr>
          <w:p>
            <w:pPr>
              <w:spacing w:after="0"/>
              <w:rPr>
                <w:sz w:val="18"/>
                <w:szCs w:val="18"/>
                <w:color w:val="auto"/>
              </w:rPr>
            </w:pPr>
          </w:p>
        </w:tc>
        <w:tc>
          <w:tcPr>
            <w:tcW w:w="820" w:type="dxa"/>
            <w:vAlign w:val="bottom"/>
            <w:gridSpan w:val="2"/>
          </w:tcPr>
          <w:p>
            <w:pPr>
              <w:ind w:left="100"/>
              <w:spacing w:after="0"/>
              <w:rPr>
                <w:sz w:val="20"/>
                <w:szCs w:val="20"/>
                <w:color w:val="auto"/>
              </w:rPr>
            </w:pPr>
            <w:r>
              <w:rPr>
                <w:rFonts w:ascii="Arial" w:cs="Arial" w:eastAsia="Arial" w:hAnsi="Arial"/>
                <w:sz w:val="18"/>
                <w:szCs w:val="18"/>
                <w:color w:val="auto"/>
              </w:rPr>
              <w:t>20,111</w:t>
            </w:r>
          </w:p>
        </w:tc>
        <w:tc>
          <w:tcPr>
            <w:tcW w:w="100" w:type="dxa"/>
            <w:vAlign w:val="bottom"/>
          </w:tcPr>
          <w:p>
            <w:pPr>
              <w:spacing w:after="0"/>
              <w:rPr>
                <w:sz w:val="18"/>
                <w:szCs w:val="18"/>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rPr>
              <w:t>135,528</w:t>
            </w:r>
          </w:p>
        </w:tc>
        <w:tc>
          <w:tcPr>
            <w:tcW w:w="1180" w:type="dxa"/>
            <w:vAlign w:val="bottom"/>
            <w:gridSpan w:val="3"/>
          </w:tcPr>
          <w:p>
            <w:pPr>
              <w:jc w:val="right"/>
              <w:ind w:right="240"/>
              <w:spacing w:after="0"/>
              <w:rPr>
                <w:sz w:val="20"/>
                <w:szCs w:val="20"/>
                <w:color w:val="auto"/>
              </w:rPr>
            </w:pPr>
            <w:r>
              <w:rPr>
                <w:rFonts w:ascii="Arial" w:cs="Arial" w:eastAsia="Arial" w:hAnsi="Arial"/>
                <w:sz w:val="18"/>
                <w:szCs w:val="18"/>
                <w:color w:val="auto"/>
              </w:rPr>
              <w:t>215,972</w:t>
            </w:r>
          </w:p>
        </w:tc>
        <w:tc>
          <w:tcPr>
            <w:tcW w:w="120" w:type="dxa"/>
            <w:vAlign w:val="bottom"/>
          </w:tcPr>
          <w:p>
            <w:pPr>
              <w:spacing w:after="0"/>
              <w:rPr>
                <w:sz w:val="18"/>
                <w:szCs w:val="18"/>
                <w:color w:val="auto"/>
              </w:rPr>
            </w:pPr>
          </w:p>
        </w:tc>
        <w:tc>
          <w:tcPr>
            <w:tcW w:w="700" w:type="dxa"/>
            <w:vAlign w:val="bottom"/>
            <w:gridSpan w:val="2"/>
          </w:tcPr>
          <w:p>
            <w:pPr>
              <w:ind w:left="30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880" w:type="dxa"/>
            <w:vAlign w:val="bottom"/>
            <w:gridSpan w:val="2"/>
          </w:tcPr>
          <w:p>
            <w:pPr>
              <w:ind w:left="5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2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TAP Funding Revolving Credit Facility</w:t>
            </w:r>
          </w:p>
        </w:tc>
        <w:tc>
          <w:tcPr>
            <w:tcW w:w="10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w w:val="89"/>
              </w:rPr>
              <w:t>132,150</w:t>
            </w:r>
          </w:p>
        </w:tc>
        <w:tc>
          <w:tcPr>
            <w:tcW w:w="220" w:type="dxa"/>
            <w:vAlign w:val="bottom"/>
            <w:shd w:val="clear" w:color="auto" w:fill="CCEEFF"/>
          </w:tcPr>
          <w:p>
            <w:pPr>
              <w:spacing w:after="0"/>
              <w:rPr>
                <w:sz w:val="18"/>
                <w:szCs w:val="18"/>
                <w:color w:val="auto"/>
              </w:rPr>
            </w:pPr>
          </w:p>
        </w:tc>
        <w:tc>
          <w:tcPr>
            <w:tcW w:w="760" w:type="dxa"/>
            <w:vAlign w:val="bottom"/>
            <w:gridSpan w:val="2"/>
            <w:shd w:val="clear" w:color="auto" w:fill="CCEEFF"/>
          </w:tcPr>
          <w:p>
            <w:pPr>
              <w:ind w:left="420"/>
              <w:spacing w:after="0"/>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ind w:left="5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1180" w:type="dxa"/>
            <w:vAlign w:val="bottom"/>
            <w:gridSpan w:val="3"/>
            <w:shd w:val="clear" w:color="auto" w:fill="CCEEFF"/>
          </w:tcPr>
          <w:p>
            <w:pPr>
              <w:jc w:val="right"/>
              <w:ind w:right="240"/>
              <w:spacing w:after="0"/>
              <w:rPr>
                <w:sz w:val="20"/>
                <w:szCs w:val="20"/>
                <w:color w:val="auto"/>
              </w:rPr>
            </w:pPr>
            <w:r>
              <w:rPr>
                <w:rFonts w:ascii="Arial" w:cs="Arial" w:eastAsia="Arial" w:hAnsi="Arial"/>
                <w:sz w:val="18"/>
                <w:szCs w:val="18"/>
                <w:color w:val="auto"/>
              </w:rPr>
              <w:t>132,150</w:t>
            </w:r>
          </w:p>
        </w:tc>
        <w:tc>
          <w:tcPr>
            <w:tcW w:w="12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3,686</w:t>
            </w:r>
          </w:p>
        </w:tc>
        <w:tc>
          <w:tcPr>
            <w:tcW w:w="100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135,836</w:t>
            </w:r>
          </w:p>
        </w:tc>
        <w:tc>
          <w:tcPr>
            <w:tcW w:w="0" w:type="dxa"/>
            <w:vAlign w:val="bottom"/>
          </w:tcPr>
          <w:p>
            <w:pPr>
              <w:spacing w:after="0"/>
              <w:rPr>
                <w:sz w:val="1"/>
                <w:szCs w:val="1"/>
                <w:color w:val="auto"/>
              </w:rPr>
            </w:pPr>
          </w:p>
        </w:tc>
      </w:tr>
      <w:tr>
        <w:trPr>
          <w:trHeight w:val="223"/>
        </w:trPr>
        <w:tc>
          <w:tcPr>
            <w:tcW w:w="3200" w:type="dxa"/>
            <w:vAlign w:val="bottom"/>
            <w:gridSpan w:val="2"/>
          </w:tcPr>
          <w:p>
            <w:pPr>
              <w:ind w:left="360"/>
              <w:spacing w:after="0"/>
              <w:rPr>
                <w:sz w:val="20"/>
                <w:szCs w:val="20"/>
                <w:color w:val="auto"/>
              </w:rPr>
            </w:pPr>
            <w:r>
              <w:rPr>
                <w:rFonts w:ascii="Arial" w:cs="Arial" w:eastAsia="Arial" w:hAnsi="Arial"/>
                <w:sz w:val="18"/>
                <w:szCs w:val="18"/>
                <w:color w:val="auto"/>
              </w:rPr>
              <w:t>Total (3)</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9"/>
              </w:rPr>
              <w:t>416,408</w:t>
            </w:r>
          </w:p>
        </w:tc>
        <w:tc>
          <w:tcPr>
            <w:tcW w:w="20" w:type="dxa"/>
            <w:vAlign w:val="bottom"/>
            <w:tcBorders>
              <w:bottom w:val="single" w:sz="8" w:color="auto"/>
            </w:tcBorders>
          </w:tcPr>
          <w:p>
            <w:pPr>
              <w:spacing w:after="0"/>
              <w:rPr>
                <w:sz w:val="19"/>
                <w:szCs w:val="19"/>
                <w:color w:val="auto"/>
              </w:rPr>
            </w:pPr>
          </w:p>
        </w:tc>
        <w:tc>
          <w:tcPr>
            <w:tcW w:w="220" w:type="dxa"/>
            <w:vAlign w:val="bottom"/>
          </w:tcPr>
          <w:p>
            <w:pPr>
              <w:spacing w:after="0"/>
              <w:rPr>
                <w:sz w:val="19"/>
                <w:szCs w:val="19"/>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7"/>
              </w:rPr>
              <w:t>$</w:t>
            </w:r>
            <w:r>
              <w:rPr>
                <w:rFonts w:ascii="Arial" w:cs="Arial" w:eastAsia="Arial" w:hAnsi="Arial"/>
                <w:sz w:val="18"/>
                <w:szCs w:val="18"/>
                <w:color w:val="auto"/>
                <w:w w:val="87"/>
              </w:rPr>
              <w:t>393,294</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8"/>
              </w:rPr>
              <w:t>$</w:t>
            </w:r>
            <w:r>
              <w:rPr>
                <w:rFonts w:ascii="Arial" w:cs="Arial" w:eastAsia="Arial" w:hAnsi="Arial"/>
                <w:sz w:val="18"/>
                <w:szCs w:val="18"/>
                <w:color w:val="auto"/>
                <w:w w:val="88"/>
              </w:rPr>
              <w:t>1,536,486</w:t>
            </w:r>
          </w:p>
        </w:tc>
        <w:tc>
          <w:tcPr>
            <w:tcW w:w="24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58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86"/>
              </w:rPr>
              <w:t>268,272</w:t>
            </w:r>
          </w:p>
        </w:tc>
        <w:tc>
          <w:tcPr>
            <w:tcW w:w="24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9"/>
              </w:rPr>
              <w:t>1,527,566</w:t>
            </w: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8"/>
              </w:rPr>
              <w:t>$</w:t>
            </w:r>
            <w:r>
              <w:rPr>
                <w:rFonts w:ascii="Arial" w:cs="Arial" w:eastAsia="Arial" w:hAnsi="Arial"/>
                <w:sz w:val="18"/>
                <w:szCs w:val="18"/>
                <w:color w:val="auto"/>
                <w:w w:val="88"/>
              </w:rPr>
              <w:t>4,142,026</w:t>
            </w:r>
          </w:p>
        </w:tc>
        <w:tc>
          <w:tcPr>
            <w:tcW w:w="240" w:type="dxa"/>
            <w:vAlign w:val="bottom"/>
          </w:tcPr>
          <w:p>
            <w:pPr>
              <w:spacing w:after="0"/>
              <w:rPr>
                <w:sz w:val="19"/>
                <w:szCs w:val="19"/>
                <w:color w:val="auto"/>
              </w:rPr>
            </w:pPr>
          </w:p>
        </w:tc>
        <w:tc>
          <w:tcPr>
            <w:tcW w:w="1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70,091</w:t>
            </w: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8"/>
              </w:rPr>
              <w:t>$</w:t>
            </w:r>
            <w:r>
              <w:rPr>
                <w:rFonts w:ascii="Arial" w:cs="Arial" w:eastAsia="Arial" w:hAnsi="Arial"/>
                <w:sz w:val="18"/>
                <w:szCs w:val="18"/>
                <w:color w:val="auto"/>
                <w:w w:val="88"/>
              </w:rPr>
              <w:t>2,290,272</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1220" w:type="dxa"/>
            <w:vAlign w:val="bottom"/>
          </w:tcPr>
          <w:p>
            <w:pPr>
              <w:spacing w:after="0" w:line="20" w:lineRule="exact"/>
              <w:rPr>
                <w:sz w:val="1"/>
                <w:szCs w:val="1"/>
                <w:color w:val="auto"/>
              </w:rPr>
            </w:pPr>
          </w:p>
        </w:tc>
        <w:tc>
          <w:tcPr>
            <w:tcW w:w="19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9"/>
        </w:trPr>
        <w:tc>
          <w:tcPr>
            <w:tcW w:w="1220" w:type="dxa"/>
            <w:vAlign w:val="bottom"/>
            <w:tcBorders>
              <w:bottom w:val="single" w:sz="8" w:color="auto"/>
            </w:tcBorders>
          </w:tcPr>
          <w:p>
            <w:pPr>
              <w:spacing w:after="0"/>
              <w:rPr>
                <w:sz w:val="11"/>
                <w:szCs w:val="11"/>
                <w:color w:val="auto"/>
              </w:rPr>
            </w:pPr>
          </w:p>
        </w:tc>
        <w:tc>
          <w:tcPr>
            <w:tcW w:w="19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26" w:lineRule="exact"/>
        <w:rPr>
          <w:sz w:val="20"/>
          <w:szCs w:val="20"/>
          <w:color w:val="auto"/>
        </w:rPr>
      </w:pPr>
    </w:p>
    <w:p>
      <w:pPr>
        <w:ind w:left="424" w:right="600" w:hanging="424"/>
        <w:spacing w:after="0" w:line="258" w:lineRule="auto"/>
        <w:tabs>
          <w:tab w:leader="none" w:pos="424" w:val="left"/>
        </w:tabs>
        <w:numPr>
          <w:ilvl w:val="0"/>
          <w:numId w:val="130"/>
        </w:numPr>
        <w:rPr>
          <w:rFonts w:ascii="Arial" w:cs="Arial" w:eastAsia="Arial" w:hAnsi="Arial"/>
          <w:sz w:val="18"/>
          <w:szCs w:val="18"/>
          <w:color w:val="auto"/>
        </w:rPr>
      </w:pPr>
      <w:r>
        <w:rPr>
          <w:rFonts w:ascii="Arial" w:cs="Arial" w:eastAsia="Arial" w:hAnsi="Arial"/>
          <w:sz w:val="18"/>
          <w:szCs w:val="18"/>
          <w:color w:val="auto"/>
        </w:rPr>
        <w:t>The estimated future repayments for TMCL II Secured Debt Facility is based on the assumption that the facility will not be extended on its associated conversion date.</w:t>
      </w:r>
    </w:p>
    <w:p>
      <w:pPr>
        <w:spacing w:after="0" w:line="1" w:lineRule="exact"/>
        <w:rPr>
          <w:rFonts w:ascii="Arial" w:cs="Arial" w:eastAsia="Arial" w:hAnsi="Arial"/>
          <w:sz w:val="18"/>
          <w:szCs w:val="18"/>
          <w:color w:val="auto"/>
        </w:rPr>
      </w:pPr>
    </w:p>
    <w:p>
      <w:pPr>
        <w:ind w:left="424" w:right="840" w:hanging="424"/>
        <w:spacing w:after="0" w:line="250" w:lineRule="auto"/>
        <w:tabs>
          <w:tab w:leader="none" w:pos="424" w:val="left"/>
        </w:tabs>
        <w:numPr>
          <w:ilvl w:val="0"/>
          <w:numId w:val="130"/>
        </w:numPr>
        <w:rPr>
          <w:rFonts w:ascii="Arial" w:cs="Arial" w:eastAsia="Arial" w:hAnsi="Arial"/>
          <w:sz w:val="18"/>
          <w:szCs w:val="18"/>
          <w:color w:val="auto"/>
        </w:rPr>
      </w:pPr>
      <w:r>
        <w:rPr>
          <w:rFonts w:ascii="Arial" w:cs="Arial" w:eastAsia="Arial" w:hAnsi="Arial"/>
          <w:sz w:val="18"/>
          <w:szCs w:val="18"/>
          <w:color w:val="auto"/>
        </w:rPr>
        <w:t>Amounts on the TMCL VII 2019-1 Bonds, TMCL VII 2020-1 Bonds, TMCL VII 2020-2 Bonds, TMCL VII 2020-3 Bonds, exclude an unamortized discount of $81, $79, $157 and $82, respectively.</w:t>
      </w:r>
    </w:p>
    <w:p>
      <w:pPr>
        <w:ind w:left="424" w:hanging="424"/>
        <w:spacing w:after="0"/>
        <w:tabs>
          <w:tab w:leader="none" w:pos="424" w:val="left"/>
        </w:tabs>
        <w:numPr>
          <w:ilvl w:val="0"/>
          <w:numId w:val="130"/>
        </w:numPr>
        <w:rPr>
          <w:rFonts w:ascii="Arial" w:cs="Arial" w:eastAsia="Arial" w:hAnsi="Arial"/>
          <w:sz w:val="18"/>
          <w:szCs w:val="18"/>
          <w:color w:val="auto"/>
        </w:rPr>
      </w:pPr>
      <w:r>
        <w:rPr>
          <w:rFonts w:ascii="Arial" w:cs="Arial" w:eastAsia="Arial" w:hAnsi="Arial"/>
          <w:sz w:val="18"/>
          <w:szCs w:val="18"/>
          <w:color w:val="auto"/>
        </w:rPr>
        <w:t>Future scheduled payments for all debts exclude unamortized prepaid debt issuance costs in an aggregate amount of $26,283.</w:t>
      </w:r>
    </w:p>
    <w:p>
      <w:pPr>
        <w:spacing w:after="0" w:line="315"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(9) Derivative Instruments</w:t>
      </w:r>
    </w:p>
    <w:p>
      <w:pPr>
        <w:spacing w:after="0" w:line="121" w:lineRule="exact"/>
        <w:rPr>
          <w:sz w:val="20"/>
          <w:szCs w:val="20"/>
          <w:color w:val="auto"/>
        </w:rPr>
      </w:pPr>
    </w:p>
    <w:p>
      <w:pPr>
        <w:ind w:left="4" w:right="20" w:firstLine="440"/>
        <w:spacing w:after="0" w:line="255" w:lineRule="auto"/>
        <w:rPr>
          <w:sz w:val="20"/>
          <w:szCs w:val="20"/>
          <w:color w:val="auto"/>
        </w:rPr>
      </w:pPr>
      <w:r>
        <w:rPr>
          <w:rFonts w:ascii="Arial" w:cs="Arial" w:eastAsia="Arial" w:hAnsi="Arial"/>
          <w:sz w:val="18"/>
          <w:szCs w:val="18"/>
          <w:color w:val="auto"/>
        </w:rPr>
        <w:t>The Company has entered into several derivative agreements with several banks to reduce the impact of changes in interest rates associated with its debt obligations. The counterparties to the Company’s interest rate swap agreements are highly rated financial institutions. In the unlikely event that the counterparties fail to meet the terms of the interest rate swap agreements, the Company’s exposure is limited to the interest rate differential on the notional amount at each monthly settlement period over the life of the agreements. The Company monitors its counterparties’ credit ratings on an on-going basis and does not anticipate any non-performance by the counterparties. The Company does not have any master netting arrangements with its counterparties.</w:t>
      </w:r>
    </w:p>
    <w:p>
      <w:pPr>
        <w:spacing w:after="0" w:line="125"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F-39</w:t>
      </w:r>
    </w:p>
    <w:p>
      <w:pPr>
        <w:sectPr>
          <w:pgSz w:w="11900" w:h="16838" w:orient="portrait"/>
          <w:cols w:equalWidth="0" w:num="1">
            <w:col w:w="11024"/>
          </w:cols>
          <w:pgMar w:left="436" w:top="274" w:right="439" w:bottom="1440" w:gutter="0" w:footer="0" w:header="0"/>
        </w:sectPr>
      </w:pPr>
    </w:p>
    <w:bookmarkStart w:id="153" w:name="page154"/>
    <w:bookmarkEnd w:id="153"/>
    <w:p>
      <w:pPr>
        <w:ind w:left="4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The following is a summary of the Company’s derivative instruments as of December 31, 2020:</w:t>
      </w:r>
    </w:p>
    <w:p>
      <w:pPr>
        <w:spacing w:after="0" w:line="231" w:lineRule="exact"/>
        <w:rPr>
          <w:sz w:val="20"/>
          <w:szCs w:val="20"/>
          <w:color w:val="auto"/>
        </w:rPr>
      </w:pPr>
    </w:p>
    <w:tbl>
      <w:tblPr>
        <w:tblLayout w:type="fixed"/>
        <w:tblInd w:w="1760" w:type="dxa"/>
        <w:tblCellMar>
          <w:top w:w="0" w:type="dxa"/>
          <w:left w:w="0" w:type="dxa"/>
          <w:bottom w:w="0" w:type="dxa"/>
          <w:right w:w="0" w:type="dxa"/>
        </w:tblCellMar>
      </w:tblPr>
      <w:tr>
        <w:trPr>
          <w:trHeight w:val="161"/>
        </w:trPr>
        <w:tc>
          <w:tcPr>
            <w:tcW w:w="660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Derivative instruments</w:t>
            </w:r>
          </w:p>
        </w:tc>
        <w:tc>
          <w:tcPr>
            <w:tcW w:w="100" w:type="dxa"/>
            <w:vAlign w:val="bottom"/>
          </w:tcPr>
          <w:p>
            <w:pPr>
              <w:spacing w:after="0"/>
              <w:rPr>
                <w:sz w:val="14"/>
                <w:szCs w:val="14"/>
                <w:color w:val="auto"/>
              </w:rPr>
            </w:pPr>
          </w:p>
        </w:tc>
        <w:tc>
          <w:tcPr>
            <w:tcW w:w="780" w:type="dxa"/>
            <w:vAlign w:val="bottom"/>
            <w:gridSpan w:val="3"/>
          </w:tcPr>
          <w:p>
            <w:pPr>
              <w:jc w:val="center"/>
              <w:ind w:right="140"/>
              <w:spacing w:after="0"/>
              <w:rPr>
                <w:sz w:val="20"/>
                <w:szCs w:val="20"/>
                <w:color w:val="auto"/>
              </w:rPr>
            </w:pPr>
            <w:r>
              <w:rPr>
                <w:rFonts w:ascii="Arial" w:cs="Arial" w:eastAsia="Arial" w:hAnsi="Arial"/>
                <w:sz w:val="14"/>
                <w:szCs w:val="14"/>
                <w:b w:val="1"/>
                <w:bCs w:val="1"/>
                <w:color w:val="auto"/>
                <w:w w:val="92"/>
              </w:rPr>
              <w:t>Notional</w:t>
            </w:r>
          </w:p>
        </w:tc>
        <w:tc>
          <w:tcPr>
            <w:tcW w:w="0" w:type="dxa"/>
            <w:vAlign w:val="bottom"/>
          </w:tcPr>
          <w:p>
            <w:pPr>
              <w:spacing w:after="0"/>
              <w:rPr>
                <w:sz w:val="1"/>
                <w:szCs w:val="1"/>
                <w:color w:val="auto"/>
              </w:rPr>
            </w:pPr>
          </w:p>
        </w:tc>
      </w:tr>
      <w:tr>
        <w:trPr>
          <w:trHeight w:val="158"/>
        </w:trPr>
        <w:tc>
          <w:tcPr>
            <w:tcW w:w="6600" w:type="dxa"/>
            <w:vAlign w:val="bottom"/>
            <w:gridSpan w:val="3"/>
            <w:vMerge w:val="continue"/>
          </w:tcPr>
          <w:p>
            <w:pPr>
              <w:spacing w:after="0"/>
              <w:rPr>
                <w:sz w:val="13"/>
                <w:szCs w:val="13"/>
                <w:color w:val="auto"/>
              </w:rPr>
            </w:pPr>
          </w:p>
        </w:tc>
        <w:tc>
          <w:tcPr>
            <w:tcW w:w="100" w:type="dxa"/>
            <w:vAlign w:val="bottom"/>
          </w:tcPr>
          <w:p>
            <w:pPr>
              <w:spacing w:after="0"/>
              <w:rPr>
                <w:sz w:val="13"/>
                <w:szCs w:val="13"/>
                <w:color w:val="auto"/>
              </w:rPr>
            </w:pPr>
          </w:p>
        </w:tc>
        <w:tc>
          <w:tcPr>
            <w:tcW w:w="780" w:type="dxa"/>
            <w:vAlign w:val="bottom"/>
            <w:gridSpan w:val="3"/>
          </w:tcPr>
          <w:p>
            <w:pPr>
              <w:jc w:val="center"/>
              <w:ind w:right="140"/>
              <w:spacing w:after="0" w:line="158" w:lineRule="exact"/>
              <w:rPr>
                <w:sz w:val="20"/>
                <w:szCs w:val="20"/>
                <w:color w:val="auto"/>
              </w:rPr>
            </w:pPr>
            <w:r>
              <w:rPr>
                <w:rFonts w:ascii="Arial" w:cs="Arial" w:eastAsia="Arial" w:hAnsi="Arial"/>
                <w:sz w:val="14"/>
                <w:szCs w:val="14"/>
                <w:b w:val="1"/>
                <w:bCs w:val="1"/>
                <w:color w:val="auto"/>
                <w:w w:val="94"/>
              </w:rPr>
              <w:t>amount</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1400" w:type="dxa"/>
            <w:vAlign w:val="bottom"/>
            <w:shd w:val="clear" w:color="auto" w:fill="000000"/>
          </w:tcPr>
          <w:p>
            <w:pPr>
              <w:spacing w:after="0" w:line="20" w:lineRule="exact"/>
              <w:rPr>
                <w:sz w:val="1"/>
                <w:szCs w:val="1"/>
                <w:color w:val="auto"/>
              </w:rPr>
            </w:pPr>
          </w:p>
        </w:tc>
        <w:tc>
          <w:tcPr>
            <w:tcW w:w="51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5"/>
        </w:trPr>
        <w:tc>
          <w:tcPr>
            <w:tcW w:w="20" w:type="dxa"/>
            <w:vAlign w:val="bottom"/>
            <w:vMerge w:val="continue"/>
          </w:tcPr>
          <w:p>
            <w:pPr>
              <w:spacing w:after="0"/>
              <w:rPr>
                <w:sz w:val="16"/>
                <w:szCs w:val="16"/>
                <w:color w:val="auto"/>
              </w:rPr>
            </w:pPr>
          </w:p>
        </w:tc>
        <w:tc>
          <w:tcPr>
            <w:tcW w:w="6580" w:type="dxa"/>
            <w:vAlign w:val="bottom"/>
            <w:gridSpan w:val="2"/>
            <w:shd w:val="clear" w:color="auto" w:fill="CCEEFF"/>
          </w:tcPr>
          <w:p>
            <w:pPr>
              <w:spacing w:after="0" w:line="195" w:lineRule="exact"/>
              <w:rPr>
                <w:sz w:val="20"/>
                <w:szCs w:val="20"/>
                <w:color w:val="auto"/>
              </w:rPr>
            </w:pPr>
            <w:r>
              <w:rPr>
                <w:rFonts w:ascii="Arial" w:cs="Arial" w:eastAsia="Arial" w:hAnsi="Arial"/>
                <w:sz w:val="18"/>
                <w:szCs w:val="18"/>
                <w:color w:val="auto"/>
                <w:w w:val="98"/>
              </w:rPr>
              <w:t>Interest rate swap contracts with several banks, with fixed rates between 1.73% and</w:t>
            </w:r>
          </w:p>
        </w:tc>
        <w:tc>
          <w:tcPr>
            <w:tcW w:w="100" w:type="dxa"/>
            <w:vAlign w:val="bottom"/>
            <w:shd w:val="clear" w:color="auto" w:fill="CCEEFF"/>
          </w:tcPr>
          <w:p>
            <w:pPr>
              <w:spacing w:after="0"/>
              <w:rPr>
                <w:sz w:val="16"/>
                <w:szCs w:val="16"/>
                <w:color w:val="auto"/>
              </w:rPr>
            </w:pPr>
          </w:p>
        </w:tc>
        <w:tc>
          <w:tcPr>
            <w:tcW w:w="72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58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2.94% per annum, amortizing notional amounts, with termination dates through</w:t>
            </w: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658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January 15, 2023, non-designated</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536,000</w:t>
            </w:r>
          </w:p>
        </w:tc>
        <w:tc>
          <w:tcPr>
            <w:tcW w:w="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310"/>
        </w:trPr>
        <w:tc>
          <w:tcPr>
            <w:tcW w:w="6600" w:type="dxa"/>
            <w:vAlign w:val="bottom"/>
            <w:gridSpan w:val="3"/>
          </w:tcPr>
          <w:p>
            <w:pPr>
              <w:spacing w:after="0"/>
              <w:rPr>
                <w:sz w:val="20"/>
                <w:szCs w:val="20"/>
                <w:color w:val="auto"/>
              </w:rPr>
            </w:pPr>
            <w:r>
              <w:rPr>
                <w:rFonts w:ascii="Arial" w:cs="Arial" w:eastAsia="Arial" w:hAnsi="Arial"/>
                <w:sz w:val="18"/>
                <w:szCs w:val="18"/>
                <w:color w:val="auto"/>
                <w:w w:val="98"/>
              </w:rPr>
              <w:t>Interest rate swap contracts with several banks, with fixed rates between 0.17% and</w:t>
            </w:r>
          </w:p>
        </w:tc>
        <w:tc>
          <w:tcPr>
            <w:tcW w:w="1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580" w:type="dxa"/>
            <w:vAlign w:val="bottom"/>
            <w:gridSpan w:val="2"/>
          </w:tcPr>
          <w:p>
            <w:pPr>
              <w:ind w:left="160"/>
              <w:spacing w:after="0"/>
              <w:rPr>
                <w:sz w:val="20"/>
                <w:szCs w:val="20"/>
                <w:color w:val="auto"/>
              </w:rPr>
            </w:pPr>
            <w:r>
              <w:rPr>
                <w:rFonts w:ascii="Arial" w:cs="Arial" w:eastAsia="Arial" w:hAnsi="Arial"/>
                <w:sz w:val="18"/>
                <w:szCs w:val="18"/>
                <w:color w:val="auto"/>
              </w:rPr>
              <w:t>1.58% per annum, amortizing notional amounts, with termination dates through</w:t>
            </w: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6580" w:type="dxa"/>
            <w:vAlign w:val="bottom"/>
            <w:gridSpan w:val="2"/>
          </w:tcPr>
          <w:p>
            <w:pPr>
              <w:ind w:left="160"/>
              <w:spacing w:after="0"/>
              <w:rPr>
                <w:sz w:val="20"/>
                <w:szCs w:val="20"/>
                <w:color w:val="auto"/>
              </w:rPr>
            </w:pPr>
            <w:r>
              <w:rPr>
                <w:rFonts w:ascii="Arial" w:cs="Arial" w:eastAsia="Arial" w:hAnsi="Arial"/>
                <w:sz w:val="18"/>
                <w:szCs w:val="18"/>
                <w:color w:val="auto"/>
              </w:rPr>
              <w:t>April 30, 2027, designated</w:t>
            </w:r>
          </w:p>
        </w:tc>
        <w:tc>
          <w:tcPr>
            <w:tcW w:w="100" w:type="dxa"/>
            <w:vAlign w:val="bottom"/>
          </w:tcPr>
          <w:p>
            <w:pPr>
              <w:spacing w:after="0"/>
              <w:rPr>
                <w:sz w:val="20"/>
                <w:szCs w:val="20"/>
                <w:color w:val="auto"/>
              </w:rPr>
            </w:pPr>
          </w:p>
        </w:tc>
        <w:tc>
          <w:tcPr>
            <w:tcW w:w="740" w:type="dxa"/>
            <w:vAlign w:val="bottom"/>
            <w:gridSpan w:val="2"/>
          </w:tcPr>
          <w:p>
            <w:pPr>
              <w:jc w:val="right"/>
              <w:ind w:right="20"/>
              <w:spacing w:after="0"/>
              <w:rPr>
                <w:sz w:val="20"/>
                <w:szCs w:val="20"/>
                <w:color w:val="auto"/>
              </w:rPr>
            </w:pPr>
            <w:r>
              <w:rPr>
                <w:rFonts w:ascii="Arial" w:cs="Arial" w:eastAsia="Arial" w:hAnsi="Arial"/>
                <w:sz w:val="18"/>
                <w:szCs w:val="18"/>
                <w:color w:val="auto"/>
              </w:rPr>
              <w:t>768,250</w:t>
            </w: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08"/>
        </w:trPr>
        <w:tc>
          <w:tcPr>
            <w:tcW w:w="20" w:type="dxa"/>
            <w:vAlign w:val="bottom"/>
            <w:vMerge w:val="restart"/>
          </w:tcPr>
          <w:p>
            <w:pPr>
              <w:spacing w:after="0"/>
              <w:rPr>
                <w:sz w:val="9"/>
                <w:szCs w:val="9"/>
                <w:color w:val="auto"/>
              </w:rPr>
            </w:pPr>
          </w:p>
        </w:tc>
        <w:tc>
          <w:tcPr>
            <w:tcW w:w="1400" w:type="dxa"/>
            <w:vAlign w:val="bottom"/>
          </w:tcPr>
          <w:p>
            <w:pPr>
              <w:spacing w:after="0"/>
              <w:rPr>
                <w:sz w:val="9"/>
                <w:szCs w:val="9"/>
                <w:color w:val="auto"/>
              </w:rPr>
            </w:pPr>
          </w:p>
        </w:tc>
        <w:tc>
          <w:tcPr>
            <w:tcW w:w="5180" w:type="dxa"/>
            <w:vAlign w:val="bottom"/>
          </w:tcPr>
          <w:p>
            <w:pPr>
              <w:spacing w:after="0"/>
              <w:rPr>
                <w:sz w:val="9"/>
                <w:szCs w:val="9"/>
                <w:color w:val="auto"/>
              </w:rPr>
            </w:pPr>
          </w:p>
        </w:tc>
        <w:tc>
          <w:tcPr>
            <w:tcW w:w="100" w:type="dxa"/>
            <w:vAlign w:val="bottom"/>
          </w:tcPr>
          <w:p>
            <w:pPr>
              <w:spacing w:after="0"/>
              <w:rPr>
                <w:sz w:val="9"/>
                <w:szCs w:val="9"/>
                <w:color w:val="auto"/>
              </w:rPr>
            </w:pPr>
          </w:p>
        </w:tc>
        <w:tc>
          <w:tcPr>
            <w:tcW w:w="720" w:type="dxa"/>
            <w:vAlign w:val="bottom"/>
          </w:tcPr>
          <w:p>
            <w:pPr>
              <w:spacing w:after="0"/>
              <w:rPr>
                <w:sz w:val="9"/>
                <w:szCs w:val="9"/>
                <w:color w:val="auto"/>
              </w:rPr>
            </w:pPr>
          </w:p>
        </w:tc>
        <w:tc>
          <w:tcPr>
            <w:tcW w:w="20" w:type="dxa"/>
            <w:vAlign w:val="bottom"/>
          </w:tcPr>
          <w:p>
            <w:pPr>
              <w:spacing w:after="0"/>
              <w:rPr>
                <w:sz w:val="9"/>
                <w:szCs w:val="9"/>
                <w:color w:val="auto"/>
              </w:rPr>
            </w:pPr>
          </w:p>
        </w:tc>
        <w:tc>
          <w:tcPr>
            <w:tcW w:w="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02"/>
        </w:trPr>
        <w:tc>
          <w:tcPr>
            <w:tcW w:w="20" w:type="dxa"/>
            <w:vAlign w:val="bottom"/>
            <w:vMerge w:val="continue"/>
          </w:tcPr>
          <w:p>
            <w:pPr>
              <w:spacing w:after="0"/>
              <w:rPr>
                <w:sz w:val="17"/>
                <w:szCs w:val="17"/>
                <w:color w:val="auto"/>
              </w:rPr>
            </w:pPr>
          </w:p>
        </w:tc>
        <w:tc>
          <w:tcPr>
            <w:tcW w:w="658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w w:val="96"/>
              </w:rPr>
              <w:t>Interest rate cap contract at 3.00% fixed rate with a termination date of December 31,</w:t>
            </w: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1400" w:type="dxa"/>
            <w:vAlign w:val="bottom"/>
            <w:shd w:val="clear" w:color="auto" w:fill="CCEEFF"/>
          </w:tcPr>
          <w:p>
            <w:pPr>
              <w:ind w:left="160"/>
              <w:spacing w:after="0"/>
              <w:rPr>
                <w:sz w:val="20"/>
                <w:szCs w:val="20"/>
                <w:color w:val="auto"/>
              </w:rPr>
            </w:pPr>
            <w:r>
              <w:rPr>
                <w:rFonts w:ascii="Arial" w:cs="Arial" w:eastAsia="Arial" w:hAnsi="Arial"/>
                <w:sz w:val="18"/>
                <w:szCs w:val="18"/>
                <w:color w:val="auto"/>
              </w:rPr>
              <w:t>2021</w:t>
            </w:r>
          </w:p>
        </w:tc>
        <w:tc>
          <w:tcPr>
            <w:tcW w:w="518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30,000</w:t>
            </w:r>
          </w:p>
        </w:tc>
        <w:tc>
          <w:tcPr>
            <w:tcW w:w="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6580" w:type="dxa"/>
            <w:vAlign w:val="bottom"/>
            <w:gridSpan w:val="2"/>
          </w:tcPr>
          <w:p>
            <w:pPr>
              <w:ind w:left="340"/>
              <w:spacing w:after="0"/>
              <w:rPr>
                <w:sz w:val="20"/>
                <w:szCs w:val="20"/>
                <w:color w:val="auto"/>
              </w:rPr>
            </w:pPr>
            <w:r>
              <w:rPr>
                <w:rFonts w:ascii="Arial" w:cs="Arial" w:eastAsia="Arial" w:hAnsi="Arial"/>
                <w:sz w:val="18"/>
                <w:szCs w:val="18"/>
                <w:color w:val="auto"/>
              </w:rPr>
              <w:t>Total notional amount as of December 31, 2020</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1,334,250</w:t>
            </w:r>
          </w:p>
        </w:tc>
        <w:tc>
          <w:tcPr>
            <w:tcW w:w="20" w:type="dxa"/>
            <w:vAlign w:val="bottom"/>
            <w:tcBorders>
              <w:bottom w:val="single" w:sz="8" w:color="auto"/>
            </w:tcBorders>
          </w:tcPr>
          <w:p>
            <w:pPr>
              <w:spacing w:after="0"/>
              <w:rPr>
                <w:sz w:val="19"/>
                <w:szCs w:val="19"/>
                <w:color w:val="auto"/>
              </w:rPr>
            </w:pP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51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firstLine="440"/>
        <w:spacing w:after="0" w:line="301" w:lineRule="auto"/>
        <w:rPr>
          <w:sz w:val="20"/>
          <w:szCs w:val="20"/>
          <w:color w:val="auto"/>
        </w:rPr>
      </w:pPr>
      <w:r>
        <w:rPr>
          <w:rFonts w:ascii="Arial" w:cs="Arial" w:eastAsia="Arial" w:hAnsi="Arial"/>
          <w:sz w:val="16"/>
          <w:szCs w:val="16"/>
          <w:color w:val="auto"/>
        </w:rPr>
        <w:t>The Company has utilized the income approach to measure at each balance sheet date the fair value of its derivative instruments on a recurring basis using observable (Level 2) market inputs. This approach represents the present value of future cash flows based upon current market expectations. The valuation also reflects the credit standing of the Company and the counterparties to the derivative agreements. The credit valuation adjustment was determined to be $247 and $167 (both of which were additions to the net fair value) as of December 31, 2020 and 2019, respectively.</w:t>
      </w:r>
    </w:p>
    <w:p>
      <w:pPr>
        <w:spacing w:after="0" w:line="157" w:lineRule="exact"/>
        <w:rPr>
          <w:sz w:val="20"/>
          <w:szCs w:val="20"/>
          <w:color w:val="auto"/>
        </w:rPr>
      </w:pPr>
    </w:p>
    <w:p>
      <w:pPr>
        <w:ind w:firstLine="440"/>
        <w:spacing w:after="0" w:line="342" w:lineRule="auto"/>
        <w:rPr>
          <w:sz w:val="20"/>
          <w:szCs w:val="20"/>
          <w:color w:val="auto"/>
        </w:rPr>
      </w:pPr>
      <w:r>
        <w:rPr>
          <w:rFonts w:ascii="Arial" w:cs="Arial" w:eastAsia="Arial" w:hAnsi="Arial"/>
          <w:sz w:val="16"/>
          <w:szCs w:val="16"/>
          <w:color w:val="auto"/>
        </w:rPr>
        <w:t>Derivative instruments are designated or non-designated for hedge accounting purposes. The following table summarizes the notional amount and fair value of derivative instruments, which are inclusive of counterparty risk, on the consolidated balance sheets as of December 31, 2020 and 2019:</w:t>
      </w:r>
    </w:p>
    <w:p>
      <w:pPr>
        <w:spacing w:after="0" w:line="142" w:lineRule="exact"/>
        <w:rPr>
          <w:sz w:val="20"/>
          <w:szCs w:val="20"/>
          <w:color w:val="auto"/>
        </w:rPr>
      </w:pPr>
    </w:p>
    <w:tbl>
      <w:tblPr>
        <w:tblLayout w:type="fixed"/>
        <w:tblInd w:w="440" w:type="dxa"/>
        <w:tblCellMar>
          <w:top w:w="0" w:type="dxa"/>
          <w:left w:w="0" w:type="dxa"/>
          <w:bottom w:w="0" w:type="dxa"/>
          <w:right w:w="0" w:type="dxa"/>
        </w:tblCellMar>
      </w:tblPr>
      <w:tr>
        <w:trPr>
          <w:trHeight w:val="171"/>
        </w:trPr>
        <w:tc>
          <w:tcPr>
            <w:tcW w:w="62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1080" w:type="dxa"/>
            <w:vAlign w:val="bottom"/>
            <w:tcBorders>
              <w:bottom w:val="single" w:sz="8" w:color="auto"/>
            </w:tcBorders>
            <w:gridSpan w:val="3"/>
          </w:tcPr>
          <w:p>
            <w:pPr>
              <w:jc w:val="right"/>
              <w:ind w:right="120"/>
              <w:spacing w:after="0"/>
              <w:rPr>
                <w:sz w:val="20"/>
                <w:szCs w:val="20"/>
                <w:color w:val="auto"/>
              </w:rPr>
            </w:pPr>
            <w:r>
              <w:rPr>
                <w:rFonts w:ascii="Arial" w:cs="Arial" w:eastAsia="Arial" w:hAnsi="Arial"/>
                <w:sz w:val="14"/>
                <w:szCs w:val="14"/>
                <w:b w:val="1"/>
                <w:bCs w:val="1"/>
                <w:color w:val="auto"/>
              </w:rPr>
              <w:t>2020</w:t>
            </w:r>
          </w:p>
        </w:tc>
        <w:tc>
          <w:tcPr>
            <w:tcW w:w="120" w:type="dxa"/>
            <w:vAlign w:val="bottom"/>
            <w:tcBorders>
              <w:bottom w:val="single" w:sz="8" w:color="auto"/>
            </w:tcBorders>
          </w:tcPr>
          <w:p>
            <w:pPr>
              <w:spacing w:after="0"/>
              <w:rPr>
                <w:sz w:val="14"/>
                <w:szCs w:val="14"/>
                <w:color w:val="auto"/>
              </w:rPr>
            </w:pPr>
          </w:p>
        </w:tc>
        <w:tc>
          <w:tcPr>
            <w:tcW w:w="52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80" w:type="dxa"/>
            <w:vAlign w:val="bottom"/>
            <w:tcBorders>
              <w:bottom w:val="single" w:sz="8" w:color="auto"/>
            </w:tcBorders>
          </w:tcPr>
          <w:p>
            <w:pPr>
              <w:spacing w:after="0"/>
              <w:rPr>
                <w:sz w:val="14"/>
                <w:szCs w:val="14"/>
                <w:color w:val="auto"/>
              </w:rPr>
            </w:pPr>
          </w:p>
        </w:tc>
        <w:tc>
          <w:tcPr>
            <w:tcW w:w="34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w w:val="89"/>
              </w:rPr>
              <w:t>2019</w:t>
            </w:r>
          </w:p>
        </w:tc>
        <w:tc>
          <w:tcPr>
            <w:tcW w:w="120" w:type="dxa"/>
            <w:vAlign w:val="bottom"/>
            <w:tcBorders>
              <w:bottom w:val="single" w:sz="8" w:color="auto"/>
            </w:tcBorders>
          </w:tcPr>
          <w:p>
            <w:pPr>
              <w:spacing w:after="0"/>
              <w:rPr>
                <w:sz w:val="14"/>
                <w:szCs w:val="14"/>
                <w:color w:val="auto"/>
              </w:rPr>
            </w:pPr>
          </w:p>
        </w:tc>
        <w:tc>
          <w:tcPr>
            <w:tcW w:w="540" w:type="dxa"/>
            <w:vAlign w:val="bottom"/>
            <w:tcBorders>
              <w:bottom w:val="single" w:sz="8" w:color="auto"/>
            </w:tcBorders>
          </w:tcPr>
          <w:p>
            <w:pPr>
              <w:spacing w:after="0"/>
              <w:rPr>
                <w:sz w:val="14"/>
                <w:szCs w:val="14"/>
                <w:color w:val="auto"/>
              </w:rPr>
            </w:pPr>
          </w:p>
        </w:tc>
        <w:tc>
          <w:tcPr>
            <w:tcW w:w="40" w:type="dxa"/>
            <w:vAlign w:val="bottom"/>
          </w:tcPr>
          <w:p>
            <w:pPr>
              <w:spacing w:after="0"/>
              <w:rPr>
                <w:sz w:val="14"/>
                <w:szCs w:val="14"/>
                <w:color w:val="auto"/>
              </w:rPr>
            </w:pPr>
          </w:p>
        </w:tc>
      </w:tr>
      <w:tr>
        <w:trPr>
          <w:trHeight w:val="119"/>
        </w:trPr>
        <w:tc>
          <w:tcPr>
            <w:tcW w:w="62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640" w:type="dxa"/>
            <w:vAlign w:val="bottom"/>
            <w:gridSpan w:val="2"/>
          </w:tcPr>
          <w:p>
            <w:pPr>
              <w:spacing w:after="0" w:line="119" w:lineRule="exact"/>
              <w:rPr>
                <w:sz w:val="20"/>
                <w:szCs w:val="20"/>
                <w:color w:val="auto"/>
              </w:rPr>
            </w:pPr>
            <w:r>
              <w:rPr>
                <w:rFonts w:ascii="Arial" w:cs="Arial" w:eastAsia="Arial" w:hAnsi="Arial"/>
                <w:sz w:val="13"/>
                <w:szCs w:val="13"/>
                <w:b w:val="1"/>
                <w:bCs w:val="1"/>
                <w:color w:val="auto"/>
                <w:w w:val="99"/>
              </w:rPr>
              <w:t>Derivative</w:t>
            </w:r>
          </w:p>
        </w:tc>
        <w:tc>
          <w:tcPr>
            <w:tcW w:w="16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660" w:type="dxa"/>
            <w:vAlign w:val="bottom"/>
            <w:gridSpan w:val="2"/>
          </w:tcPr>
          <w:p>
            <w:pPr>
              <w:spacing w:after="0" w:line="119" w:lineRule="exact"/>
              <w:rPr>
                <w:sz w:val="20"/>
                <w:szCs w:val="20"/>
                <w:color w:val="auto"/>
              </w:rPr>
            </w:pPr>
            <w:r>
              <w:rPr>
                <w:rFonts w:ascii="Arial" w:cs="Arial" w:eastAsia="Arial" w:hAnsi="Arial"/>
                <w:sz w:val="13"/>
                <w:szCs w:val="13"/>
                <w:b w:val="1"/>
                <w:bCs w:val="1"/>
                <w:color w:val="auto"/>
              </w:rPr>
              <w:t>Derivative</w:t>
            </w:r>
          </w:p>
        </w:tc>
        <w:tc>
          <w:tcPr>
            <w:tcW w:w="40" w:type="dxa"/>
            <w:vAlign w:val="bottom"/>
          </w:tcPr>
          <w:p>
            <w:pPr>
              <w:spacing w:after="0"/>
              <w:rPr>
                <w:sz w:val="10"/>
                <w:szCs w:val="10"/>
                <w:color w:val="auto"/>
              </w:rPr>
            </w:pPr>
          </w:p>
        </w:tc>
      </w:tr>
      <w:tr>
        <w:trPr>
          <w:trHeight w:val="185"/>
        </w:trPr>
        <w:tc>
          <w:tcPr>
            <w:tcW w:w="62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80" w:type="dxa"/>
            <w:vAlign w:val="bottom"/>
            <w:gridSpan w:val="3"/>
          </w:tcPr>
          <w:p>
            <w:pPr>
              <w:jc w:val="right"/>
              <w:ind w:right="500"/>
              <w:spacing w:after="0"/>
              <w:rPr>
                <w:sz w:val="20"/>
                <w:szCs w:val="20"/>
                <w:color w:val="auto"/>
              </w:rPr>
            </w:pPr>
            <w:r>
              <w:rPr>
                <w:rFonts w:ascii="Arial" w:cs="Arial" w:eastAsia="Arial" w:hAnsi="Arial"/>
                <w:sz w:val="14"/>
                <w:szCs w:val="14"/>
                <w:b w:val="1"/>
                <w:bCs w:val="1"/>
                <w:color w:val="auto"/>
                <w:w w:val="99"/>
              </w:rPr>
              <w:t>Notional</w:t>
            </w:r>
          </w:p>
        </w:tc>
        <w:tc>
          <w:tcPr>
            <w:tcW w:w="800" w:type="dxa"/>
            <w:vAlign w:val="bottom"/>
            <w:gridSpan w:val="3"/>
          </w:tcPr>
          <w:p>
            <w:pPr>
              <w:ind w:left="60"/>
              <w:spacing w:after="0"/>
              <w:rPr>
                <w:sz w:val="20"/>
                <w:szCs w:val="20"/>
                <w:color w:val="auto"/>
              </w:rPr>
            </w:pPr>
            <w:r>
              <w:rPr>
                <w:rFonts w:ascii="Arial" w:cs="Arial" w:eastAsia="Arial" w:hAnsi="Arial"/>
                <w:sz w:val="14"/>
                <w:szCs w:val="14"/>
                <w:b w:val="1"/>
                <w:bCs w:val="1"/>
                <w:color w:val="auto"/>
              </w:rPr>
              <w:t>Amount</w:t>
            </w:r>
          </w:p>
        </w:tc>
        <w:tc>
          <w:tcPr>
            <w:tcW w:w="180" w:type="dxa"/>
            <w:vAlign w:val="bottom"/>
          </w:tcPr>
          <w:p>
            <w:pPr>
              <w:spacing w:after="0"/>
              <w:rPr>
                <w:sz w:val="16"/>
                <w:szCs w:val="16"/>
                <w:color w:val="auto"/>
              </w:rPr>
            </w:pPr>
          </w:p>
        </w:tc>
        <w:tc>
          <w:tcPr>
            <w:tcW w:w="680" w:type="dxa"/>
            <w:vAlign w:val="bottom"/>
            <w:gridSpan w:val="2"/>
          </w:tcPr>
          <w:p>
            <w:pPr>
              <w:jc w:val="right"/>
              <w:spacing w:after="0"/>
              <w:rPr>
                <w:sz w:val="20"/>
                <w:szCs w:val="20"/>
                <w:color w:val="auto"/>
              </w:rPr>
            </w:pPr>
            <w:r>
              <w:rPr>
                <w:rFonts w:ascii="Arial" w:cs="Arial" w:eastAsia="Arial" w:hAnsi="Arial"/>
                <w:sz w:val="14"/>
                <w:szCs w:val="14"/>
                <w:b w:val="1"/>
                <w:bCs w:val="1"/>
                <w:color w:val="auto"/>
              </w:rPr>
              <w:t>Notional</w:t>
            </w:r>
          </w:p>
        </w:tc>
        <w:tc>
          <w:tcPr>
            <w:tcW w:w="340" w:type="dxa"/>
            <w:vAlign w:val="bottom"/>
          </w:tcPr>
          <w:p>
            <w:pPr>
              <w:spacing w:after="0"/>
              <w:rPr>
                <w:sz w:val="16"/>
                <w:szCs w:val="16"/>
                <w:color w:val="auto"/>
              </w:rPr>
            </w:pPr>
          </w:p>
        </w:tc>
        <w:tc>
          <w:tcPr>
            <w:tcW w:w="700" w:type="dxa"/>
            <w:vAlign w:val="bottom"/>
            <w:gridSpan w:val="3"/>
          </w:tcPr>
          <w:p>
            <w:pPr>
              <w:ind w:left="80"/>
              <w:spacing w:after="0"/>
              <w:rPr>
                <w:sz w:val="20"/>
                <w:szCs w:val="20"/>
                <w:color w:val="auto"/>
              </w:rPr>
            </w:pPr>
            <w:r>
              <w:rPr>
                <w:rFonts w:ascii="Arial" w:cs="Arial" w:eastAsia="Arial" w:hAnsi="Arial"/>
                <w:sz w:val="14"/>
                <w:szCs w:val="14"/>
                <w:b w:val="1"/>
                <w:bCs w:val="1"/>
                <w:color w:val="auto"/>
              </w:rPr>
              <w:t>Amount</w:t>
            </w: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Assets</w:t>
            </w:r>
          </w:p>
        </w:tc>
        <w:tc>
          <w:tcPr>
            <w:tcW w:w="8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r>
      <w:tr>
        <w:trPr>
          <w:trHeight w:val="216"/>
        </w:trPr>
        <w:tc>
          <w:tcPr>
            <w:tcW w:w="6260" w:type="dxa"/>
            <w:vAlign w:val="bottom"/>
          </w:tcPr>
          <w:p>
            <w:pPr>
              <w:ind w:left="360"/>
              <w:spacing w:after="0"/>
              <w:rPr>
                <w:sz w:val="20"/>
                <w:szCs w:val="20"/>
                <w:color w:val="auto"/>
              </w:rPr>
            </w:pPr>
            <w:r>
              <w:rPr>
                <w:rFonts w:ascii="Arial" w:cs="Arial" w:eastAsia="Arial" w:hAnsi="Arial"/>
                <w:sz w:val="18"/>
                <w:szCs w:val="18"/>
                <w:color w:val="auto"/>
              </w:rPr>
              <w:t>Interest rate swaps - designated as hedges</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760" w:type="dxa"/>
            <w:vAlign w:val="bottom"/>
            <w:gridSpan w:val="2"/>
          </w:tcPr>
          <w:p>
            <w:pPr>
              <w:jc w:val="right"/>
              <w:ind w:right="20"/>
              <w:spacing w:after="0"/>
              <w:rPr>
                <w:sz w:val="20"/>
                <w:szCs w:val="20"/>
                <w:color w:val="auto"/>
              </w:rPr>
            </w:pPr>
            <w:r>
              <w:rPr>
                <w:rFonts w:ascii="Arial" w:cs="Arial" w:eastAsia="Arial" w:hAnsi="Arial"/>
                <w:sz w:val="18"/>
                <w:szCs w:val="18"/>
                <w:color w:val="auto"/>
              </w:rPr>
              <w:t>75,000</w:t>
            </w:r>
          </w:p>
        </w:tc>
        <w:tc>
          <w:tcPr>
            <w:tcW w:w="320" w:type="dxa"/>
            <w:vAlign w:val="bottom"/>
          </w:tcPr>
          <w:p>
            <w:pPr>
              <w:spacing w:after="0"/>
              <w:rPr>
                <w:sz w:val="18"/>
                <w:szCs w:val="18"/>
                <w:color w:val="auto"/>
              </w:rPr>
            </w:pP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680" w:type="dxa"/>
            <w:vAlign w:val="bottom"/>
            <w:gridSpan w:val="2"/>
          </w:tcPr>
          <w:p>
            <w:pPr>
              <w:jc w:val="right"/>
              <w:ind w:right="160"/>
              <w:spacing w:after="0"/>
              <w:rPr>
                <w:sz w:val="20"/>
                <w:szCs w:val="20"/>
                <w:color w:val="auto"/>
              </w:rPr>
            </w:pPr>
            <w:r>
              <w:rPr>
                <w:rFonts w:ascii="Arial" w:cs="Arial" w:eastAsia="Arial" w:hAnsi="Arial"/>
                <w:sz w:val="18"/>
                <w:szCs w:val="18"/>
                <w:color w:val="auto"/>
              </w:rPr>
              <w:t>47</w:t>
            </w:r>
          </w:p>
        </w:tc>
        <w:tc>
          <w:tcPr>
            <w:tcW w:w="2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580" w:type="dxa"/>
            <w:vAlign w:val="bottom"/>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tcPr>
          <w:p>
            <w:pPr>
              <w:ind w:left="340"/>
              <w:spacing w:after="0"/>
              <w:rPr>
                <w:sz w:val="20"/>
                <w:szCs w:val="20"/>
                <w:color w:val="auto"/>
              </w:rPr>
            </w:pPr>
            <w:r>
              <w:rPr>
                <w:rFonts w:ascii="Arial" w:cs="Arial" w:eastAsia="Arial" w:hAnsi="Arial"/>
                <w:sz w:val="18"/>
                <w:szCs w:val="18"/>
                <w:color w:val="auto"/>
                <w:w w:val="99"/>
              </w:rPr>
              <w:t>$</w:t>
            </w:r>
          </w:p>
        </w:tc>
        <w:tc>
          <w:tcPr>
            <w:tcW w:w="580" w:type="dxa"/>
            <w:vAlign w:val="bottom"/>
            <w:gridSpan w:val="2"/>
          </w:tcPr>
          <w:p>
            <w:pPr>
              <w:ind w:left="260"/>
              <w:spacing w:after="0"/>
              <w:rPr>
                <w:sz w:val="20"/>
                <w:szCs w:val="20"/>
                <w:color w:val="auto"/>
              </w:rPr>
            </w:pPr>
            <w:r>
              <w:rPr>
                <w:rFonts w:ascii="Arial" w:cs="Arial" w:eastAsia="Arial" w:hAnsi="Arial"/>
                <w:sz w:val="18"/>
                <w:szCs w:val="18"/>
                <w:color w:val="auto"/>
              </w:rPr>
              <w:t>—</w:t>
            </w:r>
          </w:p>
        </w:tc>
      </w:tr>
      <w:tr>
        <w:trPr>
          <w:trHeight w:val="216"/>
        </w:trPr>
        <w:tc>
          <w:tcPr>
            <w:tcW w:w="62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Interest rate swaps - not designated as hedges</w:t>
            </w:r>
          </w:p>
        </w:tc>
        <w:tc>
          <w:tcPr>
            <w:tcW w:w="80" w:type="dxa"/>
            <w:vAlign w:val="bottom"/>
            <w:shd w:val="clear" w:color="auto" w:fill="CCEEFF"/>
          </w:tcPr>
          <w:p>
            <w:pPr>
              <w:spacing w:after="0"/>
              <w:rPr>
                <w:sz w:val="18"/>
                <w:szCs w:val="18"/>
                <w:color w:val="auto"/>
              </w:rPr>
            </w:pPr>
          </w:p>
        </w:tc>
        <w:tc>
          <w:tcPr>
            <w:tcW w:w="1080" w:type="dxa"/>
            <w:vAlign w:val="bottom"/>
            <w:gridSpan w:val="3"/>
            <w:shd w:val="clear" w:color="auto" w:fill="CCEEFF"/>
          </w:tcPr>
          <w:p>
            <w:pPr>
              <w:jc w:val="right"/>
              <w:ind w:right="44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6"/>
              </w:rPr>
              <w:t>168,000</w:t>
            </w:r>
          </w:p>
        </w:tc>
        <w:tc>
          <w:tcPr>
            <w:tcW w:w="3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135</w:t>
            </w:r>
          </w:p>
        </w:tc>
      </w:tr>
      <w:tr>
        <w:trPr>
          <w:trHeight w:val="223"/>
        </w:trPr>
        <w:tc>
          <w:tcPr>
            <w:tcW w:w="6260" w:type="dxa"/>
            <w:vAlign w:val="bottom"/>
          </w:tcPr>
          <w:p>
            <w:pPr>
              <w:ind w:left="720"/>
              <w:spacing w:after="0"/>
              <w:rPr>
                <w:sz w:val="20"/>
                <w:szCs w:val="20"/>
                <w:color w:val="auto"/>
              </w:rPr>
            </w:pPr>
            <w:r>
              <w:rPr>
                <w:rFonts w:ascii="Arial" w:cs="Arial" w:eastAsia="Arial" w:hAnsi="Arial"/>
                <w:sz w:val="18"/>
                <w:szCs w:val="18"/>
                <w:color w:val="auto"/>
              </w:rPr>
              <w:t>Total</w:t>
            </w: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75,000</w:t>
            </w:r>
          </w:p>
        </w:tc>
        <w:tc>
          <w:tcPr>
            <w:tcW w:w="2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2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99"/>
              </w:rPr>
              <w:t>$</w:t>
            </w: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47</w:t>
            </w:r>
          </w:p>
        </w:tc>
        <w:tc>
          <w:tcPr>
            <w:tcW w:w="1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6"/>
              </w:rPr>
              <w:t>168,000</w:t>
            </w:r>
          </w:p>
        </w:tc>
        <w:tc>
          <w:tcPr>
            <w:tcW w:w="340" w:type="dxa"/>
            <w:vAlign w:val="bottom"/>
          </w:tcPr>
          <w:p>
            <w:pPr>
              <w:spacing w:after="0"/>
              <w:rPr>
                <w:sz w:val="19"/>
                <w:szCs w:val="19"/>
                <w:color w:val="auto"/>
              </w:rPr>
            </w:pPr>
          </w:p>
        </w:tc>
        <w:tc>
          <w:tcPr>
            <w:tcW w:w="12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99"/>
              </w:rPr>
              <w:t>$</w:t>
            </w:r>
          </w:p>
        </w:tc>
        <w:tc>
          <w:tcPr>
            <w:tcW w:w="5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135</w:t>
            </w:r>
          </w:p>
        </w:tc>
        <w:tc>
          <w:tcPr>
            <w:tcW w:w="40" w:type="dxa"/>
            <w:vAlign w:val="bottom"/>
          </w:tcPr>
          <w:p>
            <w:pPr>
              <w:spacing w:after="0"/>
              <w:rPr>
                <w:sz w:val="19"/>
                <w:szCs w:val="19"/>
                <w:color w:val="auto"/>
              </w:rPr>
            </w:pPr>
          </w:p>
        </w:tc>
      </w:tr>
      <w:tr>
        <w:trPr>
          <w:trHeight w:val="20"/>
        </w:trPr>
        <w:tc>
          <w:tcPr>
            <w:tcW w:w="62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210"/>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Liabilities</w:t>
            </w:r>
          </w:p>
        </w:tc>
        <w:tc>
          <w:tcPr>
            <w:tcW w:w="8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r>
      <w:tr>
        <w:trPr>
          <w:trHeight w:val="216"/>
        </w:trPr>
        <w:tc>
          <w:tcPr>
            <w:tcW w:w="6260" w:type="dxa"/>
            <w:vAlign w:val="bottom"/>
          </w:tcPr>
          <w:p>
            <w:pPr>
              <w:ind w:left="360"/>
              <w:spacing w:after="0"/>
              <w:rPr>
                <w:sz w:val="20"/>
                <w:szCs w:val="20"/>
                <w:color w:val="auto"/>
              </w:rPr>
            </w:pPr>
            <w:r>
              <w:rPr>
                <w:rFonts w:ascii="Arial" w:cs="Arial" w:eastAsia="Arial" w:hAnsi="Arial"/>
                <w:sz w:val="18"/>
                <w:szCs w:val="18"/>
                <w:color w:val="auto"/>
              </w:rPr>
              <w:t>Interest rate swaps - designated as hedges</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760" w:type="dxa"/>
            <w:vAlign w:val="bottom"/>
            <w:gridSpan w:val="2"/>
          </w:tcPr>
          <w:p>
            <w:pPr>
              <w:jc w:val="right"/>
              <w:ind w:right="20"/>
              <w:spacing w:after="0"/>
              <w:rPr>
                <w:sz w:val="20"/>
                <w:szCs w:val="20"/>
                <w:color w:val="auto"/>
              </w:rPr>
            </w:pPr>
            <w:r>
              <w:rPr>
                <w:rFonts w:ascii="Arial" w:cs="Arial" w:eastAsia="Arial" w:hAnsi="Arial"/>
                <w:sz w:val="18"/>
                <w:szCs w:val="18"/>
                <w:color w:val="auto"/>
              </w:rPr>
              <w:t>693,250</w:t>
            </w:r>
          </w:p>
        </w:tc>
        <w:tc>
          <w:tcPr>
            <w:tcW w:w="320" w:type="dxa"/>
            <w:vAlign w:val="bottom"/>
          </w:tcPr>
          <w:p>
            <w:pPr>
              <w:spacing w:after="0"/>
              <w:rPr>
                <w:sz w:val="18"/>
                <w:szCs w:val="18"/>
                <w:color w:val="auto"/>
              </w:rPr>
            </w:pP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680" w:type="dxa"/>
            <w:vAlign w:val="bottom"/>
            <w:gridSpan w:val="2"/>
          </w:tcPr>
          <w:p>
            <w:pPr>
              <w:jc w:val="right"/>
              <w:ind w:right="160"/>
              <w:spacing w:after="0"/>
              <w:rPr>
                <w:sz w:val="20"/>
                <w:szCs w:val="20"/>
                <w:color w:val="auto"/>
              </w:rPr>
            </w:pPr>
            <w:r>
              <w:rPr>
                <w:rFonts w:ascii="Arial" w:cs="Arial" w:eastAsia="Arial" w:hAnsi="Arial"/>
                <w:sz w:val="18"/>
                <w:szCs w:val="18"/>
                <w:color w:val="auto"/>
              </w:rPr>
              <w:t>9,665</w:t>
            </w:r>
          </w:p>
        </w:tc>
        <w:tc>
          <w:tcPr>
            <w:tcW w:w="2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580" w:type="dxa"/>
            <w:vAlign w:val="bottom"/>
          </w:tcPr>
          <w:p>
            <w:pPr>
              <w:jc w:val="right"/>
              <w:spacing w:after="0"/>
              <w:rPr>
                <w:sz w:val="20"/>
                <w:szCs w:val="20"/>
                <w:color w:val="auto"/>
              </w:rPr>
            </w:pPr>
            <w:r>
              <w:rPr>
                <w:rFonts w:ascii="Arial" w:cs="Arial" w:eastAsia="Arial" w:hAnsi="Arial"/>
                <w:sz w:val="18"/>
                <w:szCs w:val="18"/>
                <w:color w:val="auto"/>
                <w:w w:val="86"/>
              </w:rPr>
              <w:t>110,000</w:t>
            </w:r>
          </w:p>
        </w:tc>
        <w:tc>
          <w:tcPr>
            <w:tcW w:w="460" w:type="dxa"/>
            <w:vAlign w:val="bottom"/>
            <w:gridSpan w:val="2"/>
          </w:tcPr>
          <w:p>
            <w:pPr>
              <w:ind w:left="340"/>
              <w:spacing w:after="0"/>
              <w:rPr>
                <w:sz w:val="20"/>
                <w:szCs w:val="20"/>
                <w:color w:val="auto"/>
              </w:rPr>
            </w:pPr>
            <w:r>
              <w:rPr>
                <w:rFonts w:ascii="Arial" w:cs="Arial" w:eastAsia="Arial" w:hAnsi="Arial"/>
                <w:sz w:val="18"/>
                <w:szCs w:val="18"/>
                <w:color w:val="auto"/>
                <w:w w:val="99"/>
              </w:rPr>
              <w:t>$</w:t>
            </w:r>
          </w:p>
        </w:tc>
        <w:tc>
          <w:tcPr>
            <w:tcW w:w="580" w:type="dxa"/>
            <w:vAlign w:val="bottom"/>
            <w:gridSpan w:val="2"/>
          </w:tcPr>
          <w:p>
            <w:pPr>
              <w:jc w:val="right"/>
              <w:ind w:right="40"/>
              <w:spacing w:after="0"/>
              <w:rPr>
                <w:sz w:val="20"/>
                <w:szCs w:val="20"/>
                <w:color w:val="auto"/>
              </w:rPr>
            </w:pPr>
            <w:r>
              <w:rPr>
                <w:rFonts w:ascii="Arial" w:cs="Arial" w:eastAsia="Arial" w:hAnsi="Arial"/>
                <w:sz w:val="18"/>
                <w:szCs w:val="18"/>
                <w:color w:val="auto"/>
              </w:rPr>
              <w:t>117</w:t>
            </w:r>
          </w:p>
        </w:tc>
      </w:tr>
      <w:tr>
        <w:trPr>
          <w:trHeight w:val="216"/>
        </w:trPr>
        <w:tc>
          <w:tcPr>
            <w:tcW w:w="62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Interest rate swaps - not designated as hedges</w:t>
            </w:r>
          </w:p>
        </w:tc>
        <w:tc>
          <w:tcPr>
            <w:tcW w:w="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536,000</w:t>
            </w:r>
          </w:p>
        </w:tc>
        <w:tc>
          <w:tcPr>
            <w:tcW w:w="3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0"/>
              </w:rPr>
              <w:t>19,570</w:t>
            </w: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6"/>
              </w:rPr>
              <w:t>628,500</w:t>
            </w:r>
          </w:p>
        </w:tc>
        <w:tc>
          <w:tcPr>
            <w:tcW w:w="3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94"/>
              </w:rPr>
              <w:t>13,661</w:t>
            </w:r>
          </w:p>
        </w:tc>
      </w:tr>
      <w:tr>
        <w:trPr>
          <w:trHeight w:val="223"/>
        </w:trPr>
        <w:tc>
          <w:tcPr>
            <w:tcW w:w="6260" w:type="dxa"/>
            <w:vAlign w:val="bottom"/>
          </w:tcPr>
          <w:p>
            <w:pPr>
              <w:ind w:left="720"/>
              <w:spacing w:after="0"/>
              <w:rPr>
                <w:sz w:val="20"/>
                <w:szCs w:val="20"/>
                <w:color w:val="auto"/>
              </w:rPr>
            </w:pPr>
            <w:r>
              <w:rPr>
                <w:rFonts w:ascii="Arial" w:cs="Arial" w:eastAsia="Arial" w:hAnsi="Arial"/>
                <w:sz w:val="18"/>
                <w:szCs w:val="18"/>
                <w:color w:val="auto"/>
              </w:rPr>
              <w:t>Total</w:t>
            </w: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9"/>
              </w:rPr>
              <w:t>1,229,250</w:t>
            </w:r>
          </w:p>
        </w:tc>
        <w:tc>
          <w:tcPr>
            <w:tcW w:w="20" w:type="dxa"/>
            <w:vAlign w:val="bottom"/>
            <w:tcBorders>
              <w:bottom w:val="single" w:sz="8" w:color="auto"/>
            </w:tcBorders>
          </w:tcPr>
          <w:p>
            <w:pPr>
              <w:spacing w:after="0"/>
              <w:rPr>
                <w:sz w:val="19"/>
                <w:szCs w:val="19"/>
                <w:color w:val="auto"/>
              </w:rPr>
            </w:pPr>
          </w:p>
        </w:tc>
        <w:tc>
          <w:tcPr>
            <w:tcW w:w="320" w:type="dxa"/>
            <w:vAlign w:val="bottom"/>
          </w:tcPr>
          <w:p>
            <w:pPr>
              <w:spacing w:after="0"/>
              <w:rPr>
                <w:sz w:val="19"/>
                <w:szCs w:val="19"/>
                <w:color w:val="auto"/>
              </w:rPr>
            </w:pPr>
          </w:p>
        </w:tc>
        <w:tc>
          <w:tcPr>
            <w:tcW w:w="12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99"/>
              </w:rPr>
              <w:t>$</w:t>
            </w: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0"/>
              </w:rPr>
              <w:t>29,235</w:t>
            </w:r>
          </w:p>
        </w:tc>
        <w:tc>
          <w:tcPr>
            <w:tcW w:w="1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6"/>
              </w:rPr>
              <w:t>738,500</w:t>
            </w:r>
          </w:p>
        </w:tc>
        <w:tc>
          <w:tcPr>
            <w:tcW w:w="340" w:type="dxa"/>
            <w:vAlign w:val="bottom"/>
          </w:tcPr>
          <w:p>
            <w:pPr>
              <w:spacing w:after="0"/>
              <w:rPr>
                <w:sz w:val="19"/>
                <w:szCs w:val="19"/>
                <w:color w:val="auto"/>
              </w:rPr>
            </w:pPr>
          </w:p>
        </w:tc>
        <w:tc>
          <w:tcPr>
            <w:tcW w:w="12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99"/>
              </w:rPr>
              <w:t>$</w:t>
            </w:r>
          </w:p>
        </w:tc>
        <w:tc>
          <w:tcPr>
            <w:tcW w:w="5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4"/>
              </w:rPr>
              <w:t>13,778</w:t>
            </w:r>
          </w:p>
        </w:tc>
        <w:tc>
          <w:tcPr>
            <w:tcW w:w="40" w:type="dxa"/>
            <w:vAlign w:val="bottom"/>
          </w:tcPr>
          <w:p>
            <w:pPr>
              <w:spacing w:after="0"/>
              <w:rPr>
                <w:sz w:val="19"/>
                <w:szCs w:val="19"/>
                <w:color w:val="auto"/>
              </w:rPr>
            </w:pPr>
          </w:p>
        </w:tc>
      </w:tr>
      <w:tr>
        <w:trPr>
          <w:trHeight w:val="20"/>
        </w:trPr>
        <w:tc>
          <w:tcPr>
            <w:tcW w:w="62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pacing w:after="0" w:line="323" w:lineRule="exact"/>
        <w:rPr>
          <w:sz w:val="20"/>
          <w:szCs w:val="20"/>
          <w:color w:val="auto"/>
        </w:rPr>
      </w:pPr>
    </w:p>
    <w:p>
      <w:pPr>
        <w:ind w:left="220"/>
        <w:spacing w:after="0"/>
        <w:rPr>
          <w:sz w:val="20"/>
          <w:szCs w:val="20"/>
          <w:color w:val="auto"/>
        </w:rPr>
      </w:pPr>
      <w:r>
        <w:rPr>
          <w:rFonts w:ascii="Arial" w:cs="Arial" w:eastAsia="Arial" w:hAnsi="Arial"/>
          <w:sz w:val="18"/>
          <w:szCs w:val="18"/>
          <w:i w:val="1"/>
          <w:iCs w:val="1"/>
          <w:color w:val="auto"/>
        </w:rPr>
        <w:t>Designated Derivative Instruments</w:t>
      </w:r>
    </w:p>
    <w:p>
      <w:pPr>
        <w:spacing w:after="0" w:line="117" w:lineRule="exact"/>
        <w:rPr>
          <w:sz w:val="20"/>
          <w:szCs w:val="20"/>
          <w:color w:val="auto"/>
        </w:rPr>
      </w:pPr>
    </w:p>
    <w:p>
      <w:pPr>
        <w:ind w:right="120" w:firstLine="440"/>
        <w:spacing w:after="0" w:line="275" w:lineRule="auto"/>
        <w:rPr>
          <w:sz w:val="20"/>
          <w:szCs w:val="20"/>
          <w:color w:val="auto"/>
        </w:rPr>
      </w:pPr>
      <w:r>
        <w:rPr>
          <w:rFonts w:ascii="Arial" w:cs="Arial" w:eastAsia="Arial" w:hAnsi="Arial"/>
          <w:sz w:val="17"/>
          <w:szCs w:val="17"/>
          <w:color w:val="auto"/>
        </w:rPr>
        <w:t>Derivative instruments that are designated as cash flow hedge for accounting purposes are considered effective hedges and are recorded using hedge accounting. Under cash flow hedging, the entire gain or loss on the derivative is initially reported as a component of accumulated other comprehensive income. Amounts are deferred in accumulated other comprehensive income and reclassified into earnings in interest expense when the hedged item affects earnings. The Company performs quarterly assessments of hedge effectiveness by verifying and documenting the critical terms of the hedge instrument and determining that forecasted transactions have not changed significantly.</w:t>
      </w:r>
    </w:p>
    <w:p>
      <w:pPr>
        <w:spacing w:after="0" w:line="176" w:lineRule="exact"/>
        <w:rPr>
          <w:sz w:val="20"/>
          <w:szCs w:val="20"/>
          <w:color w:val="auto"/>
        </w:rPr>
      </w:pPr>
    </w:p>
    <w:p>
      <w:pPr>
        <w:ind w:right="120" w:firstLine="440"/>
        <w:spacing w:after="0" w:line="259" w:lineRule="auto"/>
        <w:rPr>
          <w:sz w:val="20"/>
          <w:szCs w:val="20"/>
          <w:color w:val="auto"/>
        </w:rPr>
      </w:pPr>
      <w:r>
        <w:rPr>
          <w:rFonts w:ascii="Arial" w:cs="Arial" w:eastAsia="Arial" w:hAnsi="Arial"/>
          <w:sz w:val="18"/>
          <w:szCs w:val="18"/>
          <w:color w:val="auto"/>
        </w:rPr>
        <w:t>The change in fair value of cash flow hedging instruments during the years ended December 31, 2020 and 2019 of pre-tax losses of $12,307 and $110, respectively, were recorded on the consolidated balance sheets in “accumulated other comprehensive income” and pre-tax loss of $2,806 and pre-tax gain of $7 were reclassified to “interest expense, net” when realized. As of December 31, 2018, none of the derivative instruments are designated by the Company for hedge accounting.</w:t>
      </w:r>
    </w:p>
    <w:p>
      <w:pPr>
        <w:spacing w:after="0" w:line="11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F-40</w:t>
      </w:r>
    </w:p>
    <w:p>
      <w:pPr>
        <w:sectPr>
          <w:pgSz w:w="11900" w:h="16838" w:orient="portrait"/>
          <w:cols w:equalWidth="0" w:num="1">
            <w:col w:w="10940"/>
          </w:cols>
          <w:pgMar w:left="440" w:top="274" w:right="519" w:bottom="1440" w:gutter="0" w:footer="0" w:header="0"/>
        </w:sectPr>
      </w:pPr>
    </w:p>
    <w:bookmarkStart w:id="154" w:name="page155"/>
    <w:bookmarkEnd w:id="154"/>
    <w:p>
      <w:pPr>
        <w:ind w:left="220"/>
        <w:spacing w:after="0"/>
        <w:rPr>
          <w:sz w:val="20"/>
          <w:szCs w:val="20"/>
          <w:color w:val="auto"/>
        </w:rPr>
      </w:pPr>
      <w:r>
        <w:rPr>
          <w:rFonts w:ascii="Arial" w:cs="Arial" w:eastAsia="Arial" w:hAnsi="Arial"/>
          <w:sz w:val="18"/>
          <w:szCs w:val="18"/>
          <w:i w:val="1"/>
          <w:i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7174865" cy="38735"/>
                    </a:xfrm>
                    <a:prstGeom prst="rect">
                      <a:avLst/>
                    </a:prstGeom>
                    <a:noFill/>
                  </pic:spPr>
                </pic:pic>
              </a:graphicData>
            </a:graphic>
          </wp:anchor>
        </w:drawing>
        <w:t>Non-Designated Derivative Instruments</w:t>
      </w:r>
    </w:p>
    <w:p>
      <w:pPr>
        <w:spacing w:after="0" w:line="117" w:lineRule="exact"/>
        <w:rPr>
          <w:sz w:val="20"/>
          <w:szCs w:val="20"/>
          <w:color w:val="auto"/>
        </w:rPr>
      </w:pPr>
    </w:p>
    <w:p>
      <w:pPr>
        <w:ind w:left="440"/>
        <w:spacing w:after="0"/>
        <w:rPr>
          <w:sz w:val="20"/>
          <w:szCs w:val="20"/>
          <w:color w:val="auto"/>
        </w:rPr>
      </w:pPr>
      <w:r>
        <w:rPr>
          <w:rFonts w:ascii="Arial" w:cs="Arial" w:eastAsia="Arial" w:hAnsi="Arial"/>
          <w:sz w:val="17"/>
          <w:szCs w:val="17"/>
          <w:color w:val="auto"/>
        </w:rPr>
        <w:t>Derivative instruments that are not designated as cash flow hedges for accounting purposes are economic hedges. The fair value of the</w:t>
      </w:r>
    </w:p>
    <w:p>
      <w:pPr>
        <w:spacing w:after="0" w:line="35" w:lineRule="exact"/>
        <w:rPr>
          <w:sz w:val="20"/>
          <w:szCs w:val="20"/>
          <w:color w:val="auto"/>
        </w:rPr>
      </w:pPr>
    </w:p>
    <w:p>
      <w:pPr>
        <w:spacing w:after="0"/>
        <w:rPr>
          <w:sz w:val="20"/>
          <w:szCs w:val="20"/>
          <w:color w:val="auto"/>
        </w:rPr>
      </w:pPr>
      <w:r>
        <w:rPr>
          <w:rFonts w:ascii="Arial" w:cs="Arial" w:eastAsia="Arial" w:hAnsi="Arial"/>
          <w:sz w:val="16"/>
          <w:szCs w:val="16"/>
          <w:color w:val="auto"/>
        </w:rPr>
        <w:t>non-designated derivative instruments is measured at each balance sheet date and the change in fair value during 2020, 2019 and 2018 of $6,044,</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$15,442 and $5,790, respectively, was recorded in the consolidated statements of operations as “unrealized loss on derivative instruments, net.”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differentials between the fixed and variable rate payments under these agreements are recognized in “realized gain (loss) on derivative instruments, net”</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in the consolidated statements of operations when realized.</w:t>
      </w:r>
    </w:p>
    <w:p>
      <w:pPr>
        <w:spacing w:after="0" w:line="211" w:lineRule="exact"/>
        <w:rPr>
          <w:sz w:val="20"/>
          <w:szCs w:val="20"/>
          <w:color w:val="auto"/>
        </w:rPr>
      </w:pPr>
    </w:p>
    <w:p>
      <w:pPr>
        <w:ind w:right="40" w:firstLine="440"/>
        <w:spacing w:after="0" w:line="259" w:lineRule="auto"/>
        <w:rPr>
          <w:sz w:val="20"/>
          <w:szCs w:val="20"/>
          <w:color w:val="auto"/>
        </w:rPr>
      </w:pPr>
      <w:r>
        <w:rPr>
          <w:rFonts w:ascii="Arial" w:cs="Arial" w:eastAsia="Arial" w:hAnsi="Arial"/>
          <w:sz w:val="18"/>
          <w:szCs w:val="18"/>
          <w:color w:val="auto"/>
        </w:rPr>
        <w:t>The Company expects to reclassify an estimated net loss amount of $4,399 related to the designated interest rate swap agreements from accumulated other comprehensive income to interest expense in the consolidated statements of operations over the next twelve months. The following table summarizes the pre-tax impact of derivative instruments on the consolidated statements of operations and comprehensive income during the years ended December 31, 2020, 2019 and 2018:</w:t>
      </w:r>
    </w:p>
    <w:p>
      <w:pPr>
        <w:spacing w:after="0" w:line="205" w:lineRule="exact"/>
        <w:rPr>
          <w:sz w:val="20"/>
          <w:szCs w:val="20"/>
          <w:color w:val="auto"/>
        </w:rPr>
      </w:pPr>
    </w:p>
    <w:tbl>
      <w:tblPr>
        <w:tblLayout w:type="fixed"/>
        <w:tblInd w:w="440" w:type="dxa"/>
        <w:tblCellMar>
          <w:top w:w="0" w:type="dxa"/>
          <w:left w:w="0" w:type="dxa"/>
          <w:bottom w:w="0" w:type="dxa"/>
          <w:right w:w="0" w:type="dxa"/>
        </w:tblCellMar>
      </w:tblPr>
      <w:tr>
        <w:trPr>
          <w:trHeight w:val="171"/>
        </w:trPr>
        <w:tc>
          <w:tcPr>
            <w:tcW w:w="322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Derivative instruments</w:t>
            </w:r>
          </w:p>
        </w:tc>
        <w:tc>
          <w:tcPr>
            <w:tcW w:w="4180" w:type="dxa"/>
            <w:vAlign w:val="bottom"/>
            <w:gridSpan w:val="3"/>
            <w:vMerge w:val="restart"/>
          </w:tcPr>
          <w:p>
            <w:pPr>
              <w:ind w:left="420"/>
              <w:spacing w:after="0"/>
              <w:rPr>
                <w:sz w:val="20"/>
                <w:szCs w:val="20"/>
                <w:color w:val="auto"/>
              </w:rPr>
            </w:pPr>
            <w:r>
              <w:rPr>
                <w:rFonts w:ascii="Arial" w:cs="Arial" w:eastAsia="Arial" w:hAnsi="Arial"/>
                <w:sz w:val="14"/>
                <w:szCs w:val="14"/>
                <w:b w:val="1"/>
                <w:bCs w:val="1"/>
                <w:color w:val="auto"/>
              </w:rPr>
              <w:t>Financial Statement Caption</w:t>
            </w:r>
          </w:p>
        </w:tc>
        <w:tc>
          <w:tcPr>
            <w:tcW w:w="14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jc w:val="right"/>
              <w:ind w:right="114"/>
              <w:spacing w:after="0"/>
              <w:rPr>
                <w:sz w:val="20"/>
                <w:szCs w:val="20"/>
                <w:color w:val="auto"/>
              </w:rPr>
            </w:pPr>
            <w:r>
              <w:rPr>
                <w:rFonts w:ascii="Arial" w:cs="Arial" w:eastAsia="Arial" w:hAnsi="Arial"/>
                <w:sz w:val="14"/>
                <w:szCs w:val="14"/>
                <w:b w:val="1"/>
                <w:bCs w:val="1"/>
                <w:color w:val="auto"/>
              </w:rPr>
              <w:t>2020</w:t>
            </w:r>
          </w:p>
        </w:tc>
        <w:tc>
          <w:tcPr>
            <w:tcW w:w="30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jc w:val="right"/>
              <w:ind w:right="114"/>
              <w:spacing w:after="0"/>
              <w:rPr>
                <w:sz w:val="20"/>
                <w:szCs w:val="20"/>
                <w:color w:val="auto"/>
              </w:rPr>
            </w:pPr>
            <w:r>
              <w:rPr>
                <w:rFonts w:ascii="Arial" w:cs="Arial" w:eastAsia="Arial" w:hAnsi="Arial"/>
                <w:sz w:val="14"/>
                <w:szCs w:val="14"/>
                <w:b w:val="1"/>
                <w:bCs w:val="1"/>
                <w:color w:val="auto"/>
              </w:rPr>
              <w:t>2019</w:t>
            </w:r>
          </w:p>
        </w:tc>
        <w:tc>
          <w:tcPr>
            <w:tcW w:w="1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480" w:type="dxa"/>
            <w:vAlign w:val="bottom"/>
            <w:tcBorders>
              <w:bottom w:val="single" w:sz="8" w:color="auto"/>
            </w:tcBorders>
          </w:tcPr>
          <w:p>
            <w:pPr>
              <w:jc w:val="right"/>
              <w:ind w:right="54"/>
              <w:spacing w:after="0"/>
              <w:rPr>
                <w:sz w:val="20"/>
                <w:szCs w:val="20"/>
                <w:color w:val="auto"/>
              </w:rPr>
            </w:pPr>
            <w:r>
              <w:rPr>
                <w:rFonts w:ascii="Arial" w:cs="Arial" w:eastAsia="Arial" w:hAnsi="Arial"/>
                <w:sz w:val="14"/>
                <w:szCs w:val="14"/>
                <w:b w:val="1"/>
                <w:bCs w:val="1"/>
                <w:color w:val="auto"/>
              </w:rPr>
              <w:t>2018</w:t>
            </w: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28"/>
        </w:trPr>
        <w:tc>
          <w:tcPr>
            <w:tcW w:w="3220" w:type="dxa"/>
            <w:vAlign w:val="bottom"/>
            <w:gridSpan w:val="3"/>
            <w:vMerge w:val="continue"/>
          </w:tcPr>
          <w:p>
            <w:pPr>
              <w:spacing w:after="0"/>
              <w:rPr>
                <w:sz w:val="11"/>
                <w:szCs w:val="11"/>
                <w:color w:val="auto"/>
              </w:rPr>
            </w:pPr>
          </w:p>
        </w:tc>
        <w:tc>
          <w:tcPr>
            <w:tcW w:w="4180" w:type="dxa"/>
            <w:vAlign w:val="bottom"/>
            <w:gridSpan w:val="3"/>
            <w:vMerge w:val="continue"/>
          </w:tcPr>
          <w:p>
            <w:pPr>
              <w:spacing w:after="0"/>
              <w:rPr>
                <w:sz w:val="11"/>
                <w:szCs w:val="11"/>
                <w:color w:val="auto"/>
              </w:rPr>
            </w:pPr>
          </w:p>
        </w:tc>
        <w:tc>
          <w:tcPr>
            <w:tcW w:w="1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1400" w:type="dxa"/>
            <w:vAlign w:val="bottom"/>
            <w:shd w:val="clear" w:color="auto" w:fill="000000"/>
          </w:tcPr>
          <w:p>
            <w:pPr>
              <w:spacing w:after="0" w:line="20" w:lineRule="exact"/>
              <w:rPr>
                <w:sz w:val="1"/>
                <w:szCs w:val="1"/>
                <w:color w:val="auto"/>
              </w:rPr>
            </w:pPr>
          </w:p>
        </w:tc>
        <w:tc>
          <w:tcPr>
            <w:tcW w:w="180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780" w:type="dxa"/>
            <w:vAlign w:val="bottom"/>
            <w:shd w:val="clear" w:color="auto" w:fill="000000"/>
          </w:tcPr>
          <w:p>
            <w:pPr>
              <w:spacing w:after="0" w:line="20" w:lineRule="exact"/>
              <w:rPr>
                <w:sz w:val="1"/>
                <w:szCs w:val="1"/>
                <w:color w:val="auto"/>
              </w:rPr>
            </w:pPr>
          </w:p>
        </w:tc>
        <w:tc>
          <w:tcPr>
            <w:tcW w:w="19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9"/>
        </w:trPr>
        <w:tc>
          <w:tcPr>
            <w:tcW w:w="20" w:type="dxa"/>
            <w:vAlign w:val="bottom"/>
            <w:vMerge w:val="continue"/>
          </w:tcPr>
          <w:p>
            <w:pPr>
              <w:spacing w:after="0"/>
              <w:rPr>
                <w:sz w:val="18"/>
                <w:szCs w:val="18"/>
                <w:color w:val="auto"/>
              </w:rPr>
            </w:pPr>
          </w:p>
        </w:tc>
        <w:tc>
          <w:tcPr>
            <w:tcW w:w="32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Non-designated derivative instruments</w:t>
            </w:r>
          </w:p>
        </w:tc>
        <w:tc>
          <w:tcPr>
            <w:tcW w:w="4180" w:type="dxa"/>
            <w:vAlign w:val="bottom"/>
            <w:gridSpan w:val="3"/>
            <w:shd w:val="clear" w:color="auto" w:fill="CCEEFF"/>
          </w:tcPr>
          <w:p>
            <w:pPr>
              <w:ind w:left="420"/>
              <w:spacing w:after="0"/>
              <w:rPr>
                <w:sz w:val="20"/>
                <w:szCs w:val="20"/>
                <w:color w:val="auto"/>
              </w:rPr>
            </w:pPr>
            <w:r>
              <w:rPr>
                <w:rFonts w:ascii="Arial" w:cs="Arial" w:eastAsia="Arial" w:hAnsi="Arial"/>
                <w:sz w:val="18"/>
                <w:szCs w:val="18"/>
                <w:color w:val="auto"/>
                <w:w w:val="93"/>
              </w:rPr>
              <w:t>Realized (loss) gain on derivative instruments, net</w:t>
            </w:r>
          </w:p>
        </w:tc>
        <w:tc>
          <w:tcPr>
            <w:tcW w:w="2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86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w w:val="89"/>
              </w:rPr>
              <w:t>(12,295)</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1,939</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5,238</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00" w:type="dxa"/>
            <w:vAlign w:val="bottom"/>
            <w:gridSpan w:val="2"/>
          </w:tcPr>
          <w:p>
            <w:pPr>
              <w:spacing w:after="0"/>
              <w:rPr>
                <w:sz w:val="20"/>
                <w:szCs w:val="20"/>
                <w:color w:val="auto"/>
              </w:rPr>
            </w:pPr>
            <w:r>
              <w:rPr>
                <w:rFonts w:ascii="Arial" w:cs="Arial" w:eastAsia="Arial" w:hAnsi="Arial"/>
                <w:sz w:val="18"/>
                <w:szCs w:val="18"/>
                <w:color w:val="auto"/>
              </w:rPr>
              <w:t>Non-designated derivative instruments</w:t>
            </w:r>
          </w:p>
        </w:tc>
        <w:tc>
          <w:tcPr>
            <w:tcW w:w="4180" w:type="dxa"/>
            <w:vAlign w:val="bottom"/>
            <w:gridSpan w:val="3"/>
          </w:tcPr>
          <w:p>
            <w:pPr>
              <w:ind w:left="420"/>
              <w:spacing w:after="0"/>
              <w:rPr>
                <w:sz w:val="20"/>
                <w:szCs w:val="20"/>
                <w:color w:val="auto"/>
              </w:rPr>
            </w:pPr>
            <w:r>
              <w:rPr>
                <w:rFonts w:ascii="Arial" w:cs="Arial" w:eastAsia="Arial" w:hAnsi="Arial"/>
                <w:sz w:val="18"/>
                <w:szCs w:val="18"/>
                <w:color w:val="auto"/>
              </w:rPr>
              <w:t>Unrealized loss on derivative instruments, net</w:t>
            </w:r>
          </w:p>
        </w:tc>
        <w:tc>
          <w:tcPr>
            <w:tcW w:w="24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860" w:type="dxa"/>
            <w:vAlign w:val="bottom"/>
            <w:gridSpan w:val="2"/>
          </w:tcPr>
          <w:p>
            <w:pPr>
              <w:jc w:val="right"/>
              <w:ind w:right="240"/>
              <w:spacing w:after="0"/>
              <w:rPr>
                <w:sz w:val="20"/>
                <w:szCs w:val="20"/>
                <w:color w:val="auto"/>
              </w:rPr>
            </w:pPr>
            <w:r>
              <w:rPr>
                <w:rFonts w:ascii="Arial" w:cs="Arial" w:eastAsia="Arial" w:hAnsi="Arial"/>
                <w:sz w:val="18"/>
                <w:szCs w:val="18"/>
                <w:color w:val="auto"/>
              </w:rPr>
              <w:t>(6,044)</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gridSpan w:val="2"/>
          </w:tcPr>
          <w:p>
            <w:pPr>
              <w:jc w:val="right"/>
              <w:ind w:right="120"/>
              <w:spacing w:after="0"/>
              <w:rPr>
                <w:sz w:val="20"/>
                <w:szCs w:val="20"/>
                <w:color w:val="auto"/>
              </w:rPr>
            </w:pPr>
            <w:r>
              <w:rPr>
                <w:rFonts w:ascii="Arial" w:cs="Arial" w:eastAsia="Arial" w:hAnsi="Arial"/>
                <w:sz w:val="18"/>
                <w:szCs w:val="18"/>
                <w:color w:val="auto"/>
                <w:w w:val="89"/>
              </w:rPr>
              <w:t>(15,442)</w:t>
            </w:r>
          </w:p>
        </w:tc>
        <w:tc>
          <w:tcPr>
            <w:tcW w:w="2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580" w:type="dxa"/>
            <w:vAlign w:val="bottom"/>
            <w:gridSpan w:val="2"/>
          </w:tcPr>
          <w:p>
            <w:pPr>
              <w:jc w:val="right"/>
              <w:ind w:right="40"/>
              <w:spacing w:after="0"/>
              <w:rPr>
                <w:sz w:val="20"/>
                <w:szCs w:val="20"/>
                <w:color w:val="auto"/>
              </w:rPr>
            </w:pPr>
            <w:r>
              <w:rPr>
                <w:rFonts w:ascii="Arial" w:cs="Arial" w:eastAsia="Arial" w:hAnsi="Arial"/>
                <w:sz w:val="18"/>
                <w:szCs w:val="18"/>
                <w:color w:val="auto"/>
                <w:w w:val="91"/>
              </w:rPr>
              <w:t>(5,790)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Designated derivative instruments</w:t>
            </w:r>
          </w:p>
        </w:tc>
        <w:tc>
          <w:tcPr>
            <w:tcW w:w="4180" w:type="dxa"/>
            <w:vAlign w:val="bottom"/>
            <w:gridSpan w:val="3"/>
            <w:shd w:val="clear" w:color="auto" w:fill="CCEEFF"/>
          </w:tcPr>
          <w:p>
            <w:pPr>
              <w:ind w:left="420"/>
              <w:spacing w:after="0"/>
              <w:rPr>
                <w:sz w:val="20"/>
                <w:szCs w:val="20"/>
                <w:color w:val="auto"/>
              </w:rPr>
            </w:pPr>
            <w:r>
              <w:rPr>
                <w:rFonts w:ascii="Arial" w:cs="Arial" w:eastAsia="Arial" w:hAnsi="Arial"/>
                <w:sz w:val="18"/>
                <w:szCs w:val="18"/>
                <w:color w:val="auto"/>
              </w:rPr>
              <w:t>Other comprehensive loss</w:t>
            </w:r>
          </w:p>
        </w:tc>
        <w:tc>
          <w:tcPr>
            <w:tcW w:w="2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86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w w:val="89"/>
              </w:rPr>
              <w:t>(12,307)</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(110)</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3200" w:type="dxa"/>
            <w:vAlign w:val="bottom"/>
            <w:gridSpan w:val="2"/>
          </w:tcPr>
          <w:p>
            <w:pPr>
              <w:spacing w:after="0"/>
              <w:rPr>
                <w:sz w:val="20"/>
                <w:szCs w:val="20"/>
                <w:color w:val="auto"/>
              </w:rPr>
            </w:pPr>
            <w:r>
              <w:rPr>
                <w:rFonts w:ascii="Arial" w:cs="Arial" w:eastAsia="Arial" w:hAnsi="Arial"/>
                <w:sz w:val="18"/>
                <w:szCs w:val="18"/>
                <w:color w:val="auto"/>
              </w:rPr>
              <w:t>Designated derivative instruments</w:t>
            </w:r>
          </w:p>
        </w:tc>
        <w:tc>
          <w:tcPr>
            <w:tcW w:w="4180" w:type="dxa"/>
            <w:vAlign w:val="bottom"/>
            <w:gridSpan w:val="3"/>
          </w:tcPr>
          <w:p>
            <w:pPr>
              <w:ind w:left="420"/>
              <w:spacing w:after="0"/>
              <w:rPr>
                <w:sz w:val="20"/>
                <w:szCs w:val="20"/>
                <w:color w:val="auto"/>
              </w:rPr>
            </w:pPr>
            <w:r>
              <w:rPr>
                <w:rFonts w:ascii="Arial" w:cs="Arial" w:eastAsia="Arial" w:hAnsi="Arial"/>
                <w:sz w:val="18"/>
                <w:szCs w:val="18"/>
                <w:color w:val="auto"/>
              </w:rPr>
              <w:t>Interest expense, net</w:t>
            </w:r>
          </w:p>
        </w:tc>
        <w:tc>
          <w:tcPr>
            <w:tcW w:w="24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860" w:type="dxa"/>
            <w:vAlign w:val="bottom"/>
            <w:gridSpan w:val="2"/>
          </w:tcPr>
          <w:p>
            <w:pPr>
              <w:jc w:val="right"/>
              <w:ind w:right="240"/>
              <w:spacing w:after="0"/>
              <w:rPr>
                <w:sz w:val="20"/>
                <w:szCs w:val="20"/>
                <w:color w:val="auto"/>
              </w:rPr>
            </w:pPr>
            <w:r>
              <w:rPr>
                <w:rFonts w:ascii="Arial" w:cs="Arial" w:eastAsia="Arial" w:hAnsi="Arial"/>
                <w:sz w:val="18"/>
                <w:szCs w:val="18"/>
                <w:color w:val="auto"/>
              </w:rPr>
              <w:t>(2,806)</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gridSpan w:val="2"/>
          </w:tcPr>
          <w:p>
            <w:pPr>
              <w:jc w:val="right"/>
              <w:ind w:right="180"/>
              <w:spacing w:after="0"/>
              <w:rPr>
                <w:sz w:val="20"/>
                <w:szCs w:val="20"/>
                <w:color w:val="auto"/>
              </w:rPr>
            </w:pPr>
            <w:r>
              <w:rPr>
                <w:rFonts w:ascii="Arial" w:cs="Arial" w:eastAsia="Arial" w:hAnsi="Arial"/>
                <w:sz w:val="18"/>
                <w:szCs w:val="18"/>
                <w:color w:val="auto"/>
              </w:rPr>
              <w:t>7</w:t>
            </w:r>
          </w:p>
        </w:tc>
        <w:tc>
          <w:tcPr>
            <w:tcW w:w="2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58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350"/>
        </w:trPr>
        <w:tc>
          <w:tcPr>
            <w:tcW w:w="2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18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3760" w:type="dxa"/>
            <w:vAlign w:val="bottom"/>
            <w:gridSpan w:val="2"/>
          </w:tcPr>
          <w:p>
            <w:pPr>
              <w:ind w:left="1260"/>
              <w:spacing w:after="0"/>
              <w:rPr>
                <w:sz w:val="20"/>
                <w:szCs w:val="20"/>
                <w:color w:val="auto"/>
              </w:rPr>
            </w:pPr>
            <w:r>
              <w:rPr>
                <w:rFonts w:ascii="Arial" w:cs="Arial" w:eastAsia="Arial" w:hAnsi="Arial"/>
                <w:sz w:val="18"/>
                <w:szCs w:val="18"/>
                <w:color w:val="auto"/>
              </w:rPr>
              <w:t>F-41</w:t>
            </w:r>
          </w:p>
        </w:tc>
        <w:tc>
          <w:tcPr>
            <w:tcW w:w="1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0940"/>
          </w:cols>
          <w:pgMar w:left="440" w:top="274" w:right="519" w:bottom="1440" w:gutter="0" w:footer="0" w:header="0"/>
        </w:sectPr>
      </w:pPr>
    </w:p>
    <w:bookmarkStart w:id="155" w:name="page156"/>
    <w:bookmarkEnd w:id="155"/>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7174865" cy="38735"/>
                    </a:xfrm>
                    <a:prstGeom prst="rect">
                      <a:avLst/>
                    </a:prstGeom>
                    <a:noFill/>
                  </pic:spPr>
                </pic:pic>
              </a:graphicData>
            </a:graphic>
          </wp:anchor>
        </w:drawing>
        <w:t>(10) Segment Information</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Company operates in three reportable segments: Container Ownership, Container Management and Container Resale.</w:t>
      </w:r>
    </w:p>
    <w:p>
      <w:pPr>
        <w:spacing w:after="0" w:line="225" w:lineRule="exact"/>
        <w:rPr>
          <w:sz w:val="20"/>
          <w:szCs w:val="20"/>
          <w:color w:val="auto"/>
        </w:rPr>
      </w:pPr>
    </w:p>
    <w:p>
      <w:pPr>
        <w:ind w:right="940" w:firstLine="440"/>
        <w:spacing w:after="0" w:line="277" w:lineRule="auto"/>
        <w:rPr>
          <w:sz w:val="20"/>
          <w:szCs w:val="20"/>
          <w:color w:val="auto"/>
        </w:rPr>
      </w:pPr>
      <w:r>
        <w:rPr>
          <w:rFonts w:ascii="Arial" w:cs="Arial" w:eastAsia="Arial" w:hAnsi="Arial"/>
          <w:sz w:val="18"/>
          <w:szCs w:val="18"/>
          <w:color w:val="auto"/>
        </w:rPr>
        <w:t>The following tables show segment information for 2020, 2019 and 2018, reconciled to the Company’s income before income tax and noncontrolling interests as shown in its consolidated statements of operations:</w:t>
      </w:r>
    </w:p>
    <w:p>
      <w:pPr>
        <w:spacing w:after="0" w:line="176"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300" w:type="dxa"/>
            <w:vAlign w:val="bottom"/>
            <w:vMerge w:val="restart"/>
          </w:tcPr>
          <w:p>
            <w:pPr>
              <w:spacing w:after="0"/>
              <w:rPr>
                <w:sz w:val="20"/>
                <w:szCs w:val="20"/>
                <w:color w:val="auto"/>
              </w:rPr>
            </w:pPr>
            <w:r>
              <w:rPr>
                <w:rFonts w:ascii="Arial" w:cs="Arial" w:eastAsia="Arial" w:hAnsi="Arial"/>
                <w:sz w:val="14"/>
                <w:szCs w:val="14"/>
                <w:b w:val="1"/>
                <w:bCs w:val="1"/>
                <w:color w:val="auto"/>
                <w:w w:val="89"/>
              </w:rPr>
              <w:t>2020</w:t>
            </w:r>
          </w:p>
        </w:tc>
        <w:tc>
          <w:tcPr>
            <w:tcW w:w="45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6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94"/>
              </w:rPr>
              <w:t>Container</w:t>
            </w: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980" w:type="dxa"/>
            <w:vAlign w:val="bottom"/>
            <w:gridSpan w:val="2"/>
          </w:tcPr>
          <w:p>
            <w:pPr>
              <w:spacing w:after="0"/>
              <w:rPr>
                <w:sz w:val="20"/>
                <w:szCs w:val="20"/>
                <w:color w:val="auto"/>
              </w:rPr>
            </w:pPr>
            <w:r>
              <w:rPr>
                <w:rFonts w:ascii="Arial" w:cs="Arial" w:eastAsia="Arial" w:hAnsi="Arial"/>
                <w:sz w:val="14"/>
                <w:szCs w:val="14"/>
                <w:b w:val="1"/>
                <w:bCs w:val="1"/>
                <w:color w:val="auto"/>
              </w:rPr>
              <w:t>Container</w:t>
            </w:r>
          </w:p>
        </w:tc>
        <w:tc>
          <w:tcPr>
            <w:tcW w:w="880" w:type="dxa"/>
            <w:vAlign w:val="bottom"/>
            <w:gridSpan w:val="3"/>
          </w:tcPr>
          <w:p>
            <w:pPr>
              <w:spacing w:after="0"/>
              <w:rPr>
                <w:sz w:val="20"/>
                <w:szCs w:val="20"/>
                <w:color w:val="auto"/>
              </w:rPr>
            </w:pPr>
            <w:r>
              <w:rPr>
                <w:rFonts w:ascii="Arial" w:cs="Arial" w:eastAsia="Arial" w:hAnsi="Arial"/>
                <w:sz w:val="14"/>
                <w:szCs w:val="14"/>
                <w:b w:val="1"/>
                <w:bCs w:val="1"/>
                <w:color w:val="auto"/>
              </w:rPr>
              <w:t>Container</w:t>
            </w:r>
          </w:p>
        </w:tc>
        <w:tc>
          <w:tcPr>
            <w:tcW w:w="100" w:type="dxa"/>
            <w:vAlign w:val="bottom"/>
          </w:tcPr>
          <w:p>
            <w:pPr>
              <w:spacing w:after="0"/>
              <w:rPr>
                <w:sz w:val="14"/>
                <w:szCs w:val="14"/>
                <w:color w:val="auto"/>
              </w:rPr>
            </w:pPr>
          </w:p>
        </w:tc>
        <w:tc>
          <w:tcPr>
            <w:tcW w:w="680" w:type="dxa"/>
            <w:vAlign w:val="bottom"/>
            <w:gridSpan w:val="2"/>
            <w:vMerge w:val="restart"/>
          </w:tcPr>
          <w:p>
            <w:pPr>
              <w:jc w:val="right"/>
              <w:ind w:right="300"/>
              <w:spacing w:after="0"/>
              <w:rPr>
                <w:sz w:val="20"/>
                <w:szCs w:val="20"/>
                <w:color w:val="auto"/>
              </w:rPr>
            </w:pPr>
            <w:r>
              <w:rPr>
                <w:rFonts w:ascii="Arial" w:cs="Arial" w:eastAsia="Arial" w:hAnsi="Arial"/>
                <w:sz w:val="14"/>
                <w:szCs w:val="14"/>
                <w:b w:val="1"/>
                <w:bCs w:val="1"/>
                <w:color w:val="auto"/>
                <w:w w:val="96"/>
              </w:rPr>
              <w:t>Other</w:t>
            </w:r>
          </w:p>
        </w:tc>
        <w:tc>
          <w:tcPr>
            <w:tcW w:w="120" w:type="dxa"/>
            <w:vAlign w:val="bottom"/>
          </w:tcPr>
          <w:p>
            <w:pPr>
              <w:spacing w:after="0"/>
              <w:rPr>
                <w:sz w:val="14"/>
                <w:szCs w:val="14"/>
                <w:color w:val="auto"/>
              </w:rPr>
            </w:pPr>
          </w:p>
        </w:tc>
        <w:tc>
          <w:tcPr>
            <w:tcW w:w="980" w:type="dxa"/>
            <w:vAlign w:val="bottom"/>
            <w:gridSpan w:val="3"/>
            <w:vMerge w:val="restart"/>
          </w:tcPr>
          <w:p>
            <w:pPr>
              <w:ind w:left="20"/>
              <w:spacing w:after="0"/>
              <w:rPr>
                <w:sz w:val="20"/>
                <w:szCs w:val="20"/>
                <w:color w:val="auto"/>
              </w:rPr>
            </w:pPr>
            <w:r>
              <w:rPr>
                <w:rFonts w:ascii="Arial" w:cs="Arial" w:eastAsia="Arial" w:hAnsi="Arial"/>
                <w:sz w:val="14"/>
                <w:szCs w:val="14"/>
                <w:b w:val="1"/>
                <w:bCs w:val="1"/>
                <w:color w:val="auto"/>
              </w:rPr>
              <w:t>Eliminations</w:t>
            </w:r>
          </w:p>
        </w:tc>
        <w:tc>
          <w:tcPr>
            <w:tcW w:w="1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80" w:type="dxa"/>
            <w:vAlign w:val="bottom"/>
            <w:gridSpan w:val="2"/>
            <w:vMerge w:val="restart"/>
          </w:tcPr>
          <w:p>
            <w:pPr>
              <w:ind w:left="120"/>
              <w:spacing w:after="0"/>
              <w:rPr>
                <w:sz w:val="20"/>
                <w:szCs w:val="20"/>
                <w:color w:val="auto"/>
              </w:rPr>
            </w:pPr>
            <w:r>
              <w:rPr>
                <w:rFonts w:ascii="Arial" w:cs="Arial" w:eastAsia="Arial" w:hAnsi="Arial"/>
                <w:sz w:val="14"/>
                <w:szCs w:val="14"/>
                <w:b w:val="1"/>
                <w:bCs w:val="1"/>
                <w:color w:val="auto"/>
              </w:rPr>
              <w:t>Totals</w:t>
            </w:r>
          </w:p>
        </w:tc>
        <w:tc>
          <w:tcPr>
            <w:tcW w:w="0" w:type="dxa"/>
            <w:vAlign w:val="bottom"/>
          </w:tcPr>
          <w:p>
            <w:pPr>
              <w:spacing w:after="0"/>
              <w:rPr>
                <w:sz w:val="1"/>
                <w:szCs w:val="1"/>
                <w:color w:val="auto"/>
              </w:rPr>
            </w:pPr>
          </w:p>
        </w:tc>
      </w:tr>
      <w:tr>
        <w:trPr>
          <w:trHeight w:val="178"/>
        </w:trPr>
        <w:tc>
          <w:tcPr>
            <w:tcW w:w="300" w:type="dxa"/>
            <w:vAlign w:val="bottom"/>
            <w:tcBorders>
              <w:bottom w:val="single" w:sz="8" w:color="auto"/>
            </w:tcBorders>
            <w:vMerge w:val="continue"/>
          </w:tcPr>
          <w:p>
            <w:pPr>
              <w:spacing w:after="0"/>
              <w:rPr>
                <w:sz w:val="15"/>
                <w:szCs w:val="15"/>
                <w:color w:val="auto"/>
              </w:rPr>
            </w:pPr>
          </w:p>
        </w:tc>
        <w:tc>
          <w:tcPr>
            <w:tcW w:w="452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960" w:type="dxa"/>
            <w:vAlign w:val="bottom"/>
            <w:gridSpan w:val="3"/>
          </w:tcPr>
          <w:p>
            <w:pPr>
              <w:jc w:val="center"/>
              <w:ind w:right="120"/>
              <w:spacing w:after="0" w:line="158" w:lineRule="exact"/>
              <w:rPr>
                <w:sz w:val="20"/>
                <w:szCs w:val="20"/>
                <w:color w:val="auto"/>
              </w:rPr>
            </w:pPr>
            <w:r>
              <w:rPr>
                <w:rFonts w:ascii="Arial" w:cs="Arial" w:eastAsia="Arial" w:hAnsi="Arial"/>
                <w:sz w:val="14"/>
                <w:szCs w:val="14"/>
                <w:b w:val="1"/>
                <w:bCs w:val="1"/>
                <w:color w:val="auto"/>
                <w:w w:val="93"/>
              </w:rPr>
              <w:t>Ownership</w:t>
            </w:r>
          </w:p>
        </w:tc>
        <w:tc>
          <w:tcPr>
            <w:tcW w:w="120" w:type="dxa"/>
            <w:vAlign w:val="bottom"/>
          </w:tcPr>
          <w:p>
            <w:pPr>
              <w:spacing w:after="0"/>
              <w:rPr>
                <w:sz w:val="15"/>
                <w:szCs w:val="15"/>
                <w:color w:val="auto"/>
              </w:rPr>
            </w:pPr>
          </w:p>
        </w:tc>
        <w:tc>
          <w:tcPr>
            <w:tcW w:w="1080" w:type="dxa"/>
            <w:vAlign w:val="bottom"/>
            <w:gridSpan w:val="3"/>
          </w:tcPr>
          <w:p>
            <w:pPr>
              <w:spacing w:after="0" w:line="158" w:lineRule="exact"/>
              <w:rPr>
                <w:sz w:val="20"/>
                <w:szCs w:val="20"/>
                <w:color w:val="auto"/>
              </w:rPr>
            </w:pPr>
            <w:r>
              <w:rPr>
                <w:rFonts w:ascii="Arial" w:cs="Arial" w:eastAsia="Arial" w:hAnsi="Arial"/>
                <w:sz w:val="14"/>
                <w:szCs w:val="14"/>
                <w:b w:val="1"/>
                <w:bCs w:val="1"/>
                <w:color w:val="auto"/>
              </w:rPr>
              <w:t>Management</w:t>
            </w:r>
          </w:p>
        </w:tc>
        <w:tc>
          <w:tcPr>
            <w:tcW w:w="100" w:type="dxa"/>
            <w:vAlign w:val="bottom"/>
          </w:tcPr>
          <w:p>
            <w:pPr>
              <w:spacing w:after="0"/>
              <w:rPr>
                <w:sz w:val="15"/>
                <w:szCs w:val="15"/>
                <w:color w:val="auto"/>
              </w:rPr>
            </w:pPr>
          </w:p>
        </w:tc>
        <w:tc>
          <w:tcPr>
            <w:tcW w:w="780" w:type="dxa"/>
            <w:vAlign w:val="bottom"/>
            <w:gridSpan w:val="2"/>
          </w:tcPr>
          <w:p>
            <w:pPr>
              <w:jc w:val="right"/>
              <w:ind w:right="380"/>
              <w:spacing w:after="0" w:line="158" w:lineRule="exact"/>
              <w:rPr>
                <w:sz w:val="20"/>
                <w:szCs w:val="20"/>
                <w:color w:val="auto"/>
              </w:rPr>
            </w:pPr>
            <w:r>
              <w:rPr>
                <w:rFonts w:ascii="Arial" w:cs="Arial" w:eastAsia="Arial" w:hAnsi="Arial"/>
                <w:sz w:val="14"/>
                <w:szCs w:val="14"/>
                <w:b w:val="1"/>
                <w:bCs w:val="1"/>
                <w:color w:val="auto"/>
                <w:w w:val="84"/>
              </w:rPr>
              <w:t>Resale</w:t>
            </w:r>
          </w:p>
        </w:tc>
        <w:tc>
          <w:tcPr>
            <w:tcW w:w="100" w:type="dxa"/>
            <w:vAlign w:val="bottom"/>
          </w:tcPr>
          <w:p>
            <w:pPr>
              <w:spacing w:after="0"/>
              <w:rPr>
                <w:sz w:val="15"/>
                <w:szCs w:val="15"/>
                <w:color w:val="auto"/>
              </w:rPr>
            </w:pPr>
          </w:p>
        </w:tc>
        <w:tc>
          <w:tcPr>
            <w:tcW w:w="680" w:type="dxa"/>
            <w:vAlign w:val="bottom"/>
            <w:gridSpan w:val="2"/>
            <w:vMerge w:val="continue"/>
          </w:tcPr>
          <w:p>
            <w:pPr>
              <w:spacing w:after="0"/>
              <w:rPr>
                <w:sz w:val="15"/>
                <w:szCs w:val="15"/>
                <w:color w:val="auto"/>
              </w:rPr>
            </w:pPr>
          </w:p>
        </w:tc>
        <w:tc>
          <w:tcPr>
            <w:tcW w:w="120" w:type="dxa"/>
            <w:vAlign w:val="bottom"/>
          </w:tcPr>
          <w:p>
            <w:pPr>
              <w:spacing w:after="0"/>
              <w:rPr>
                <w:sz w:val="15"/>
                <w:szCs w:val="15"/>
                <w:color w:val="auto"/>
              </w:rPr>
            </w:pPr>
          </w:p>
        </w:tc>
        <w:tc>
          <w:tcPr>
            <w:tcW w:w="980" w:type="dxa"/>
            <w:vAlign w:val="bottom"/>
            <w:gridSpan w:val="3"/>
            <w:vMerge w:val="continue"/>
          </w:tcPr>
          <w:p>
            <w:pPr>
              <w:spacing w:after="0"/>
              <w:rPr>
                <w:sz w:val="15"/>
                <w:szCs w:val="15"/>
                <w:color w:val="auto"/>
              </w:rPr>
            </w:pPr>
          </w:p>
        </w:tc>
        <w:tc>
          <w:tcPr>
            <w:tcW w:w="1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80" w:type="dxa"/>
            <w:vAlign w:val="bottom"/>
            <w:gridSpan w:val="2"/>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03"/>
        </w:trPr>
        <w:tc>
          <w:tcPr>
            <w:tcW w:w="482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Lease rental income - owned fleet</w:t>
            </w:r>
          </w:p>
        </w:tc>
        <w:tc>
          <w:tcPr>
            <w:tcW w:w="26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79"/>
              </w:rPr>
              <w:t>$</w:t>
            </w:r>
          </w:p>
        </w:tc>
        <w:tc>
          <w:tcPr>
            <w:tcW w:w="72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537,534</w:t>
            </w:r>
          </w:p>
        </w:tc>
        <w:tc>
          <w:tcPr>
            <w:tcW w:w="14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line="203" w:lineRule="exact"/>
              <w:rPr>
                <w:sz w:val="20"/>
                <w:szCs w:val="20"/>
                <w:color w:val="auto"/>
              </w:rPr>
            </w:pPr>
            <w:r>
              <w:rPr>
                <w:rFonts w:ascii="Arial" w:cs="Arial" w:eastAsia="Arial" w:hAnsi="Arial"/>
                <w:sz w:val="18"/>
                <w:szCs w:val="18"/>
                <w:color w:val="auto"/>
                <w:w w:val="79"/>
              </w:rPr>
              <w:t>$</w:t>
            </w:r>
          </w:p>
        </w:tc>
        <w:tc>
          <w:tcPr>
            <w:tcW w:w="720" w:type="dxa"/>
            <w:vAlign w:val="bottom"/>
            <w:tcBorders>
              <w:top w:val="single" w:sz="8" w:color="auto"/>
            </w:tcBorders>
            <w:shd w:val="clear" w:color="auto" w:fill="CCEEFF"/>
          </w:tcPr>
          <w:p>
            <w:pPr>
              <w:ind w:left="440"/>
              <w:spacing w:after="0" w:line="203" w:lineRule="exact"/>
              <w:rPr>
                <w:sz w:val="20"/>
                <w:szCs w:val="20"/>
                <w:color w:val="auto"/>
              </w:rPr>
            </w:pPr>
            <w:r>
              <w:rPr>
                <w:rFonts w:ascii="Arial" w:cs="Arial" w:eastAsia="Arial" w:hAnsi="Arial"/>
                <w:sz w:val="18"/>
                <w:szCs w:val="18"/>
                <w:color w:val="auto"/>
                <w:w w:val="86"/>
              </w:rPr>
              <w:t>891</w:t>
            </w:r>
          </w:p>
        </w:tc>
        <w:tc>
          <w:tcPr>
            <w:tcW w:w="26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line="203" w:lineRule="exact"/>
              <w:rPr>
                <w:sz w:val="20"/>
                <w:szCs w:val="20"/>
                <w:color w:val="auto"/>
              </w:rPr>
            </w:pPr>
            <w:r>
              <w:rPr>
                <w:rFonts w:ascii="Arial" w:cs="Arial" w:eastAsia="Arial" w:hAnsi="Arial"/>
                <w:sz w:val="18"/>
                <w:szCs w:val="18"/>
                <w:color w:val="auto"/>
                <w:w w:val="79"/>
              </w:rPr>
              <w:t>$</w:t>
            </w:r>
          </w:p>
        </w:tc>
        <w:tc>
          <w:tcPr>
            <w:tcW w:w="52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w:t>
            </w:r>
          </w:p>
        </w:tc>
        <w:tc>
          <w:tcPr>
            <w:tcW w:w="26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79"/>
              </w:rPr>
              <w:t>$</w:t>
            </w:r>
          </w:p>
        </w:tc>
        <w:tc>
          <w:tcPr>
            <w:tcW w:w="500" w:type="dxa"/>
            <w:vAlign w:val="bottom"/>
            <w:tcBorders>
              <w:top w:val="single" w:sz="8" w:color="auto"/>
            </w:tcBorders>
            <w:shd w:val="clear" w:color="auto" w:fill="CCEEFF"/>
          </w:tcPr>
          <w:p>
            <w:pPr>
              <w:jc w:val="right"/>
              <w:ind w:right="11"/>
              <w:spacing w:after="0" w:line="203" w:lineRule="exact"/>
              <w:rPr>
                <w:sz w:val="20"/>
                <w:szCs w:val="20"/>
                <w:color w:val="auto"/>
              </w:rPr>
            </w:pPr>
            <w:r>
              <w:rPr>
                <w:rFonts w:ascii="Arial" w:cs="Arial" w:eastAsia="Arial" w:hAnsi="Arial"/>
                <w:sz w:val="18"/>
                <w:szCs w:val="18"/>
                <w:color w:val="auto"/>
              </w:rPr>
              <w:t>—</w:t>
            </w:r>
          </w:p>
        </w:tc>
        <w:tc>
          <w:tcPr>
            <w:tcW w:w="18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line="203" w:lineRule="exact"/>
              <w:rPr>
                <w:sz w:val="20"/>
                <w:szCs w:val="20"/>
                <w:color w:val="auto"/>
              </w:rPr>
            </w:pPr>
            <w:r>
              <w:rPr>
                <w:rFonts w:ascii="Arial" w:cs="Arial" w:eastAsia="Arial" w:hAnsi="Arial"/>
                <w:sz w:val="18"/>
                <w:szCs w:val="18"/>
                <w:color w:val="auto"/>
                <w:w w:val="99"/>
              </w:rPr>
              <w:t>$</w:t>
            </w:r>
          </w:p>
        </w:tc>
        <w:tc>
          <w:tcPr>
            <w:tcW w:w="68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w:t>
            </w:r>
          </w:p>
        </w:tc>
        <w:tc>
          <w:tcPr>
            <w:tcW w:w="18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538,425</w:t>
            </w:r>
          </w:p>
        </w:tc>
        <w:tc>
          <w:tcPr>
            <w:tcW w:w="6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23"/>
        </w:trPr>
        <w:tc>
          <w:tcPr>
            <w:tcW w:w="4820" w:type="dxa"/>
            <w:vAlign w:val="bottom"/>
            <w:gridSpan w:val="2"/>
          </w:tcPr>
          <w:p>
            <w:pPr>
              <w:spacing w:after="0"/>
              <w:rPr>
                <w:sz w:val="20"/>
                <w:szCs w:val="20"/>
                <w:color w:val="auto"/>
              </w:rPr>
            </w:pPr>
            <w:r>
              <w:rPr>
                <w:rFonts w:ascii="Arial" w:cs="Arial" w:eastAsia="Arial" w:hAnsi="Arial"/>
                <w:sz w:val="18"/>
                <w:szCs w:val="18"/>
                <w:color w:val="auto"/>
              </w:rPr>
              <w:t>Lease rental income - managed fleet</w:t>
            </w:r>
          </w:p>
        </w:tc>
        <w:tc>
          <w:tcPr>
            <w:tcW w:w="26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62,448</w:t>
            </w:r>
          </w:p>
        </w:tc>
        <w:tc>
          <w:tcPr>
            <w:tcW w:w="26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5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26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50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62,448</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48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Lease rental income</w:t>
            </w: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537,534</w:t>
            </w:r>
          </w:p>
        </w:tc>
        <w:tc>
          <w:tcPr>
            <w:tcW w:w="22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w w:val="79"/>
              </w:rPr>
              <w:t>$</w:t>
            </w: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63,339</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8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w w:val="99"/>
              </w:rPr>
              <w:t>$</w:t>
            </w:r>
          </w:p>
        </w:tc>
        <w:tc>
          <w:tcPr>
            <w:tcW w:w="860" w:type="dxa"/>
            <w:vAlign w:val="bottom"/>
            <w:gridSpan w:val="2"/>
            <w:shd w:val="clear" w:color="auto" w:fill="CCEEFF"/>
          </w:tcPr>
          <w:p>
            <w:pPr>
              <w:jc w:val="right"/>
              <w:ind w:right="181"/>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600,873</w:t>
            </w:r>
          </w:p>
        </w:tc>
        <w:tc>
          <w:tcPr>
            <w:tcW w:w="0" w:type="dxa"/>
            <w:vAlign w:val="bottom"/>
          </w:tcPr>
          <w:p>
            <w:pPr>
              <w:spacing w:after="0"/>
              <w:rPr>
                <w:sz w:val="1"/>
                <w:szCs w:val="1"/>
                <w:color w:val="auto"/>
              </w:rPr>
            </w:pPr>
          </w:p>
        </w:tc>
      </w:tr>
      <w:tr>
        <w:trPr>
          <w:trHeight w:val="20"/>
        </w:trPr>
        <w:tc>
          <w:tcPr>
            <w:tcW w:w="4820" w:type="dxa"/>
            <w:vAlign w:val="bottom"/>
            <w:gridSpan w:val="2"/>
            <w:vMerge w:val="restart"/>
          </w:tcPr>
          <w:p>
            <w:pPr>
              <w:spacing w:after="0"/>
              <w:rPr>
                <w:sz w:val="20"/>
                <w:szCs w:val="20"/>
                <w:color w:val="auto"/>
              </w:rPr>
            </w:pPr>
            <w:r>
              <w:rPr>
                <w:rFonts w:ascii="Arial" w:cs="Arial" w:eastAsia="Arial" w:hAnsi="Arial"/>
                <w:sz w:val="18"/>
                <w:szCs w:val="18"/>
                <w:color w:val="auto"/>
              </w:rPr>
              <w:t>Management fees - non-leasing from external customers</w:t>
            </w: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820" w:type="dxa"/>
            <w:vAlign w:val="bottom"/>
            <w:gridSpan w:val="2"/>
            <w:vMerge w:val="continue"/>
          </w:tcPr>
          <w:p>
            <w:pPr>
              <w:spacing w:after="0"/>
              <w:rPr>
                <w:sz w:val="18"/>
                <w:szCs w:val="18"/>
                <w:color w:val="auto"/>
              </w:rPr>
            </w:pPr>
          </w:p>
        </w:tc>
        <w:tc>
          <w:tcPr>
            <w:tcW w:w="26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392</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720" w:type="dxa"/>
            <w:vAlign w:val="bottom"/>
            <w:tcBorders>
              <w:bottom w:val="single" w:sz="8" w:color="auto"/>
            </w:tcBorders>
          </w:tcPr>
          <w:p>
            <w:pPr>
              <w:ind w:left="440"/>
              <w:spacing w:after="0"/>
              <w:rPr>
                <w:sz w:val="20"/>
                <w:szCs w:val="20"/>
                <w:color w:val="auto"/>
              </w:rPr>
            </w:pPr>
            <w:r>
              <w:rPr>
                <w:rFonts w:ascii="Arial" w:cs="Arial" w:eastAsia="Arial" w:hAnsi="Arial"/>
                <w:sz w:val="18"/>
                <w:szCs w:val="18"/>
                <w:color w:val="auto"/>
                <w:w w:val="86"/>
              </w:rPr>
              <w:t>129</w:t>
            </w:r>
          </w:p>
        </w:tc>
        <w:tc>
          <w:tcPr>
            <w:tcW w:w="260" w:type="dxa"/>
            <w:vAlign w:val="bottom"/>
          </w:tcPr>
          <w:p>
            <w:pPr>
              <w:spacing w:after="0"/>
              <w:rPr>
                <w:sz w:val="18"/>
                <w:szCs w:val="18"/>
                <w:color w:val="auto"/>
              </w:rPr>
            </w:pPr>
          </w:p>
        </w:tc>
        <w:tc>
          <w:tcPr>
            <w:tcW w:w="10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5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4,750</w:t>
            </w:r>
          </w:p>
        </w:tc>
        <w:tc>
          <w:tcPr>
            <w:tcW w:w="26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99"/>
              </w:rPr>
              <w:t>$</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5,271</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5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8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Inter-segment management fees</w:t>
            </w: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54,899</w:t>
            </w: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w w:val="90"/>
              </w:rPr>
              <w:t>12,575</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8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w w:val="99"/>
              </w:rPr>
              <w:t>$</w:t>
            </w:r>
          </w:p>
        </w:tc>
        <w:tc>
          <w:tcPr>
            <w:tcW w:w="8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(67,474)</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ind w:left="4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4820" w:type="dxa"/>
            <w:vAlign w:val="bottom"/>
            <w:gridSpan w:val="2"/>
            <w:vMerge w:val="restart"/>
          </w:tcPr>
          <w:p>
            <w:pPr>
              <w:spacing w:after="0"/>
              <w:rPr>
                <w:sz w:val="20"/>
                <w:szCs w:val="20"/>
                <w:color w:val="auto"/>
              </w:rPr>
            </w:pPr>
            <w:r>
              <w:rPr>
                <w:rFonts w:ascii="Arial" w:cs="Arial" w:eastAsia="Arial" w:hAnsi="Arial"/>
                <w:sz w:val="18"/>
                <w:szCs w:val="18"/>
                <w:color w:val="auto"/>
              </w:rPr>
              <w:t>Trading container margin</w:t>
            </w: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820" w:type="dxa"/>
            <w:vAlign w:val="bottom"/>
            <w:gridSpan w:val="2"/>
            <w:vMerge w:val="continue"/>
          </w:tcPr>
          <w:p>
            <w:pPr>
              <w:spacing w:after="0"/>
              <w:rPr>
                <w:sz w:val="18"/>
                <w:szCs w:val="18"/>
                <w:color w:val="auto"/>
              </w:rPr>
            </w:pPr>
          </w:p>
        </w:tc>
        <w:tc>
          <w:tcPr>
            <w:tcW w:w="26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720" w:type="dxa"/>
            <w:vAlign w:val="bottom"/>
            <w:tcBorders>
              <w:bottom w:val="single" w:sz="8" w:color="auto"/>
            </w:tcBorders>
          </w:tcPr>
          <w:p>
            <w:pPr>
              <w:ind w:left="440"/>
              <w:spacing w:after="0"/>
              <w:rPr>
                <w:sz w:val="20"/>
                <w:szCs w:val="20"/>
                <w:color w:val="auto"/>
              </w:rPr>
            </w:pPr>
            <w:r>
              <w:rPr>
                <w:rFonts w:ascii="Arial" w:cs="Arial" w:eastAsia="Arial" w:hAnsi="Arial"/>
                <w:sz w:val="18"/>
                <w:szCs w:val="18"/>
                <w:color w:val="auto"/>
              </w:rPr>
              <w:t>—</w:t>
            </w:r>
          </w:p>
        </w:tc>
        <w:tc>
          <w:tcPr>
            <w:tcW w:w="260" w:type="dxa"/>
            <w:vAlign w:val="bottom"/>
          </w:tcPr>
          <w:p>
            <w:pPr>
              <w:spacing w:after="0"/>
              <w:rPr>
                <w:sz w:val="18"/>
                <w:szCs w:val="18"/>
                <w:color w:val="auto"/>
              </w:rPr>
            </w:pPr>
          </w:p>
        </w:tc>
        <w:tc>
          <w:tcPr>
            <w:tcW w:w="10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5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3,532</w:t>
            </w:r>
          </w:p>
        </w:tc>
        <w:tc>
          <w:tcPr>
            <w:tcW w:w="26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99"/>
              </w:rPr>
              <w:t>$</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3,532</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5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8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Gain on sale of owned fleet containers, net</w:t>
            </w: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27,230</w:t>
            </w:r>
          </w:p>
        </w:tc>
        <w:tc>
          <w:tcPr>
            <w:tcW w:w="22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w w:val="79"/>
              </w:rPr>
              <w:t>$</w:t>
            </w:r>
          </w:p>
        </w:tc>
        <w:tc>
          <w:tcPr>
            <w:tcW w:w="980" w:type="dxa"/>
            <w:vAlign w:val="bottom"/>
            <w:gridSpan w:val="2"/>
            <w:shd w:val="clear" w:color="auto" w:fill="CCEEFF"/>
          </w:tcPr>
          <w:p>
            <w:pPr>
              <w:ind w:left="4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8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w w:val="99"/>
              </w:rPr>
              <w:t>$</w:t>
            </w:r>
          </w:p>
        </w:tc>
        <w:tc>
          <w:tcPr>
            <w:tcW w:w="860" w:type="dxa"/>
            <w:vAlign w:val="bottom"/>
            <w:gridSpan w:val="2"/>
            <w:shd w:val="clear" w:color="auto" w:fill="CCEEFF"/>
          </w:tcPr>
          <w:p>
            <w:pPr>
              <w:jc w:val="right"/>
              <w:ind w:right="181"/>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27,230</w:t>
            </w:r>
          </w:p>
        </w:tc>
        <w:tc>
          <w:tcPr>
            <w:tcW w:w="0" w:type="dxa"/>
            <w:vAlign w:val="bottom"/>
          </w:tcPr>
          <w:p>
            <w:pPr>
              <w:spacing w:after="0"/>
              <w:rPr>
                <w:sz w:val="1"/>
                <w:szCs w:val="1"/>
                <w:color w:val="auto"/>
              </w:rPr>
            </w:pPr>
          </w:p>
        </w:tc>
      </w:tr>
      <w:tr>
        <w:trPr>
          <w:trHeight w:val="20"/>
        </w:trPr>
        <w:tc>
          <w:tcPr>
            <w:tcW w:w="4820" w:type="dxa"/>
            <w:vAlign w:val="bottom"/>
            <w:gridSpan w:val="2"/>
            <w:vMerge w:val="restart"/>
          </w:tcPr>
          <w:p>
            <w:pPr>
              <w:spacing w:after="0"/>
              <w:rPr>
                <w:sz w:val="20"/>
                <w:szCs w:val="20"/>
                <w:color w:val="auto"/>
              </w:rPr>
            </w:pPr>
            <w:r>
              <w:rPr>
                <w:rFonts w:ascii="Arial" w:cs="Arial" w:eastAsia="Arial" w:hAnsi="Arial"/>
                <w:sz w:val="18"/>
                <w:szCs w:val="18"/>
                <w:color w:val="auto"/>
              </w:rPr>
              <w:t>Depreciation expense</w:t>
            </w: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820" w:type="dxa"/>
            <w:vAlign w:val="bottom"/>
            <w:gridSpan w:val="2"/>
            <w:vMerge w:val="continue"/>
          </w:tcPr>
          <w:p>
            <w:pPr>
              <w:spacing w:after="0"/>
              <w:rPr>
                <w:sz w:val="18"/>
                <w:szCs w:val="18"/>
                <w:color w:val="auto"/>
              </w:rPr>
            </w:pPr>
          </w:p>
        </w:tc>
        <w:tc>
          <w:tcPr>
            <w:tcW w:w="26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268,401</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720" w:type="dxa"/>
            <w:vAlign w:val="bottom"/>
            <w:tcBorders>
              <w:bottom w:val="single" w:sz="8" w:color="auto"/>
            </w:tcBorders>
          </w:tcPr>
          <w:p>
            <w:pPr>
              <w:ind w:left="440"/>
              <w:spacing w:after="0"/>
              <w:rPr>
                <w:sz w:val="20"/>
                <w:szCs w:val="20"/>
                <w:color w:val="auto"/>
              </w:rPr>
            </w:pPr>
            <w:r>
              <w:rPr>
                <w:rFonts w:ascii="Arial" w:cs="Arial" w:eastAsia="Arial" w:hAnsi="Arial"/>
                <w:sz w:val="18"/>
                <w:szCs w:val="18"/>
                <w:color w:val="auto"/>
                <w:w w:val="86"/>
              </w:rPr>
              <w:t>939</w:t>
            </w:r>
          </w:p>
        </w:tc>
        <w:tc>
          <w:tcPr>
            <w:tcW w:w="260" w:type="dxa"/>
            <w:vAlign w:val="bottom"/>
          </w:tcPr>
          <w:p>
            <w:pPr>
              <w:spacing w:after="0"/>
              <w:rPr>
                <w:sz w:val="18"/>
                <w:szCs w:val="18"/>
                <w:color w:val="auto"/>
              </w:rPr>
            </w:pPr>
          </w:p>
        </w:tc>
        <w:tc>
          <w:tcPr>
            <w:tcW w:w="10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5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26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99"/>
              </w:rPr>
              <w:t>$</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(7,675</w:t>
            </w:r>
          </w:p>
        </w:tc>
        <w:tc>
          <w:tcPr>
            <w:tcW w:w="180" w:type="dxa"/>
            <w:vAlign w:val="bottom"/>
          </w:tcPr>
          <w:p>
            <w:pPr>
              <w:jc w:val="right"/>
              <w:ind w:right="41"/>
              <w:spacing w:after="0"/>
              <w:rPr>
                <w:sz w:val="20"/>
                <w:szCs w:val="20"/>
                <w:color w:val="auto"/>
              </w:rPr>
            </w:pPr>
            <w:r>
              <w:rPr>
                <w:rFonts w:ascii="Arial" w:cs="Arial" w:eastAsia="Arial" w:hAnsi="Arial"/>
                <w:sz w:val="16"/>
                <w:szCs w:val="16"/>
                <w:color w:val="auto"/>
                <w:w w:val="74"/>
              </w:rPr>
              <w:t>)</w:t>
            </w:r>
          </w:p>
        </w:tc>
        <w:tc>
          <w:tcPr>
            <w:tcW w:w="1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261,665</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5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8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Container lessee default recovery, net</w:t>
            </w: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1,675</w:t>
            </w:r>
          </w:p>
        </w:tc>
        <w:tc>
          <w:tcPr>
            <w:tcW w:w="22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w w:val="79"/>
              </w:rPr>
              <w:t>$</w:t>
            </w:r>
          </w:p>
        </w:tc>
        <w:tc>
          <w:tcPr>
            <w:tcW w:w="980" w:type="dxa"/>
            <w:vAlign w:val="bottom"/>
            <w:gridSpan w:val="2"/>
            <w:shd w:val="clear" w:color="auto" w:fill="CCEEFF"/>
          </w:tcPr>
          <w:p>
            <w:pPr>
              <w:ind w:left="4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8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w w:val="99"/>
              </w:rPr>
              <w:t>$</w:t>
            </w:r>
          </w:p>
        </w:tc>
        <w:tc>
          <w:tcPr>
            <w:tcW w:w="860" w:type="dxa"/>
            <w:vAlign w:val="bottom"/>
            <w:gridSpan w:val="2"/>
            <w:shd w:val="clear" w:color="auto" w:fill="CCEEFF"/>
          </w:tcPr>
          <w:p>
            <w:pPr>
              <w:jc w:val="right"/>
              <w:ind w:right="181"/>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1,675</w:t>
            </w:r>
          </w:p>
        </w:tc>
        <w:tc>
          <w:tcPr>
            <w:tcW w:w="0" w:type="dxa"/>
            <w:vAlign w:val="bottom"/>
          </w:tcPr>
          <w:p>
            <w:pPr>
              <w:spacing w:after="0"/>
              <w:rPr>
                <w:sz w:val="1"/>
                <w:szCs w:val="1"/>
                <w:color w:val="auto"/>
              </w:rPr>
            </w:pPr>
          </w:p>
        </w:tc>
      </w:tr>
      <w:tr>
        <w:trPr>
          <w:trHeight w:val="20"/>
        </w:trPr>
        <w:tc>
          <w:tcPr>
            <w:tcW w:w="4820" w:type="dxa"/>
            <w:vAlign w:val="bottom"/>
            <w:gridSpan w:val="2"/>
            <w:vMerge w:val="restart"/>
          </w:tcPr>
          <w:p>
            <w:pPr>
              <w:spacing w:after="0"/>
              <w:rPr>
                <w:sz w:val="20"/>
                <w:szCs w:val="20"/>
                <w:color w:val="auto"/>
              </w:rPr>
            </w:pPr>
            <w:r>
              <w:rPr>
                <w:rFonts w:ascii="Arial" w:cs="Arial" w:eastAsia="Arial" w:hAnsi="Arial"/>
                <w:sz w:val="18"/>
                <w:szCs w:val="18"/>
                <w:color w:val="auto"/>
              </w:rPr>
              <w:t>Interest expense</w:t>
            </w: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820" w:type="dxa"/>
            <w:vAlign w:val="bottom"/>
            <w:gridSpan w:val="2"/>
            <w:vMerge w:val="continue"/>
          </w:tcPr>
          <w:p>
            <w:pPr>
              <w:spacing w:after="0"/>
              <w:rPr>
                <w:sz w:val="18"/>
                <w:szCs w:val="18"/>
                <w:color w:val="auto"/>
              </w:rPr>
            </w:pPr>
          </w:p>
        </w:tc>
        <w:tc>
          <w:tcPr>
            <w:tcW w:w="26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122,863</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720" w:type="dxa"/>
            <w:vAlign w:val="bottom"/>
            <w:tcBorders>
              <w:bottom w:val="single" w:sz="8" w:color="auto"/>
            </w:tcBorders>
          </w:tcPr>
          <w:p>
            <w:pPr>
              <w:ind w:left="440"/>
              <w:spacing w:after="0"/>
              <w:rPr>
                <w:sz w:val="20"/>
                <w:szCs w:val="20"/>
                <w:color w:val="auto"/>
              </w:rPr>
            </w:pPr>
            <w:r>
              <w:rPr>
                <w:rFonts w:ascii="Arial" w:cs="Arial" w:eastAsia="Arial" w:hAnsi="Arial"/>
                <w:sz w:val="18"/>
                <w:szCs w:val="18"/>
                <w:color w:val="auto"/>
                <w:w w:val="86"/>
              </w:rPr>
              <w:t>367</w:t>
            </w:r>
          </w:p>
        </w:tc>
        <w:tc>
          <w:tcPr>
            <w:tcW w:w="260" w:type="dxa"/>
            <w:vAlign w:val="bottom"/>
          </w:tcPr>
          <w:p>
            <w:pPr>
              <w:spacing w:after="0"/>
              <w:rPr>
                <w:sz w:val="18"/>
                <w:szCs w:val="18"/>
                <w:color w:val="auto"/>
              </w:rPr>
            </w:pPr>
          </w:p>
        </w:tc>
        <w:tc>
          <w:tcPr>
            <w:tcW w:w="10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5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26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99"/>
              </w:rPr>
              <w:t>$</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123,230</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5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820" w:type="dxa"/>
            <w:vAlign w:val="bottom"/>
            <w:gridSpan w:val="2"/>
            <w:shd w:val="clear" w:color="auto" w:fill="CCEEFF"/>
          </w:tcPr>
          <w:p>
            <w:pPr>
              <w:spacing w:after="0" w:line="195" w:lineRule="exact"/>
              <w:rPr>
                <w:sz w:val="20"/>
                <w:szCs w:val="20"/>
                <w:color w:val="auto"/>
              </w:rPr>
            </w:pPr>
            <w:r>
              <w:rPr>
                <w:rFonts w:ascii="Arial" w:cs="Arial" w:eastAsia="Arial" w:hAnsi="Arial"/>
                <w:sz w:val="18"/>
                <w:szCs w:val="18"/>
                <w:color w:val="auto"/>
                <w:w w:val="94"/>
              </w:rPr>
              <w:t>Write-off of unamortized deferred debt issuance costs and bond</w:t>
            </w:r>
          </w:p>
        </w:tc>
        <w:tc>
          <w:tcPr>
            <w:tcW w:w="2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482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discounts</w:t>
            </w:r>
          </w:p>
        </w:tc>
        <w:tc>
          <w:tcPr>
            <w:tcW w:w="260" w:type="dxa"/>
            <w:vAlign w:val="bottom"/>
            <w:shd w:val="clear" w:color="auto" w:fill="CCEEFF"/>
          </w:tcPr>
          <w:p>
            <w:pPr>
              <w:spacing w:after="0"/>
              <w:rPr>
                <w:sz w:val="20"/>
                <w:szCs w:val="20"/>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8,750</w:t>
            </w:r>
          </w:p>
        </w:tc>
        <w:tc>
          <w:tcPr>
            <w:tcW w:w="22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w w:val="79"/>
              </w:rPr>
              <w:t>$</w:t>
            </w:r>
          </w:p>
        </w:tc>
        <w:tc>
          <w:tcPr>
            <w:tcW w:w="980" w:type="dxa"/>
            <w:vAlign w:val="bottom"/>
            <w:gridSpan w:val="2"/>
            <w:shd w:val="clear" w:color="auto" w:fill="CCEEFF"/>
          </w:tcPr>
          <w:p>
            <w:pPr>
              <w:ind w:left="4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8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w w:val="99"/>
              </w:rPr>
              <w:t>$</w:t>
            </w:r>
          </w:p>
        </w:tc>
        <w:tc>
          <w:tcPr>
            <w:tcW w:w="860" w:type="dxa"/>
            <w:vAlign w:val="bottom"/>
            <w:gridSpan w:val="2"/>
            <w:shd w:val="clear" w:color="auto" w:fill="CCEEFF"/>
          </w:tcPr>
          <w:p>
            <w:pPr>
              <w:jc w:val="right"/>
              <w:ind w:right="181"/>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8,750</w:t>
            </w:r>
          </w:p>
        </w:tc>
        <w:tc>
          <w:tcPr>
            <w:tcW w:w="0" w:type="dxa"/>
            <w:vAlign w:val="bottom"/>
          </w:tcPr>
          <w:p>
            <w:pPr>
              <w:spacing w:after="0"/>
              <w:rPr>
                <w:sz w:val="1"/>
                <w:szCs w:val="1"/>
                <w:color w:val="auto"/>
              </w:rPr>
            </w:pPr>
          </w:p>
        </w:tc>
      </w:tr>
      <w:tr>
        <w:trPr>
          <w:trHeight w:val="20"/>
        </w:trPr>
        <w:tc>
          <w:tcPr>
            <w:tcW w:w="4820" w:type="dxa"/>
            <w:vAlign w:val="bottom"/>
            <w:gridSpan w:val="2"/>
            <w:vMerge w:val="restart"/>
          </w:tcPr>
          <w:p>
            <w:pPr>
              <w:spacing w:after="0"/>
              <w:rPr>
                <w:sz w:val="20"/>
                <w:szCs w:val="20"/>
                <w:color w:val="auto"/>
              </w:rPr>
            </w:pPr>
            <w:r>
              <w:rPr>
                <w:rFonts w:ascii="Arial" w:cs="Arial" w:eastAsia="Arial" w:hAnsi="Arial"/>
                <w:sz w:val="18"/>
                <w:szCs w:val="18"/>
                <w:color w:val="auto"/>
              </w:rPr>
              <w:t>Realized loss on derivative instruments, net</w:t>
            </w: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820" w:type="dxa"/>
            <w:vAlign w:val="bottom"/>
            <w:gridSpan w:val="2"/>
            <w:vMerge w:val="continue"/>
          </w:tcPr>
          <w:p>
            <w:pPr>
              <w:spacing w:after="0"/>
              <w:rPr>
                <w:sz w:val="18"/>
                <w:szCs w:val="18"/>
                <w:color w:val="auto"/>
              </w:rPr>
            </w:pPr>
          </w:p>
        </w:tc>
        <w:tc>
          <w:tcPr>
            <w:tcW w:w="26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12,295</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720" w:type="dxa"/>
            <w:vAlign w:val="bottom"/>
            <w:tcBorders>
              <w:bottom w:val="single" w:sz="8" w:color="auto"/>
            </w:tcBorders>
          </w:tcPr>
          <w:p>
            <w:pPr>
              <w:ind w:left="440"/>
              <w:spacing w:after="0"/>
              <w:rPr>
                <w:sz w:val="20"/>
                <w:szCs w:val="20"/>
                <w:color w:val="auto"/>
              </w:rPr>
            </w:pPr>
            <w:r>
              <w:rPr>
                <w:rFonts w:ascii="Arial" w:cs="Arial" w:eastAsia="Arial" w:hAnsi="Arial"/>
                <w:sz w:val="18"/>
                <w:szCs w:val="18"/>
                <w:color w:val="auto"/>
              </w:rPr>
              <w:t>—</w:t>
            </w:r>
          </w:p>
        </w:tc>
        <w:tc>
          <w:tcPr>
            <w:tcW w:w="260" w:type="dxa"/>
            <w:vAlign w:val="bottom"/>
          </w:tcPr>
          <w:p>
            <w:pPr>
              <w:spacing w:after="0"/>
              <w:rPr>
                <w:sz w:val="18"/>
                <w:szCs w:val="18"/>
                <w:color w:val="auto"/>
              </w:rPr>
            </w:pPr>
          </w:p>
        </w:tc>
        <w:tc>
          <w:tcPr>
            <w:tcW w:w="10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5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26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99"/>
              </w:rPr>
              <w:t>$</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12,295</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5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8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Unrealized loss on derivative instruments, net</w:t>
            </w:r>
          </w:p>
        </w:tc>
        <w:tc>
          <w:tcPr>
            <w:tcW w:w="3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6,044</w:t>
            </w:r>
          </w:p>
        </w:tc>
        <w:tc>
          <w:tcPr>
            <w:tcW w:w="22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w w:val="79"/>
              </w:rPr>
              <w:t>$</w:t>
            </w:r>
          </w:p>
        </w:tc>
        <w:tc>
          <w:tcPr>
            <w:tcW w:w="980" w:type="dxa"/>
            <w:vAlign w:val="bottom"/>
            <w:gridSpan w:val="2"/>
            <w:shd w:val="clear" w:color="auto" w:fill="CCEEFF"/>
          </w:tcPr>
          <w:p>
            <w:pPr>
              <w:ind w:left="4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8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w w:val="99"/>
              </w:rPr>
              <w:t>$</w:t>
            </w:r>
          </w:p>
        </w:tc>
        <w:tc>
          <w:tcPr>
            <w:tcW w:w="860" w:type="dxa"/>
            <w:vAlign w:val="bottom"/>
            <w:gridSpan w:val="2"/>
            <w:shd w:val="clear" w:color="auto" w:fill="CCEEFF"/>
          </w:tcPr>
          <w:p>
            <w:pPr>
              <w:jc w:val="right"/>
              <w:ind w:right="181"/>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6,044</w:t>
            </w:r>
          </w:p>
        </w:tc>
        <w:tc>
          <w:tcPr>
            <w:tcW w:w="0" w:type="dxa"/>
            <w:vAlign w:val="bottom"/>
          </w:tcPr>
          <w:p>
            <w:pPr>
              <w:spacing w:after="0"/>
              <w:rPr>
                <w:sz w:val="1"/>
                <w:szCs w:val="1"/>
                <w:color w:val="auto"/>
              </w:rPr>
            </w:pPr>
          </w:p>
        </w:tc>
      </w:tr>
      <w:tr>
        <w:trPr>
          <w:trHeight w:val="20"/>
        </w:trPr>
        <w:tc>
          <w:tcPr>
            <w:tcW w:w="4820" w:type="dxa"/>
            <w:vAlign w:val="bottom"/>
            <w:gridSpan w:val="2"/>
            <w:vMerge w:val="restart"/>
          </w:tcPr>
          <w:p>
            <w:pPr>
              <w:spacing w:after="0"/>
              <w:rPr>
                <w:sz w:val="20"/>
                <w:szCs w:val="20"/>
                <w:color w:val="auto"/>
              </w:rPr>
            </w:pPr>
            <w:r>
              <w:rPr>
                <w:rFonts w:ascii="Arial" w:cs="Arial" w:eastAsia="Arial" w:hAnsi="Arial"/>
                <w:sz w:val="18"/>
                <w:szCs w:val="18"/>
                <w:color w:val="auto"/>
                <w:w w:val="99"/>
              </w:rPr>
              <w:t>Segment income (loss) before income tax and noncontrolling</w:t>
            </w: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820" w:type="dxa"/>
            <w:vAlign w:val="bottom"/>
            <w:gridSpan w:val="2"/>
            <w:vMerge w:val="continue"/>
          </w:tcPr>
          <w:p>
            <w:pPr>
              <w:spacing w:after="0"/>
              <w:rPr>
                <w:sz w:val="17"/>
                <w:szCs w:val="17"/>
                <w:color w:val="auto"/>
              </w:rPr>
            </w:pPr>
          </w:p>
        </w:tc>
        <w:tc>
          <w:tcPr>
            <w:tcW w:w="2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4820" w:type="dxa"/>
            <w:vAlign w:val="bottom"/>
            <w:gridSpan w:val="2"/>
          </w:tcPr>
          <w:p>
            <w:pPr>
              <w:ind w:left="180"/>
              <w:spacing w:after="0"/>
              <w:rPr>
                <w:sz w:val="20"/>
                <w:szCs w:val="20"/>
                <w:color w:val="auto"/>
              </w:rPr>
            </w:pPr>
            <w:r>
              <w:rPr>
                <w:rFonts w:ascii="Arial" w:cs="Arial" w:eastAsia="Arial" w:hAnsi="Arial"/>
                <w:sz w:val="18"/>
                <w:szCs w:val="18"/>
                <w:color w:val="auto"/>
              </w:rPr>
              <w:t>interests (1)</w:t>
            </w:r>
          </w:p>
        </w:tc>
        <w:tc>
          <w:tcPr>
            <w:tcW w:w="3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60" w:type="dxa"/>
            <w:vAlign w:val="bottom"/>
            <w:gridSpan w:val="2"/>
          </w:tcPr>
          <w:p>
            <w:pPr>
              <w:jc w:val="right"/>
              <w:ind w:right="140"/>
              <w:spacing w:after="0"/>
              <w:rPr>
                <w:sz w:val="20"/>
                <w:szCs w:val="20"/>
                <w:color w:val="auto"/>
              </w:rPr>
            </w:pPr>
            <w:r>
              <w:rPr>
                <w:rFonts w:ascii="Arial" w:cs="Arial" w:eastAsia="Arial" w:hAnsi="Arial"/>
                <w:sz w:val="18"/>
                <w:szCs w:val="18"/>
                <w:color w:val="auto"/>
              </w:rPr>
              <w:t>41,831</w:t>
            </w:r>
          </w:p>
        </w:tc>
        <w:tc>
          <w:tcPr>
            <w:tcW w:w="220" w:type="dxa"/>
            <w:vAlign w:val="bottom"/>
            <w:gridSpan w:val="2"/>
          </w:tcPr>
          <w:p>
            <w:pPr>
              <w:ind w:left="120"/>
              <w:spacing w:after="0"/>
              <w:rPr>
                <w:sz w:val="20"/>
                <w:szCs w:val="20"/>
                <w:color w:val="auto"/>
              </w:rPr>
            </w:pPr>
            <w:r>
              <w:rPr>
                <w:rFonts w:ascii="Arial" w:cs="Arial" w:eastAsia="Arial" w:hAnsi="Arial"/>
                <w:sz w:val="18"/>
                <w:szCs w:val="18"/>
                <w:color w:val="auto"/>
                <w:w w:val="79"/>
              </w:rPr>
              <w:t>$</w:t>
            </w:r>
          </w:p>
        </w:tc>
        <w:tc>
          <w:tcPr>
            <w:tcW w:w="980" w:type="dxa"/>
            <w:vAlign w:val="bottom"/>
            <w:gridSpan w:val="2"/>
          </w:tcPr>
          <w:p>
            <w:pPr>
              <w:jc w:val="right"/>
              <w:ind w:right="260"/>
              <w:spacing w:after="0"/>
              <w:rPr>
                <w:sz w:val="20"/>
                <w:szCs w:val="20"/>
                <w:color w:val="auto"/>
              </w:rPr>
            </w:pPr>
            <w:r>
              <w:rPr>
                <w:rFonts w:ascii="Arial" w:cs="Arial" w:eastAsia="Arial" w:hAnsi="Arial"/>
                <w:sz w:val="18"/>
                <w:szCs w:val="18"/>
                <w:color w:val="auto"/>
              </w:rPr>
              <w:t>23,641</w:t>
            </w:r>
          </w:p>
        </w:tc>
        <w:tc>
          <w:tcPr>
            <w:tcW w:w="100" w:type="dxa"/>
            <w:vAlign w:val="bottom"/>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tcPr>
          <w:p>
            <w:pPr>
              <w:jc w:val="right"/>
              <w:ind w:right="260"/>
              <w:spacing w:after="0"/>
              <w:rPr>
                <w:sz w:val="20"/>
                <w:szCs w:val="20"/>
                <w:color w:val="auto"/>
              </w:rPr>
            </w:pPr>
            <w:r>
              <w:rPr>
                <w:rFonts w:ascii="Arial" w:cs="Arial" w:eastAsia="Arial" w:hAnsi="Arial"/>
                <w:sz w:val="18"/>
                <w:szCs w:val="18"/>
                <w:color w:val="auto"/>
                <w:w w:val="90"/>
              </w:rPr>
              <w:t>16,433</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680" w:type="dxa"/>
            <w:vAlign w:val="bottom"/>
            <w:gridSpan w:val="2"/>
          </w:tcPr>
          <w:p>
            <w:pPr>
              <w:jc w:val="right"/>
              <w:ind w:right="120"/>
              <w:spacing w:after="0"/>
              <w:rPr>
                <w:sz w:val="20"/>
                <w:szCs w:val="20"/>
                <w:color w:val="auto"/>
              </w:rPr>
            </w:pPr>
            <w:r>
              <w:rPr>
                <w:rFonts w:ascii="Arial" w:cs="Arial" w:eastAsia="Arial" w:hAnsi="Arial"/>
                <w:sz w:val="18"/>
                <w:szCs w:val="18"/>
                <w:color w:val="auto"/>
                <w:w w:val="94"/>
              </w:rPr>
              <w:t>(3,254)</w:t>
            </w:r>
          </w:p>
        </w:tc>
        <w:tc>
          <w:tcPr>
            <w:tcW w:w="240" w:type="dxa"/>
            <w:vAlign w:val="bottom"/>
            <w:gridSpan w:val="2"/>
          </w:tcPr>
          <w:p>
            <w:pPr>
              <w:ind w:left="120"/>
              <w:spacing w:after="0"/>
              <w:rPr>
                <w:sz w:val="20"/>
                <w:szCs w:val="20"/>
                <w:color w:val="auto"/>
              </w:rPr>
            </w:pPr>
            <w:r>
              <w:rPr>
                <w:rFonts w:ascii="Arial" w:cs="Arial" w:eastAsia="Arial" w:hAnsi="Arial"/>
                <w:sz w:val="18"/>
                <w:szCs w:val="18"/>
                <w:color w:val="auto"/>
                <w:w w:val="99"/>
              </w:rPr>
              <w:t>$</w:t>
            </w:r>
          </w:p>
        </w:tc>
        <w:tc>
          <w:tcPr>
            <w:tcW w:w="860" w:type="dxa"/>
            <w:vAlign w:val="bottom"/>
            <w:gridSpan w:val="2"/>
          </w:tcPr>
          <w:p>
            <w:pPr>
              <w:jc w:val="right"/>
              <w:ind w:right="41"/>
              <w:spacing w:after="0"/>
              <w:rPr>
                <w:sz w:val="20"/>
                <w:szCs w:val="20"/>
                <w:color w:val="auto"/>
              </w:rPr>
            </w:pPr>
            <w:r>
              <w:rPr>
                <w:rFonts w:ascii="Arial" w:cs="Arial" w:eastAsia="Arial" w:hAnsi="Arial"/>
                <w:sz w:val="18"/>
                <w:szCs w:val="18"/>
                <w:color w:val="auto"/>
              </w:rPr>
              <w:t>(5,352)</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tcPr>
          <w:p>
            <w:pPr>
              <w:jc w:val="right"/>
              <w:ind w:right="60"/>
              <w:spacing w:after="0"/>
              <w:rPr>
                <w:sz w:val="20"/>
                <w:szCs w:val="20"/>
                <w:color w:val="auto"/>
              </w:rPr>
            </w:pPr>
            <w:r>
              <w:rPr>
                <w:rFonts w:ascii="Arial" w:cs="Arial" w:eastAsia="Arial" w:hAnsi="Arial"/>
                <w:sz w:val="18"/>
                <w:szCs w:val="18"/>
                <w:color w:val="auto"/>
              </w:rPr>
              <w:t>73,299</w:t>
            </w: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5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8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 assets</w:t>
            </w: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w w:val="87"/>
              </w:rPr>
              <w:t>5,641,866</w:t>
            </w:r>
          </w:p>
        </w:tc>
        <w:tc>
          <w:tcPr>
            <w:tcW w:w="22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w w:val="79"/>
              </w:rPr>
              <w:t>$</w:t>
            </w: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180,933</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w w:val="90"/>
              </w:rPr>
              <w:t>12,050</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68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87"/>
              </w:rPr>
              <w:t>13,691</w:t>
            </w:r>
          </w:p>
        </w:tc>
        <w:tc>
          <w:tcPr>
            <w:tcW w:w="24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w w:val="99"/>
              </w:rPr>
              <w:t>$</w:t>
            </w:r>
          </w:p>
        </w:tc>
        <w:tc>
          <w:tcPr>
            <w:tcW w:w="8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w w:val="93"/>
              </w:rPr>
              <w:t>(107,164)</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87"/>
              </w:rPr>
              <w:t>5,741,376</w:t>
            </w:r>
          </w:p>
        </w:tc>
        <w:tc>
          <w:tcPr>
            <w:tcW w:w="0" w:type="dxa"/>
            <w:vAlign w:val="bottom"/>
          </w:tcPr>
          <w:p>
            <w:pPr>
              <w:spacing w:after="0"/>
              <w:rPr>
                <w:sz w:val="1"/>
                <w:szCs w:val="1"/>
                <w:color w:val="auto"/>
              </w:rPr>
            </w:pPr>
          </w:p>
        </w:tc>
      </w:tr>
      <w:tr>
        <w:trPr>
          <w:trHeight w:val="20"/>
        </w:trPr>
        <w:tc>
          <w:tcPr>
            <w:tcW w:w="4820" w:type="dxa"/>
            <w:vAlign w:val="bottom"/>
            <w:gridSpan w:val="2"/>
            <w:vMerge w:val="restart"/>
          </w:tcPr>
          <w:p>
            <w:pPr>
              <w:spacing w:after="0"/>
              <w:rPr>
                <w:sz w:val="20"/>
                <w:szCs w:val="20"/>
                <w:color w:val="auto"/>
              </w:rPr>
            </w:pPr>
            <w:r>
              <w:rPr>
                <w:rFonts w:ascii="Arial" w:cs="Arial" w:eastAsia="Arial" w:hAnsi="Arial"/>
                <w:sz w:val="18"/>
                <w:szCs w:val="18"/>
                <w:color w:val="auto"/>
              </w:rPr>
              <w:t>Purchase of containers and fixed assets</w:t>
            </w: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820" w:type="dxa"/>
            <w:vAlign w:val="bottom"/>
            <w:gridSpan w:val="2"/>
            <w:vMerge w:val="continue"/>
          </w:tcPr>
          <w:p>
            <w:pPr>
              <w:spacing w:after="0"/>
              <w:rPr>
                <w:sz w:val="18"/>
                <w:szCs w:val="18"/>
                <w:color w:val="auto"/>
              </w:rPr>
            </w:pPr>
          </w:p>
        </w:tc>
        <w:tc>
          <w:tcPr>
            <w:tcW w:w="26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968,204</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720" w:type="dxa"/>
            <w:vAlign w:val="bottom"/>
            <w:tcBorders>
              <w:bottom w:val="single" w:sz="8" w:color="auto"/>
            </w:tcBorders>
          </w:tcPr>
          <w:p>
            <w:pPr>
              <w:ind w:left="440"/>
              <w:spacing w:after="0"/>
              <w:rPr>
                <w:sz w:val="20"/>
                <w:szCs w:val="20"/>
                <w:color w:val="auto"/>
              </w:rPr>
            </w:pPr>
            <w:r>
              <w:rPr>
                <w:rFonts w:ascii="Arial" w:cs="Arial" w:eastAsia="Arial" w:hAnsi="Arial"/>
                <w:sz w:val="18"/>
                <w:szCs w:val="18"/>
                <w:color w:val="auto"/>
                <w:w w:val="86"/>
              </w:rPr>
              <w:t>194</w:t>
            </w:r>
          </w:p>
        </w:tc>
        <w:tc>
          <w:tcPr>
            <w:tcW w:w="260" w:type="dxa"/>
            <w:vAlign w:val="bottom"/>
          </w:tcPr>
          <w:p>
            <w:pPr>
              <w:spacing w:after="0"/>
              <w:rPr>
                <w:sz w:val="18"/>
                <w:szCs w:val="18"/>
                <w:color w:val="auto"/>
              </w:rPr>
            </w:pPr>
          </w:p>
        </w:tc>
        <w:tc>
          <w:tcPr>
            <w:tcW w:w="10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5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26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99"/>
              </w:rPr>
              <w:t>$</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968,398</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5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8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Payments on container leaseback financing receivable</w:t>
            </w: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116,263</w:t>
            </w:r>
          </w:p>
        </w:tc>
        <w:tc>
          <w:tcPr>
            <w:tcW w:w="22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w w:val="79"/>
              </w:rPr>
              <w:t>$</w:t>
            </w:r>
          </w:p>
        </w:tc>
        <w:tc>
          <w:tcPr>
            <w:tcW w:w="980" w:type="dxa"/>
            <w:vAlign w:val="bottom"/>
            <w:gridSpan w:val="2"/>
            <w:shd w:val="clear" w:color="auto" w:fill="CCEEFF"/>
          </w:tcPr>
          <w:p>
            <w:pPr>
              <w:ind w:left="4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8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w w:val="99"/>
              </w:rPr>
              <w:t>$</w:t>
            </w:r>
          </w:p>
        </w:tc>
        <w:tc>
          <w:tcPr>
            <w:tcW w:w="860" w:type="dxa"/>
            <w:vAlign w:val="bottom"/>
            <w:gridSpan w:val="2"/>
            <w:shd w:val="clear" w:color="auto" w:fill="CCEEFF"/>
          </w:tcPr>
          <w:p>
            <w:pPr>
              <w:jc w:val="right"/>
              <w:ind w:right="181"/>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116,263</w:t>
            </w: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5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8"/>
        </w:trPr>
        <w:tc>
          <w:tcPr>
            <w:tcW w:w="300" w:type="dxa"/>
            <w:vAlign w:val="bottom"/>
          </w:tcPr>
          <w:p>
            <w:pPr>
              <w:spacing w:after="0"/>
              <w:rPr>
                <w:sz w:val="24"/>
                <w:szCs w:val="24"/>
                <w:color w:val="auto"/>
              </w:rPr>
            </w:pPr>
          </w:p>
        </w:tc>
        <w:tc>
          <w:tcPr>
            <w:tcW w:w="45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60" w:type="dxa"/>
            <w:vAlign w:val="bottom"/>
            <w:gridSpan w:val="2"/>
          </w:tcPr>
          <w:p>
            <w:pPr>
              <w:jc w:val="center"/>
              <w:ind w:right="200"/>
              <w:spacing w:after="0"/>
              <w:rPr>
                <w:sz w:val="20"/>
                <w:szCs w:val="20"/>
                <w:color w:val="auto"/>
              </w:rPr>
            </w:pPr>
            <w:r>
              <w:rPr>
                <w:rFonts w:ascii="Arial" w:cs="Arial" w:eastAsia="Arial" w:hAnsi="Arial"/>
                <w:sz w:val="18"/>
                <w:szCs w:val="18"/>
                <w:color w:val="auto"/>
                <w:w w:val="91"/>
              </w:rPr>
              <w:t>F-42</w:t>
            </w: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020"/>
          </w:cols>
          <w:pgMar w:left="440" w:top="270" w:right="439" w:bottom="1440" w:gutter="0" w:footer="0" w:header="0"/>
        </w:sectPr>
      </w:pPr>
    </w:p>
    <w:bookmarkStart w:id="156" w:name="page157"/>
    <w:bookmarkEnd w:id="156"/>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p>
    <w:tbl>
      <w:tblPr>
        <w:tblLayout w:type="fixed"/>
        <w:tblInd w:w="4" w:type="dxa"/>
        <w:tblCellMar>
          <w:top w:w="0" w:type="dxa"/>
          <w:left w:w="0" w:type="dxa"/>
          <w:bottom w:w="0" w:type="dxa"/>
          <w:right w:w="0" w:type="dxa"/>
        </w:tblCellMar>
      </w:tblPr>
      <w:tr>
        <w:trPr>
          <w:trHeight w:val="161"/>
        </w:trPr>
        <w:tc>
          <w:tcPr>
            <w:tcW w:w="300" w:type="dxa"/>
            <w:vAlign w:val="bottom"/>
            <w:vMerge w:val="restart"/>
          </w:tcPr>
          <w:p>
            <w:pPr>
              <w:spacing w:after="0"/>
              <w:rPr>
                <w:sz w:val="20"/>
                <w:szCs w:val="20"/>
                <w:color w:val="auto"/>
              </w:rPr>
            </w:pPr>
            <w:r>
              <w:rPr>
                <w:rFonts w:ascii="Arial" w:cs="Arial" w:eastAsia="Arial" w:hAnsi="Arial"/>
                <w:sz w:val="14"/>
                <w:szCs w:val="14"/>
                <w:b w:val="1"/>
                <w:bCs w:val="1"/>
                <w:color w:val="auto"/>
                <w:w w:val="89"/>
              </w:rPr>
              <w:t>2019</w:t>
            </w:r>
          </w:p>
        </w:tc>
        <w:tc>
          <w:tcPr>
            <w:tcW w:w="47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60" w:type="dxa"/>
            <w:vAlign w:val="bottom"/>
            <w:gridSpan w:val="3"/>
          </w:tcPr>
          <w:p>
            <w:pPr>
              <w:jc w:val="right"/>
              <w:ind w:right="220"/>
              <w:spacing w:after="0"/>
              <w:rPr>
                <w:sz w:val="20"/>
                <w:szCs w:val="20"/>
                <w:color w:val="auto"/>
              </w:rPr>
            </w:pPr>
            <w:r>
              <w:rPr>
                <w:rFonts w:ascii="Arial" w:cs="Arial" w:eastAsia="Arial" w:hAnsi="Arial"/>
                <w:sz w:val="14"/>
                <w:szCs w:val="14"/>
                <w:b w:val="1"/>
                <w:bCs w:val="1"/>
                <w:color w:val="auto"/>
                <w:w w:val="94"/>
              </w:rPr>
              <w:t>Container</w:t>
            </w: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60" w:type="dxa"/>
            <w:vAlign w:val="bottom"/>
            <w:gridSpan w:val="2"/>
          </w:tcPr>
          <w:p>
            <w:pPr>
              <w:jc w:val="right"/>
              <w:ind w:right="340"/>
              <w:spacing w:after="0"/>
              <w:rPr>
                <w:sz w:val="20"/>
                <w:szCs w:val="20"/>
                <w:color w:val="auto"/>
              </w:rPr>
            </w:pPr>
            <w:r>
              <w:rPr>
                <w:rFonts w:ascii="Arial" w:cs="Arial" w:eastAsia="Arial" w:hAnsi="Arial"/>
                <w:sz w:val="14"/>
                <w:szCs w:val="14"/>
                <w:b w:val="1"/>
                <w:bCs w:val="1"/>
                <w:color w:val="auto"/>
                <w:w w:val="91"/>
              </w:rPr>
              <w:t>Container</w:t>
            </w:r>
          </w:p>
        </w:tc>
        <w:tc>
          <w:tcPr>
            <w:tcW w:w="20" w:type="dxa"/>
            <w:vAlign w:val="bottom"/>
          </w:tcPr>
          <w:p>
            <w:pPr>
              <w:spacing w:after="0"/>
              <w:rPr>
                <w:sz w:val="14"/>
                <w:szCs w:val="14"/>
                <w:color w:val="auto"/>
              </w:rPr>
            </w:pPr>
          </w:p>
        </w:tc>
        <w:tc>
          <w:tcPr>
            <w:tcW w:w="860" w:type="dxa"/>
            <w:vAlign w:val="bottom"/>
            <w:gridSpan w:val="3"/>
          </w:tcPr>
          <w:p>
            <w:pPr>
              <w:spacing w:after="0"/>
              <w:rPr>
                <w:sz w:val="20"/>
                <w:szCs w:val="20"/>
                <w:color w:val="auto"/>
              </w:rPr>
            </w:pPr>
            <w:r>
              <w:rPr>
                <w:rFonts w:ascii="Arial" w:cs="Arial" w:eastAsia="Arial" w:hAnsi="Arial"/>
                <w:sz w:val="14"/>
                <w:szCs w:val="14"/>
                <w:b w:val="1"/>
                <w:bCs w:val="1"/>
                <w:color w:val="auto"/>
              </w:rPr>
              <w:t>Container</w:t>
            </w:r>
          </w:p>
        </w:tc>
        <w:tc>
          <w:tcPr>
            <w:tcW w:w="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6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Other</w:t>
            </w:r>
          </w:p>
        </w:tc>
        <w:tc>
          <w:tcPr>
            <w:tcW w:w="120" w:type="dxa"/>
            <w:vAlign w:val="bottom"/>
          </w:tcPr>
          <w:p>
            <w:pPr>
              <w:spacing w:after="0"/>
              <w:rPr>
                <w:sz w:val="14"/>
                <w:szCs w:val="14"/>
                <w:color w:val="auto"/>
              </w:rPr>
            </w:pPr>
          </w:p>
        </w:tc>
        <w:tc>
          <w:tcPr>
            <w:tcW w:w="980" w:type="dxa"/>
            <w:vAlign w:val="bottom"/>
            <w:gridSpan w:val="3"/>
            <w:vMerge w:val="restart"/>
          </w:tcPr>
          <w:p>
            <w:pPr>
              <w:ind w:left="20"/>
              <w:spacing w:after="0"/>
              <w:rPr>
                <w:sz w:val="20"/>
                <w:szCs w:val="20"/>
                <w:color w:val="auto"/>
              </w:rPr>
            </w:pPr>
            <w:r>
              <w:rPr>
                <w:rFonts w:ascii="Arial" w:cs="Arial" w:eastAsia="Arial" w:hAnsi="Arial"/>
                <w:sz w:val="14"/>
                <w:szCs w:val="14"/>
                <w:b w:val="1"/>
                <w:bCs w:val="1"/>
                <w:color w:val="auto"/>
              </w:rPr>
              <w:t>Eliminations</w:t>
            </w:r>
          </w:p>
        </w:tc>
        <w:tc>
          <w:tcPr>
            <w:tcW w:w="1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80" w:type="dxa"/>
            <w:vAlign w:val="bottom"/>
            <w:gridSpan w:val="2"/>
            <w:vMerge w:val="restart"/>
          </w:tcPr>
          <w:p>
            <w:pPr>
              <w:ind w:left="120"/>
              <w:spacing w:after="0"/>
              <w:rPr>
                <w:sz w:val="20"/>
                <w:szCs w:val="20"/>
                <w:color w:val="auto"/>
              </w:rPr>
            </w:pPr>
            <w:r>
              <w:rPr>
                <w:rFonts w:ascii="Arial" w:cs="Arial" w:eastAsia="Arial" w:hAnsi="Arial"/>
                <w:sz w:val="14"/>
                <w:szCs w:val="14"/>
                <w:b w:val="1"/>
                <w:bCs w:val="1"/>
                <w:color w:val="auto"/>
              </w:rPr>
              <w:t>Totals</w:t>
            </w:r>
          </w:p>
        </w:tc>
        <w:tc>
          <w:tcPr>
            <w:tcW w:w="0" w:type="dxa"/>
            <w:vAlign w:val="bottom"/>
          </w:tcPr>
          <w:p>
            <w:pPr>
              <w:spacing w:after="0"/>
              <w:rPr>
                <w:sz w:val="1"/>
                <w:szCs w:val="1"/>
                <w:color w:val="auto"/>
              </w:rPr>
            </w:pPr>
          </w:p>
        </w:tc>
      </w:tr>
      <w:tr>
        <w:trPr>
          <w:trHeight w:val="178"/>
        </w:trPr>
        <w:tc>
          <w:tcPr>
            <w:tcW w:w="300" w:type="dxa"/>
            <w:vAlign w:val="bottom"/>
            <w:tcBorders>
              <w:bottom w:val="single" w:sz="8" w:color="auto"/>
            </w:tcBorders>
            <w:vMerge w:val="continue"/>
          </w:tcPr>
          <w:p>
            <w:pPr>
              <w:spacing w:after="0"/>
              <w:rPr>
                <w:sz w:val="15"/>
                <w:szCs w:val="15"/>
                <w:color w:val="auto"/>
              </w:rPr>
            </w:pPr>
          </w:p>
        </w:tc>
        <w:tc>
          <w:tcPr>
            <w:tcW w:w="47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940" w:type="dxa"/>
            <w:vAlign w:val="bottom"/>
            <w:gridSpan w:val="4"/>
          </w:tcPr>
          <w:p>
            <w:pPr>
              <w:ind w:left="60"/>
              <w:spacing w:after="0" w:line="158" w:lineRule="exact"/>
              <w:rPr>
                <w:sz w:val="20"/>
                <w:szCs w:val="20"/>
                <w:color w:val="auto"/>
              </w:rPr>
            </w:pPr>
            <w:r>
              <w:rPr>
                <w:rFonts w:ascii="Arial" w:cs="Arial" w:eastAsia="Arial" w:hAnsi="Arial"/>
                <w:sz w:val="14"/>
                <w:szCs w:val="14"/>
                <w:b w:val="1"/>
                <w:bCs w:val="1"/>
                <w:color w:val="auto"/>
              </w:rPr>
              <w:t>Ownership</w:t>
            </w:r>
          </w:p>
        </w:tc>
        <w:tc>
          <w:tcPr>
            <w:tcW w:w="1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040" w:type="dxa"/>
            <w:vAlign w:val="bottom"/>
            <w:gridSpan w:val="3"/>
          </w:tcPr>
          <w:p>
            <w:pPr>
              <w:jc w:val="right"/>
              <w:ind w:right="240"/>
              <w:spacing w:after="0" w:line="158" w:lineRule="exact"/>
              <w:rPr>
                <w:sz w:val="20"/>
                <w:szCs w:val="20"/>
                <w:color w:val="auto"/>
              </w:rPr>
            </w:pPr>
            <w:r>
              <w:rPr>
                <w:rFonts w:ascii="Arial" w:cs="Arial" w:eastAsia="Arial" w:hAnsi="Arial"/>
                <w:sz w:val="14"/>
                <w:szCs w:val="14"/>
                <w:b w:val="1"/>
                <w:bCs w:val="1"/>
                <w:color w:val="auto"/>
                <w:w w:val="91"/>
              </w:rPr>
              <w:t>Management</w:t>
            </w:r>
          </w:p>
        </w:tc>
        <w:tc>
          <w:tcPr>
            <w:tcW w:w="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80" w:type="dxa"/>
            <w:vAlign w:val="bottom"/>
            <w:gridSpan w:val="2"/>
          </w:tcPr>
          <w:p>
            <w:pPr>
              <w:ind w:left="40"/>
              <w:spacing w:after="0" w:line="158" w:lineRule="exact"/>
              <w:rPr>
                <w:sz w:val="20"/>
                <w:szCs w:val="20"/>
                <w:color w:val="auto"/>
              </w:rPr>
            </w:pPr>
            <w:r>
              <w:rPr>
                <w:rFonts w:ascii="Arial" w:cs="Arial" w:eastAsia="Arial" w:hAnsi="Arial"/>
                <w:sz w:val="14"/>
                <w:szCs w:val="14"/>
                <w:b w:val="1"/>
                <w:bCs w:val="1"/>
                <w:color w:val="auto"/>
              </w:rPr>
              <w:t>Resale</w:t>
            </w:r>
          </w:p>
        </w:tc>
        <w:tc>
          <w:tcPr>
            <w:tcW w:w="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660" w:type="dxa"/>
            <w:vAlign w:val="bottom"/>
            <w:gridSpan w:val="2"/>
            <w:vMerge w:val="continue"/>
          </w:tcPr>
          <w:p>
            <w:pPr>
              <w:spacing w:after="0"/>
              <w:rPr>
                <w:sz w:val="15"/>
                <w:szCs w:val="15"/>
                <w:color w:val="auto"/>
              </w:rPr>
            </w:pPr>
          </w:p>
        </w:tc>
        <w:tc>
          <w:tcPr>
            <w:tcW w:w="120" w:type="dxa"/>
            <w:vAlign w:val="bottom"/>
          </w:tcPr>
          <w:p>
            <w:pPr>
              <w:spacing w:after="0"/>
              <w:rPr>
                <w:sz w:val="15"/>
                <w:szCs w:val="15"/>
                <w:color w:val="auto"/>
              </w:rPr>
            </w:pPr>
          </w:p>
        </w:tc>
        <w:tc>
          <w:tcPr>
            <w:tcW w:w="980" w:type="dxa"/>
            <w:vAlign w:val="bottom"/>
            <w:gridSpan w:val="3"/>
            <w:vMerge w:val="continue"/>
          </w:tcPr>
          <w:p>
            <w:pPr>
              <w:spacing w:after="0"/>
              <w:rPr>
                <w:sz w:val="15"/>
                <w:szCs w:val="15"/>
                <w:color w:val="auto"/>
              </w:rPr>
            </w:pPr>
          </w:p>
        </w:tc>
        <w:tc>
          <w:tcPr>
            <w:tcW w:w="1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80" w:type="dxa"/>
            <w:vAlign w:val="bottom"/>
            <w:gridSpan w:val="2"/>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03"/>
        </w:trPr>
        <w:tc>
          <w:tcPr>
            <w:tcW w:w="508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Lease rental income - owned fleet</w:t>
            </w:r>
          </w:p>
        </w:tc>
        <w:tc>
          <w:tcPr>
            <w:tcW w:w="20" w:type="dxa"/>
            <w:vAlign w:val="bottom"/>
            <w:tcBorders>
              <w:top w:val="single" w:sz="8" w:color="CCEEFF"/>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top w:val="single" w:sz="8" w:color="auto"/>
              <w:right w:val="single" w:sz="8" w:color="CCEEFF"/>
            </w:tcBorders>
            <w:gridSpan w:val="2"/>
            <w:shd w:val="clear" w:color="auto" w:fill="CCEEFF"/>
          </w:tcPr>
          <w:p>
            <w:pPr>
              <w:jc w:val="right"/>
              <w:spacing w:after="0" w:line="203" w:lineRule="exact"/>
              <w:rPr>
                <w:sz w:val="20"/>
                <w:szCs w:val="20"/>
                <w:color w:val="auto"/>
              </w:rPr>
            </w:pPr>
            <w:r>
              <w:rPr>
                <w:rFonts w:ascii="Arial" w:cs="Arial" w:eastAsia="Arial" w:hAnsi="Arial"/>
                <w:sz w:val="18"/>
                <w:szCs w:val="18"/>
                <w:color w:val="auto"/>
              </w:rPr>
              <w:t>516,307</w:t>
            </w:r>
          </w:p>
        </w:tc>
        <w:tc>
          <w:tcPr>
            <w:tcW w:w="1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4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top w:val="single" w:sz="8" w:color="auto"/>
              <w:right w:val="single" w:sz="8" w:color="CCEEFF"/>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1,552</w:t>
            </w:r>
          </w:p>
        </w:tc>
        <w:tc>
          <w:tcPr>
            <w:tcW w:w="240" w:type="dxa"/>
            <w:vAlign w:val="bottom"/>
            <w:tcBorders>
              <w:top w:val="single" w:sz="8" w:color="CCEEFF"/>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5"/>
                <w:szCs w:val="15"/>
                <w:color w:val="auto"/>
                <w:w w:val="71"/>
              </w:rPr>
              <w:t>$</w:t>
            </w:r>
          </w:p>
        </w:tc>
        <w:tc>
          <w:tcPr>
            <w:tcW w:w="560" w:type="dxa"/>
            <w:vAlign w:val="bottom"/>
            <w:tcBorders>
              <w:top w:val="single" w:sz="8" w:color="auto"/>
              <w:right w:val="single" w:sz="8" w:color="CCEEFF"/>
            </w:tcBorders>
            <w:shd w:val="clear" w:color="auto" w:fill="CCEEFF"/>
          </w:tcPr>
          <w:p>
            <w:pPr>
              <w:ind w:left="280"/>
              <w:spacing w:after="0" w:line="203" w:lineRule="exact"/>
              <w:rPr>
                <w:sz w:val="20"/>
                <w:szCs w:val="20"/>
                <w:color w:val="auto"/>
              </w:rPr>
            </w:pPr>
            <w:r>
              <w:rPr>
                <w:rFonts w:ascii="Arial" w:cs="Arial" w:eastAsia="Arial" w:hAnsi="Arial"/>
                <w:sz w:val="18"/>
                <w:szCs w:val="18"/>
                <w:color w:val="auto"/>
              </w:rPr>
              <w:t>—</w:t>
            </w:r>
          </w:p>
        </w:tc>
        <w:tc>
          <w:tcPr>
            <w:tcW w:w="220" w:type="dxa"/>
            <w:vAlign w:val="bottom"/>
            <w:tcBorders>
              <w:top w:val="single" w:sz="8" w:color="CCEEFF"/>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ind w:left="20"/>
              <w:spacing w:after="0"/>
              <w:rPr>
                <w:sz w:val="20"/>
                <w:szCs w:val="20"/>
                <w:color w:val="auto"/>
              </w:rPr>
            </w:pPr>
            <w:r>
              <w:rPr>
                <w:rFonts w:ascii="Arial" w:cs="Arial" w:eastAsia="Arial" w:hAnsi="Arial"/>
                <w:sz w:val="15"/>
                <w:szCs w:val="15"/>
                <w:color w:val="auto"/>
                <w:w w:val="71"/>
              </w:rPr>
              <w:t>$</w:t>
            </w:r>
          </w:p>
        </w:tc>
        <w:tc>
          <w:tcPr>
            <w:tcW w:w="480" w:type="dxa"/>
            <w:vAlign w:val="bottom"/>
            <w:tcBorders>
              <w:top w:val="single" w:sz="8" w:color="auto"/>
            </w:tcBorders>
            <w:shd w:val="clear" w:color="auto" w:fill="CCEEFF"/>
          </w:tcPr>
          <w:p>
            <w:pPr>
              <w:jc w:val="right"/>
              <w:ind w:right="11"/>
              <w:spacing w:after="0" w:line="203" w:lineRule="exact"/>
              <w:rPr>
                <w:sz w:val="20"/>
                <w:szCs w:val="20"/>
                <w:color w:val="auto"/>
              </w:rPr>
            </w:pPr>
            <w:r>
              <w:rPr>
                <w:rFonts w:ascii="Arial" w:cs="Arial" w:eastAsia="Arial" w:hAnsi="Arial"/>
                <w:sz w:val="18"/>
                <w:szCs w:val="18"/>
                <w:color w:val="auto"/>
              </w:rPr>
              <w:t>—</w:t>
            </w:r>
          </w:p>
        </w:tc>
        <w:tc>
          <w:tcPr>
            <w:tcW w:w="18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auto"/>
            </w:tcBorders>
            <w:shd w:val="clear" w:color="auto" w:fill="CCEEFF"/>
          </w:tcPr>
          <w:p>
            <w:pPr>
              <w:spacing w:after="0" w:line="203" w:lineRule="exact"/>
              <w:rPr>
                <w:sz w:val="20"/>
                <w:szCs w:val="20"/>
                <w:color w:val="auto"/>
              </w:rPr>
            </w:pPr>
            <w:r>
              <w:rPr>
                <w:rFonts w:ascii="Arial" w:cs="Arial" w:eastAsia="Arial" w:hAnsi="Arial"/>
                <w:sz w:val="18"/>
                <w:szCs w:val="18"/>
                <w:color w:val="auto"/>
              </w:rPr>
              <w:t>$</w:t>
            </w:r>
          </w:p>
        </w:tc>
        <w:tc>
          <w:tcPr>
            <w:tcW w:w="62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w:t>
            </w:r>
          </w:p>
        </w:tc>
        <w:tc>
          <w:tcPr>
            <w:tcW w:w="18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517,859</w:t>
            </w:r>
          </w:p>
        </w:tc>
        <w:tc>
          <w:tcPr>
            <w:tcW w:w="6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5080" w:type="dxa"/>
            <w:vAlign w:val="bottom"/>
            <w:gridSpan w:val="2"/>
          </w:tcPr>
          <w:p>
            <w:pPr>
              <w:spacing w:after="0"/>
              <w:rPr>
                <w:sz w:val="20"/>
                <w:szCs w:val="20"/>
                <w:color w:val="auto"/>
              </w:rPr>
            </w:pPr>
            <w:r>
              <w:rPr>
                <w:rFonts w:ascii="Arial" w:cs="Arial" w:eastAsia="Arial" w:hAnsi="Arial"/>
                <w:sz w:val="18"/>
                <w:szCs w:val="18"/>
                <w:color w:val="auto"/>
              </w:rPr>
              <w:t>Lease rental income - managed fleet</w:t>
            </w:r>
          </w:p>
        </w:tc>
        <w:tc>
          <w:tcPr>
            <w:tcW w:w="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60" w:type="dxa"/>
            <w:vAlign w:val="bottom"/>
            <w:gridSpan w:val="2"/>
          </w:tcPr>
          <w:p>
            <w:pPr>
              <w:jc w:val="right"/>
              <w:ind w:right="240"/>
              <w:spacing w:after="0"/>
              <w:rPr>
                <w:sz w:val="20"/>
                <w:szCs w:val="20"/>
                <w:color w:val="auto"/>
              </w:rPr>
            </w:pPr>
            <w:r>
              <w:rPr>
                <w:rFonts w:ascii="Arial" w:cs="Arial" w:eastAsia="Arial" w:hAnsi="Arial"/>
                <w:sz w:val="18"/>
                <w:szCs w:val="18"/>
                <w:color w:val="auto"/>
              </w:rPr>
              <w:t>101,901</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80" w:type="dxa"/>
            <w:vAlign w:val="bottom"/>
            <w:gridSpan w:val="2"/>
          </w:tcPr>
          <w:p>
            <w:pPr>
              <w:ind w:left="28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60" w:type="dxa"/>
            <w:vAlign w:val="bottom"/>
            <w:gridSpan w:val="2"/>
          </w:tcPr>
          <w:p>
            <w:pPr>
              <w:jc w:val="right"/>
              <w:ind w:right="28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00" w:type="dxa"/>
            <w:vAlign w:val="bottom"/>
            <w:gridSpan w:val="2"/>
          </w:tcPr>
          <w:p>
            <w:pPr>
              <w:jc w:val="right"/>
              <w:ind w:right="181"/>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gridSpan w:val="2"/>
          </w:tcPr>
          <w:p>
            <w:pPr>
              <w:jc w:val="right"/>
              <w:ind w:right="60"/>
              <w:spacing w:after="0"/>
              <w:rPr>
                <w:sz w:val="20"/>
                <w:szCs w:val="20"/>
                <w:color w:val="auto"/>
              </w:rPr>
            </w:pPr>
            <w:r>
              <w:rPr>
                <w:rFonts w:ascii="Arial" w:cs="Arial" w:eastAsia="Arial" w:hAnsi="Arial"/>
                <w:sz w:val="18"/>
                <w:szCs w:val="18"/>
                <w:color w:val="auto"/>
              </w:rPr>
              <w:t>101,901</w:t>
            </w:r>
          </w:p>
        </w:tc>
        <w:tc>
          <w:tcPr>
            <w:tcW w:w="0" w:type="dxa"/>
            <w:vAlign w:val="bottom"/>
          </w:tcPr>
          <w:p>
            <w:pPr>
              <w:spacing w:after="0"/>
              <w:rPr>
                <w:sz w:val="1"/>
                <w:szCs w:val="1"/>
                <w:color w:val="auto"/>
              </w:rPr>
            </w:pPr>
          </w:p>
        </w:tc>
      </w:tr>
      <w:tr>
        <w:trPr>
          <w:trHeight w:val="27"/>
        </w:trPr>
        <w:tc>
          <w:tcPr>
            <w:tcW w:w="300" w:type="dxa"/>
            <w:vAlign w:val="bottom"/>
          </w:tcPr>
          <w:p>
            <w:pPr>
              <w:spacing w:after="0"/>
              <w:rPr>
                <w:sz w:val="2"/>
                <w:szCs w:val="2"/>
                <w:color w:val="auto"/>
              </w:rPr>
            </w:pPr>
          </w:p>
        </w:tc>
        <w:tc>
          <w:tcPr>
            <w:tcW w:w="4780" w:type="dxa"/>
            <w:vAlign w:val="bottom"/>
          </w:tcPr>
          <w:p>
            <w:pPr>
              <w:spacing w:after="0"/>
              <w:rPr>
                <w:sz w:val="2"/>
                <w:szCs w:val="2"/>
                <w:color w:val="auto"/>
              </w:rPr>
            </w:pPr>
          </w:p>
        </w:tc>
        <w:tc>
          <w:tcPr>
            <w:tcW w:w="20" w:type="dxa"/>
            <w:vAlign w:val="bottom"/>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40" w:type="dxa"/>
            <w:vAlign w:val="bottom"/>
            <w:tcBorders>
              <w:right w:val="single" w:sz="8" w:color="auto"/>
            </w:tcBorders>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20" w:type="dxa"/>
            <w:vAlign w:val="bottom"/>
            <w:tcBorders>
              <w:right w:val="single" w:sz="8" w:color="auto"/>
            </w:tcBorders>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560" w:type="dxa"/>
            <w:vAlign w:val="bottom"/>
            <w:tcBorders>
              <w:right w:val="single" w:sz="8" w:color="auto"/>
            </w:tcBorders>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12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1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5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Lease rental income</w:t>
            </w:r>
          </w:p>
        </w:tc>
        <w:tc>
          <w:tcPr>
            <w:tcW w:w="12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w w:val="99"/>
              </w:rPr>
              <w:t>$</w:t>
            </w:r>
          </w:p>
        </w:tc>
        <w:tc>
          <w:tcPr>
            <w:tcW w:w="8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516,307</w:t>
            </w:r>
          </w:p>
        </w:tc>
        <w:tc>
          <w:tcPr>
            <w:tcW w:w="22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103,453</w:t>
            </w:r>
          </w:p>
        </w:tc>
        <w:tc>
          <w:tcPr>
            <w:tcW w:w="100" w:type="dxa"/>
            <w:vAlign w:val="bottom"/>
            <w:gridSpan w:val="2"/>
            <w:shd w:val="clear" w:color="auto" w:fill="CCEEFF"/>
          </w:tcPr>
          <w:p>
            <w:pPr>
              <w:ind w:left="20"/>
              <w:spacing w:after="0"/>
              <w:rPr>
                <w:sz w:val="20"/>
                <w:szCs w:val="20"/>
                <w:color w:val="auto"/>
              </w:rPr>
            </w:pPr>
            <w:r>
              <w:rPr>
                <w:rFonts w:ascii="Arial" w:cs="Arial" w:eastAsia="Arial" w:hAnsi="Arial"/>
                <w:sz w:val="15"/>
                <w:szCs w:val="15"/>
                <w:color w:val="auto"/>
                <w:w w:val="71"/>
              </w:rPr>
              <w:t>$</w:t>
            </w:r>
          </w:p>
        </w:tc>
        <w:tc>
          <w:tcPr>
            <w:tcW w:w="7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w:t>
            </w:r>
          </w:p>
        </w:tc>
        <w:tc>
          <w:tcPr>
            <w:tcW w:w="120" w:type="dxa"/>
            <w:vAlign w:val="bottom"/>
            <w:gridSpan w:val="2"/>
            <w:shd w:val="clear" w:color="auto" w:fill="CCEEFF"/>
          </w:tcPr>
          <w:p>
            <w:pPr>
              <w:ind w:left="40"/>
              <w:spacing w:after="0"/>
              <w:rPr>
                <w:sz w:val="20"/>
                <w:szCs w:val="20"/>
                <w:color w:val="auto"/>
              </w:rPr>
            </w:pPr>
            <w:r>
              <w:rPr>
                <w:rFonts w:ascii="Arial" w:cs="Arial" w:eastAsia="Arial" w:hAnsi="Arial"/>
                <w:sz w:val="15"/>
                <w:szCs w:val="15"/>
                <w:color w:val="auto"/>
                <w:w w:val="71"/>
              </w:rPr>
              <w:t>$</w:t>
            </w:r>
          </w:p>
        </w:tc>
        <w:tc>
          <w:tcPr>
            <w:tcW w:w="6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30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w:t>
            </w:r>
          </w:p>
        </w:tc>
        <w:tc>
          <w:tcPr>
            <w:tcW w:w="800" w:type="dxa"/>
            <w:vAlign w:val="bottom"/>
            <w:gridSpan w:val="2"/>
            <w:shd w:val="clear" w:color="auto" w:fill="CCEEFF"/>
          </w:tcPr>
          <w:p>
            <w:pPr>
              <w:jc w:val="right"/>
              <w:ind w:right="181"/>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619,760</w:t>
            </w:r>
          </w:p>
        </w:tc>
        <w:tc>
          <w:tcPr>
            <w:tcW w:w="0" w:type="dxa"/>
            <w:vAlign w:val="bottom"/>
          </w:tcPr>
          <w:p>
            <w:pPr>
              <w:spacing w:after="0"/>
              <w:rPr>
                <w:sz w:val="1"/>
                <w:szCs w:val="1"/>
                <w:color w:val="auto"/>
              </w:rPr>
            </w:pPr>
          </w:p>
        </w:tc>
      </w:tr>
      <w:tr>
        <w:trPr>
          <w:trHeight w:val="20"/>
        </w:trPr>
        <w:tc>
          <w:tcPr>
            <w:tcW w:w="5080" w:type="dxa"/>
            <w:vAlign w:val="bottom"/>
            <w:gridSpan w:val="2"/>
            <w:vMerge w:val="restart"/>
          </w:tcPr>
          <w:p>
            <w:pPr>
              <w:spacing w:after="0"/>
              <w:rPr>
                <w:sz w:val="20"/>
                <w:szCs w:val="20"/>
                <w:color w:val="auto"/>
              </w:rPr>
            </w:pPr>
            <w:r>
              <w:rPr>
                <w:rFonts w:ascii="Arial" w:cs="Arial" w:eastAsia="Arial" w:hAnsi="Arial"/>
                <w:sz w:val="18"/>
                <w:szCs w:val="18"/>
                <w:color w:val="auto"/>
              </w:rPr>
              <w:t>Management fees - non-leasing from external customers</w:t>
            </w: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080" w:type="dxa"/>
            <w:vAlign w:val="bottom"/>
            <w:gridSpan w:val="2"/>
            <w:vMerge w:val="continue"/>
          </w:tcPr>
          <w:p>
            <w:pPr>
              <w:spacing w:after="0"/>
              <w:rPr>
                <w:sz w:val="18"/>
                <w:szCs w:val="18"/>
                <w:color w:val="auto"/>
              </w:rPr>
            </w:pPr>
          </w:p>
        </w:tc>
        <w:tc>
          <w:tcPr>
            <w:tcW w:w="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219</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1,646</w:t>
            </w:r>
          </w:p>
        </w:tc>
        <w:tc>
          <w:tcPr>
            <w:tcW w:w="2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Borders>
              <w:bottom w:val="single" w:sz="8" w:color="auto"/>
            </w:tcBorders>
          </w:tcPr>
          <w:p>
            <w:pPr>
              <w:spacing w:after="0"/>
              <w:rPr>
                <w:sz w:val="20"/>
                <w:szCs w:val="20"/>
                <w:color w:val="auto"/>
              </w:rPr>
            </w:pPr>
            <w:r>
              <w:rPr>
                <w:rFonts w:ascii="Arial" w:cs="Arial" w:eastAsia="Arial" w:hAnsi="Arial"/>
                <w:sz w:val="15"/>
                <w:szCs w:val="15"/>
                <w:color w:val="auto"/>
                <w:w w:val="71"/>
              </w:rPr>
              <w:t>$</w:t>
            </w:r>
          </w:p>
        </w:tc>
        <w:tc>
          <w:tcPr>
            <w:tcW w:w="560" w:type="dxa"/>
            <w:vAlign w:val="bottom"/>
            <w:tcBorders>
              <w:bottom w:val="single" w:sz="8" w:color="auto"/>
            </w:tcBorders>
          </w:tcPr>
          <w:p>
            <w:pPr>
              <w:jc w:val="center"/>
              <w:ind w:left="51"/>
              <w:spacing w:after="0"/>
              <w:rPr>
                <w:sz w:val="20"/>
                <w:szCs w:val="20"/>
                <w:color w:val="auto"/>
              </w:rPr>
            </w:pPr>
            <w:r>
              <w:rPr>
                <w:rFonts w:ascii="Arial" w:cs="Arial" w:eastAsia="Arial" w:hAnsi="Arial"/>
                <w:sz w:val="18"/>
                <w:szCs w:val="18"/>
                <w:color w:val="auto"/>
                <w:w w:val="93"/>
              </w:rPr>
              <w:t>5,725</w:t>
            </w:r>
          </w:p>
        </w:tc>
        <w:tc>
          <w:tcPr>
            <w:tcW w:w="2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Borders>
              <w:bottom w:val="single" w:sz="8" w:color="auto"/>
            </w:tcBorders>
          </w:tcPr>
          <w:p>
            <w:pPr>
              <w:ind w:left="20"/>
              <w:spacing w:after="0"/>
              <w:rPr>
                <w:sz w:val="20"/>
                <w:szCs w:val="20"/>
                <w:color w:val="auto"/>
              </w:rPr>
            </w:pPr>
            <w:r>
              <w:rPr>
                <w:rFonts w:ascii="Arial" w:cs="Arial" w:eastAsia="Arial" w:hAnsi="Arial"/>
                <w:sz w:val="15"/>
                <w:szCs w:val="15"/>
                <w:color w:val="auto"/>
                <w:w w:val="71"/>
              </w:rPr>
              <w:t>$</w:t>
            </w:r>
          </w:p>
        </w:tc>
        <w:tc>
          <w:tcPr>
            <w:tcW w:w="48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7,590</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7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Inter-segment management fees</w:t>
            </w:r>
          </w:p>
        </w:tc>
        <w:tc>
          <w:tcPr>
            <w:tcW w:w="12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w w:val="99"/>
              </w:rPr>
              <w:t>$</w:t>
            </w:r>
          </w:p>
        </w:tc>
        <w:tc>
          <w:tcPr>
            <w:tcW w:w="86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22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48,215</w:t>
            </w:r>
          </w:p>
        </w:tc>
        <w:tc>
          <w:tcPr>
            <w:tcW w:w="880" w:type="dxa"/>
            <w:vAlign w:val="bottom"/>
            <w:gridSpan w:val="4"/>
            <w:shd w:val="clear" w:color="auto" w:fill="CCEEFF"/>
          </w:tcPr>
          <w:p>
            <w:pPr>
              <w:ind w:left="20"/>
              <w:spacing w:after="0"/>
              <w:rPr>
                <w:sz w:val="20"/>
                <w:szCs w:val="20"/>
                <w:color w:val="auto"/>
              </w:rPr>
            </w:pPr>
            <w:r>
              <w:rPr>
                <w:rFonts w:ascii="Arial" w:cs="Arial" w:eastAsia="Arial" w:hAnsi="Arial"/>
                <w:sz w:val="18"/>
                <w:szCs w:val="18"/>
                <w:color w:val="auto"/>
              </w:rPr>
              <w:t>$ 12,323</w:t>
            </w:r>
          </w:p>
        </w:tc>
        <w:tc>
          <w:tcPr>
            <w:tcW w:w="120" w:type="dxa"/>
            <w:vAlign w:val="bottom"/>
            <w:gridSpan w:val="2"/>
            <w:shd w:val="clear" w:color="auto" w:fill="CCEEFF"/>
          </w:tcPr>
          <w:p>
            <w:pPr>
              <w:ind w:left="40"/>
              <w:spacing w:after="0"/>
              <w:rPr>
                <w:sz w:val="20"/>
                <w:szCs w:val="20"/>
                <w:color w:val="auto"/>
              </w:rPr>
            </w:pPr>
            <w:r>
              <w:rPr>
                <w:rFonts w:ascii="Arial" w:cs="Arial" w:eastAsia="Arial" w:hAnsi="Arial"/>
                <w:sz w:val="15"/>
                <w:szCs w:val="15"/>
                <w:color w:val="auto"/>
                <w:w w:val="71"/>
              </w:rPr>
              <w:t>$</w:t>
            </w:r>
          </w:p>
        </w:tc>
        <w:tc>
          <w:tcPr>
            <w:tcW w:w="6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30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w:t>
            </w:r>
          </w:p>
        </w:tc>
        <w:tc>
          <w:tcPr>
            <w:tcW w:w="80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w w:val="98"/>
              </w:rPr>
              <w:t>(60,538)</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ind w:left="4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5080" w:type="dxa"/>
            <w:vAlign w:val="bottom"/>
            <w:gridSpan w:val="2"/>
            <w:vMerge w:val="restart"/>
          </w:tcPr>
          <w:p>
            <w:pPr>
              <w:spacing w:after="0"/>
              <w:rPr>
                <w:sz w:val="20"/>
                <w:szCs w:val="20"/>
                <w:color w:val="auto"/>
              </w:rPr>
            </w:pPr>
            <w:r>
              <w:rPr>
                <w:rFonts w:ascii="Arial" w:cs="Arial" w:eastAsia="Arial" w:hAnsi="Arial"/>
                <w:sz w:val="18"/>
                <w:szCs w:val="18"/>
                <w:color w:val="auto"/>
              </w:rPr>
              <w:t>Trading container margin</w:t>
            </w: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080" w:type="dxa"/>
            <w:vAlign w:val="bottom"/>
            <w:gridSpan w:val="2"/>
            <w:vMerge w:val="continue"/>
          </w:tcPr>
          <w:p>
            <w:pPr>
              <w:spacing w:after="0"/>
              <w:rPr>
                <w:sz w:val="18"/>
                <w:szCs w:val="18"/>
                <w:color w:val="auto"/>
              </w:rPr>
            </w:pPr>
          </w:p>
        </w:tc>
        <w:tc>
          <w:tcPr>
            <w:tcW w:w="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2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Borders>
              <w:bottom w:val="single" w:sz="8" w:color="auto"/>
            </w:tcBorders>
          </w:tcPr>
          <w:p>
            <w:pPr>
              <w:spacing w:after="0"/>
              <w:rPr>
                <w:sz w:val="20"/>
                <w:szCs w:val="20"/>
                <w:color w:val="auto"/>
              </w:rPr>
            </w:pPr>
            <w:r>
              <w:rPr>
                <w:rFonts w:ascii="Arial" w:cs="Arial" w:eastAsia="Arial" w:hAnsi="Arial"/>
                <w:sz w:val="15"/>
                <w:szCs w:val="15"/>
                <w:color w:val="auto"/>
                <w:w w:val="71"/>
              </w:rPr>
              <w:t>$</w:t>
            </w:r>
          </w:p>
        </w:tc>
        <w:tc>
          <w:tcPr>
            <w:tcW w:w="560" w:type="dxa"/>
            <w:vAlign w:val="bottom"/>
            <w:tcBorders>
              <w:bottom w:val="single" w:sz="8" w:color="auto"/>
            </w:tcBorders>
          </w:tcPr>
          <w:p>
            <w:pPr>
              <w:jc w:val="center"/>
              <w:ind w:left="51"/>
              <w:spacing w:after="0"/>
              <w:rPr>
                <w:sz w:val="20"/>
                <w:szCs w:val="20"/>
                <w:color w:val="auto"/>
              </w:rPr>
            </w:pPr>
            <w:r>
              <w:rPr>
                <w:rFonts w:ascii="Arial" w:cs="Arial" w:eastAsia="Arial" w:hAnsi="Arial"/>
                <w:sz w:val="18"/>
                <w:szCs w:val="18"/>
                <w:color w:val="auto"/>
                <w:w w:val="93"/>
              </w:rPr>
              <w:t>7,398</w:t>
            </w:r>
          </w:p>
        </w:tc>
        <w:tc>
          <w:tcPr>
            <w:tcW w:w="2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Borders>
              <w:bottom w:val="single" w:sz="8" w:color="auto"/>
            </w:tcBorders>
          </w:tcPr>
          <w:p>
            <w:pPr>
              <w:ind w:left="20"/>
              <w:spacing w:after="0"/>
              <w:rPr>
                <w:sz w:val="20"/>
                <w:szCs w:val="20"/>
                <w:color w:val="auto"/>
              </w:rPr>
            </w:pPr>
            <w:r>
              <w:rPr>
                <w:rFonts w:ascii="Arial" w:cs="Arial" w:eastAsia="Arial" w:hAnsi="Arial"/>
                <w:sz w:val="15"/>
                <w:szCs w:val="15"/>
                <w:color w:val="auto"/>
                <w:w w:val="71"/>
              </w:rPr>
              <w:t>$</w:t>
            </w:r>
          </w:p>
        </w:tc>
        <w:tc>
          <w:tcPr>
            <w:tcW w:w="48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620" w:type="dxa"/>
            <w:vAlign w:val="bottom"/>
            <w:tcBorders>
              <w:bottom w:val="single" w:sz="8" w:color="auto"/>
            </w:tcBorders>
          </w:tcPr>
          <w:p>
            <w:pPr>
              <w:jc w:val="right"/>
              <w:ind w:right="50"/>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7,398</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7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Gain on sale of owned fleet containers, net</w:t>
            </w:r>
          </w:p>
        </w:tc>
        <w:tc>
          <w:tcPr>
            <w:tcW w:w="12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w w:val="99"/>
              </w:rPr>
              <w:t>$</w:t>
            </w:r>
          </w:p>
        </w:tc>
        <w:tc>
          <w:tcPr>
            <w:tcW w:w="8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21,397</w:t>
            </w:r>
          </w:p>
        </w:tc>
        <w:tc>
          <w:tcPr>
            <w:tcW w:w="22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100" w:type="dxa"/>
            <w:vAlign w:val="bottom"/>
            <w:gridSpan w:val="2"/>
            <w:shd w:val="clear" w:color="auto" w:fill="CCEEFF"/>
          </w:tcPr>
          <w:p>
            <w:pPr>
              <w:ind w:left="20"/>
              <w:spacing w:after="0"/>
              <w:rPr>
                <w:sz w:val="20"/>
                <w:szCs w:val="20"/>
                <w:color w:val="auto"/>
              </w:rPr>
            </w:pPr>
            <w:r>
              <w:rPr>
                <w:rFonts w:ascii="Arial" w:cs="Arial" w:eastAsia="Arial" w:hAnsi="Arial"/>
                <w:sz w:val="15"/>
                <w:szCs w:val="15"/>
                <w:color w:val="auto"/>
                <w:w w:val="71"/>
              </w:rPr>
              <w:t>$</w:t>
            </w:r>
          </w:p>
        </w:tc>
        <w:tc>
          <w:tcPr>
            <w:tcW w:w="7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w:t>
            </w:r>
          </w:p>
        </w:tc>
        <w:tc>
          <w:tcPr>
            <w:tcW w:w="120" w:type="dxa"/>
            <w:vAlign w:val="bottom"/>
            <w:gridSpan w:val="2"/>
            <w:shd w:val="clear" w:color="auto" w:fill="CCEEFF"/>
          </w:tcPr>
          <w:p>
            <w:pPr>
              <w:ind w:left="40"/>
              <w:spacing w:after="0"/>
              <w:rPr>
                <w:sz w:val="20"/>
                <w:szCs w:val="20"/>
                <w:color w:val="auto"/>
              </w:rPr>
            </w:pPr>
            <w:r>
              <w:rPr>
                <w:rFonts w:ascii="Arial" w:cs="Arial" w:eastAsia="Arial" w:hAnsi="Arial"/>
                <w:sz w:val="15"/>
                <w:szCs w:val="15"/>
                <w:color w:val="auto"/>
                <w:w w:val="71"/>
              </w:rPr>
              <w:t>$</w:t>
            </w:r>
          </w:p>
        </w:tc>
        <w:tc>
          <w:tcPr>
            <w:tcW w:w="6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30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w:t>
            </w:r>
          </w:p>
        </w:tc>
        <w:tc>
          <w:tcPr>
            <w:tcW w:w="800" w:type="dxa"/>
            <w:vAlign w:val="bottom"/>
            <w:gridSpan w:val="2"/>
            <w:shd w:val="clear" w:color="auto" w:fill="CCEEFF"/>
          </w:tcPr>
          <w:p>
            <w:pPr>
              <w:jc w:val="right"/>
              <w:ind w:right="241"/>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21,397</w:t>
            </w:r>
          </w:p>
        </w:tc>
        <w:tc>
          <w:tcPr>
            <w:tcW w:w="0" w:type="dxa"/>
            <w:vAlign w:val="bottom"/>
          </w:tcPr>
          <w:p>
            <w:pPr>
              <w:spacing w:after="0"/>
              <w:rPr>
                <w:sz w:val="1"/>
                <w:szCs w:val="1"/>
                <w:color w:val="auto"/>
              </w:rPr>
            </w:pPr>
          </w:p>
        </w:tc>
      </w:tr>
      <w:tr>
        <w:trPr>
          <w:trHeight w:val="20"/>
        </w:trPr>
        <w:tc>
          <w:tcPr>
            <w:tcW w:w="5080" w:type="dxa"/>
            <w:vAlign w:val="bottom"/>
            <w:gridSpan w:val="2"/>
            <w:vMerge w:val="restart"/>
          </w:tcPr>
          <w:p>
            <w:pPr>
              <w:spacing w:after="0"/>
              <w:rPr>
                <w:sz w:val="20"/>
                <w:szCs w:val="20"/>
                <w:color w:val="auto"/>
              </w:rPr>
            </w:pPr>
            <w:r>
              <w:rPr>
                <w:rFonts w:ascii="Arial" w:cs="Arial" w:eastAsia="Arial" w:hAnsi="Arial"/>
                <w:sz w:val="18"/>
                <w:szCs w:val="18"/>
                <w:color w:val="auto"/>
              </w:rPr>
              <w:t>Depreciation expense</w:t>
            </w: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080" w:type="dxa"/>
            <w:vAlign w:val="bottom"/>
            <w:gridSpan w:val="2"/>
            <w:vMerge w:val="continue"/>
          </w:tcPr>
          <w:p>
            <w:pPr>
              <w:spacing w:after="0"/>
              <w:rPr>
                <w:sz w:val="18"/>
                <w:szCs w:val="18"/>
                <w:color w:val="auto"/>
              </w:rPr>
            </w:pPr>
          </w:p>
        </w:tc>
        <w:tc>
          <w:tcPr>
            <w:tcW w:w="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266,832</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916</w:t>
            </w:r>
          </w:p>
        </w:tc>
        <w:tc>
          <w:tcPr>
            <w:tcW w:w="2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Borders>
              <w:bottom w:val="single" w:sz="8" w:color="auto"/>
            </w:tcBorders>
          </w:tcPr>
          <w:p>
            <w:pPr>
              <w:spacing w:after="0"/>
              <w:rPr>
                <w:sz w:val="20"/>
                <w:szCs w:val="20"/>
                <w:color w:val="auto"/>
              </w:rPr>
            </w:pPr>
            <w:r>
              <w:rPr>
                <w:rFonts w:ascii="Arial" w:cs="Arial" w:eastAsia="Arial" w:hAnsi="Arial"/>
                <w:sz w:val="15"/>
                <w:szCs w:val="15"/>
                <w:color w:val="auto"/>
                <w:w w:val="71"/>
              </w:rPr>
              <w:t>$</w:t>
            </w:r>
          </w:p>
        </w:tc>
        <w:tc>
          <w:tcPr>
            <w:tcW w:w="560" w:type="dxa"/>
            <w:vAlign w:val="bottom"/>
            <w:tcBorders>
              <w:bottom w:val="single" w:sz="8" w:color="auto"/>
            </w:tcBorders>
          </w:tcPr>
          <w:p>
            <w:pPr>
              <w:ind w:left="280"/>
              <w:spacing w:after="0"/>
              <w:rPr>
                <w:sz w:val="20"/>
                <w:szCs w:val="20"/>
                <w:color w:val="auto"/>
              </w:rPr>
            </w:pPr>
            <w:r>
              <w:rPr>
                <w:rFonts w:ascii="Arial" w:cs="Arial" w:eastAsia="Arial" w:hAnsi="Arial"/>
                <w:sz w:val="18"/>
                <w:szCs w:val="18"/>
                <w:color w:val="auto"/>
              </w:rPr>
              <w:t>—</w:t>
            </w:r>
          </w:p>
        </w:tc>
        <w:tc>
          <w:tcPr>
            <w:tcW w:w="2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Borders>
              <w:bottom w:val="single" w:sz="8" w:color="auto"/>
            </w:tcBorders>
          </w:tcPr>
          <w:p>
            <w:pPr>
              <w:ind w:left="20"/>
              <w:spacing w:after="0"/>
              <w:rPr>
                <w:sz w:val="20"/>
                <w:szCs w:val="20"/>
                <w:color w:val="auto"/>
              </w:rPr>
            </w:pPr>
            <w:r>
              <w:rPr>
                <w:rFonts w:ascii="Arial" w:cs="Arial" w:eastAsia="Arial" w:hAnsi="Arial"/>
                <w:sz w:val="15"/>
                <w:szCs w:val="15"/>
                <w:color w:val="auto"/>
                <w:w w:val="71"/>
              </w:rPr>
              <w:t>$</w:t>
            </w:r>
          </w:p>
        </w:tc>
        <w:tc>
          <w:tcPr>
            <w:tcW w:w="48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(7,376</w:t>
            </w:r>
          </w:p>
        </w:tc>
        <w:tc>
          <w:tcPr>
            <w:tcW w:w="180" w:type="dxa"/>
            <w:vAlign w:val="bottom"/>
          </w:tcPr>
          <w:p>
            <w:pPr>
              <w:jc w:val="right"/>
              <w:ind w:right="41"/>
              <w:spacing w:after="0"/>
              <w:rPr>
                <w:sz w:val="20"/>
                <w:szCs w:val="20"/>
                <w:color w:val="auto"/>
              </w:rPr>
            </w:pPr>
            <w:r>
              <w:rPr>
                <w:rFonts w:ascii="Arial" w:cs="Arial" w:eastAsia="Arial" w:hAnsi="Arial"/>
                <w:sz w:val="16"/>
                <w:szCs w:val="16"/>
                <w:color w:val="auto"/>
                <w:w w:val="74"/>
              </w:rPr>
              <w:t>)</w:t>
            </w:r>
          </w:p>
        </w:tc>
        <w:tc>
          <w:tcPr>
            <w:tcW w:w="1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260,372</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7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Container lessee default expense, net</w:t>
            </w:r>
          </w:p>
        </w:tc>
        <w:tc>
          <w:tcPr>
            <w:tcW w:w="12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w w:val="99"/>
              </w:rPr>
              <w:t>$</w:t>
            </w:r>
          </w:p>
        </w:tc>
        <w:tc>
          <w:tcPr>
            <w:tcW w:w="8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7,867</w:t>
            </w:r>
          </w:p>
        </w:tc>
        <w:tc>
          <w:tcPr>
            <w:tcW w:w="22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100" w:type="dxa"/>
            <w:vAlign w:val="bottom"/>
            <w:gridSpan w:val="2"/>
            <w:shd w:val="clear" w:color="auto" w:fill="CCEEFF"/>
          </w:tcPr>
          <w:p>
            <w:pPr>
              <w:ind w:left="20"/>
              <w:spacing w:after="0"/>
              <w:rPr>
                <w:sz w:val="20"/>
                <w:szCs w:val="20"/>
                <w:color w:val="auto"/>
              </w:rPr>
            </w:pPr>
            <w:r>
              <w:rPr>
                <w:rFonts w:ascii="Arial" w:cs="Arial" w:eastAsia="Arial" w:hAnsi="Arial"/>
                <w:sz w:val="15"/>
                <w:szCs w:val="15"/>
                <w:color w:val="auto"/>
                <w:w w:val="71"/>
              </w:rPr>
              <w:t>$</w:t>
            </w:r>
          </w:p>
        </w:tc>
        <w:tc>
          <w:tcPr>
            <w:tcW w:w="7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w:t>
            </w:r>
          </w:p>
        </w:tc>
        <w:tc>
          <w:tcPr>
            <w:tcW w:w="120" w:type="dxa"/>
            <w:vAlign w:val="bottom"/>
            <w:gridSpan w:val="2"/>
            <w:shd w:val="clear" w:color="auto" w:fill="CCEEFF"/>
          </w:tcPr>
          <w:p>
            <w:pPr>
              <w:ind w:left="40"/>
              <w:spacing w:after="0"/>
              <w:rPr>
                <w:sz w:val="20"/>
                <w:szCs w:val="20"/>
                <w:color w:val="auto"/>
              </w:rPr>
            </w:pPr>
            <w:r>
              <w:rPr>
                <w:rFonts w:ascii="Arial" w:cs="Arial" w:eastAsia="Arial" w:hAnsi="Arial"/>
                <w:sz w:val="15"/>
                <w:szCs w:val="15"/>
                <w:color w:val="auto"/>
                <w:w w:val="71"/>
              </w:rPr>
              <w:t>$</w:t>
            </w:r>
          </w:p>
        </w:tc>
        <w:tc>
          <w:tcPr>
            <w:tcW w:w="6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30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w:t>
            </w:r>
          </w:p>
        </w:tc>
        <w:tc>
          <w:tcPr>
            <w:tcW w:w="800" w:type="dxa"/>
            <w:vAlign w:val="bottom"/>
            <w:gridSpan w:val="2"/>
            <w:shd w:val="clear" w:color="auto" w:fill="CCEEFF"/>
          </w:tcPr>
          <w:p>
            <w:pPr>
              <w:jc w:val="right"/>
              <w:ind w:right="181"/>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7,867</w:t>
            </w:r>
          </w:p>
        </w:tc>
        <w:tc>
          <w:tcPr>
            <w:tcW w:w="0" w:type="dxa"/>
            <w:vAlign w:val="bottom"/>
          </w:tcPr>
          <w:p>
            <w:pPr>
              <w:spacing w:after="0"/>
              <w:rPr>
                <w:sz w:val="1"/>
                <w:szCs w:val="1"/>
                <w:color w:val="auto"/>
              </w:rPr>
            </w:pPr>
          </w:p>
        </w:tc>
      </w:tr>
      <w:tr>
        <w:trPr>
          <w:trHeight w:val="20"/>
        </w:trPr>
        <w:tc>
          <w:tcPr>
            <w:tcW w:w="5080" w:type="dxa"/>
            <w:vAlign w:val="bottom"/>
            <w:gridSpan w:val="2"/>
            <w:vMerge w:val="restart"/>
          </w:tcPr>
          <w:p>
            <w:pPr>
              <w:spacing w:after="0"/>
              <w:rPr>
                <w:sz w:val="20"/>
                <w:szCs w:val="20"/>
                <w:color w:val="auto"/>
              </w:rPr>
            </w:pPr>
            <w:r>
              <w:rPr>
                <w:rFonts w:ascii="Arial" w:cs="Arial" w:eastAsia="Arial" w:hAnsi="Arial"/>
                <w:sz w:val="18"/>
                <w:szCs w:val="18"/>
                <w:color w:val="auto"/>
              </w:rPr>
              <w:t>Interest expense</w:t>
            </w: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080" w:type="dxa"/>
            <w:vAlign w:val="bottom"/>
            <w:gridSpan w:val="2"/>
            <w:vMerge w:val="continue"/>
          </w:tcPr>
          <w:p>
            <w:pPr>
              <w:spacing w:after="0"/>
              <w:rPr>
                <w:sz w:val="18"/>
                <w:szCs w:val="18"/>
                <w:color w:val="auto"/>
              </w:rPr>
            </w:pPr>
          </w:p>
        </w:tc>
        <w:tc>
          <w:tcPr>
            <w:tcW w:w="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152,914</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271</w:t>
            </w:r>
          </w:p>
        </w:tc>
        <w:tc>
          <w:tcPr>
            <w:tcW w:w="2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Borders>
              <w:bottom w:val="single" w:sz="8" w:color="auto"/>
            </w:tcBorders>
          </w:tcPr>
          <w:p>
            <w:pPr>
              <w:spacing w:after="0"/>
              <w:rPr>
                <w:sz w:val="20"/>
                <w:szCs w:val="20"/>
                <w:color w:val="auto"/>
              </w:rPr>
            </w:pPr>
            <w:r>
              <w:rPr>
                <w:rFonts w:ascii="Arial" w:cs="Arial" w:eastAsia="Arial" w:hAnsi="Arial"/>
                <w:sz w:val="15"/>
                <w:szCs w:val="15"/>
                <w:color w:val="auto"/>
                <w:w w:val="71"/>
              </w:rPr>
              <w:t>$</w:t>
            </w:r>
          </w:p>
        </w:tc>
        <w:tc>
          <w:tcPr>
            <w:tcW w:w="560" w:type="dxa"/>
            <w:vAlign w:val="bottom"/>
            <w:tcBorders>
              <w:bottom w:val="single" w:sz="8" w:color="auto"/>
            </w:tcBorders>
          </w:tcPr>
          <w:p>
            <w:pPr>
              <w:ind w:left="280"/>
              <w:spacing w:after="0"/>
              <w:rPr>
                <w:sz w:val="20"/>
                <w:szCs w:val="20"/>
                <w:color w:val="auto"/>
              </w:rPr>
            </w:pPr>
            <w:r>
              <w:rPr>
                <w:rFonts w:ascii="Arial" w:cs="Arial" w:eastAsia="Arial" w:hAnsi="Arial"/>
                <w:sz w:val="18"/>
                <w:szCs w:val="18"/>
                <w:color w:val="auto"/>
              </w:rPr>
              <w:t>—</w:t>
            </w:r>
          </w:p>
        </w:tc>
        <w:tc>
          <w:tcPr>
            <w:tcW w:w="2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Borders>
              <w:bottom w:val="single" w:sz="8" w:color="auto"/>
            </w:tcBorders>
          </w:tcPr>
          <w:p>
            <w:pPr>
              <w:ind w:left="20"/>
              <w:spacing w:after="0"/>
              <w:rPr>
                <w:sz w:val="20"/>
                <w:szCs w:val="20"/>
                <w:color w:val="auto"/>
              </w:rPr>
            </w:pPr>
            <w:r>
              <w:rPr>
                <w:rFonts w:ascii="Arial" w:cs="Arial" w:eastAsia="Arial" w:hAnsi="Arial"/>
                <w:sz w:val="15"/>
                <w:szCs w:val="15"/>
                <w:color w:val="auto"/>
                <w:w w:val="71"/>
              </w:rPr>
              <w:t>$</w:t>
            </w:r>
          </w:p>
        </w:tc>
        <w:tc>
          <w:tcPr>
            <w:tcW w:w="48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153,185</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7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Realized gain on derivative instruments, net</w:t>
            </w:r>
          </w:p>
        </w:tc>
        <w:tc>
          <w:tcPr>
            <w:tcW w:w="12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w w:val="99"/>
              </w:rPr>
              <w:t>$</w:t>
            </w:r>
          </w:p>
        </w:tc>
        <w:tc>
          <w:tcPr>
            <w:tcW w:w="8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1,946</w:t>
            </w:r>
          </w:p>
        </w:tc>
        <w:tc>
          <w:tcPr>
            <w:tcW w:w="22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100" w:type="dxa"/>
            <w:vAlign w:val="bottom"/>
            <w:gridSpan w:val="2"/>
            <w:shd w:val="clear" w:color="auto" w:fill="CCEEFF"/>
          </w:tcPr>
          <w:p>
            <w:pPr>
              <w:ind w:left="20"/>
              <w:spacing w:after="0"/>
              <w:rPr>
                <w:sz w:val="20"/>
                <w:szCs w:val="20"/>
                <w:color w:val="auto"/>
              </w:rPr>
            </w:pPr>
            <w:r>
              <w:rPr>
                <w:rFonts w:ascii="Arial" w:cs="Arial" w:eastAsia="Arial" w:hAnsi="Arial"/>
                <w:sz w:val="15"/>
                <w:szCs w:val="15"/>
                <w:color w:val="auto"/>
                <w:w w:val="71"/>
              </w:rPr>
              <w:t>$</w:t>
            </w:r>
          </w:p>
        </w:tc>
        <w:tc>
          <w:tcPr>
            <w:tcW w:w="7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w:t>
            </w:r>
          </w:p>
        </w:tc>
        <w:tc>
          <w:tcPr>
            <w:tcW w:w="120" w:type="dxa"/>
            <w:vAlign w:val="bottom"/>
            <w:gridSpan w:val="2"/>
            <w:shd w:val="clear" w:color="auto" w:fill="CCEEFF"/>
          </w:tcPr>
          <w:p>
            <w:pPr>
              <w:ind w:left="40"/>
              <w:spacing w:after="0"/>
              <w:rPr>
                <w:sz w:val="20"/>
                <w:szCs w:val="20"/>
                <w:color w:val="auto"/>
              </w:rPr>
            </w:pPr>
            <w:r>
              <w:rPr>
                <w:rFonts w:ascii="Arial" w:cs="Arial" w:eastAsia="Arial" w:hAnsi="Arial"/>
                <w:sz w:val="15"/>
                <w:szCs w:val="15"/>
                <w:color w:val="auto"/>
                <w:w w:val="71"/>
              </w:rPr>
              <w:t>$</w:t>
            </w:r>
          </w:p>
        </w:tc>
        <w:tc>
          <w:tcPr>
            <w:tcW w:w="6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30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w:t>
            </w:r>
          </w:p>
        </w:tc>
        <w:tc>
          <w:tcPr>
            <w:tcW w:w="800" w:type="dxa"/>
            <w:vAlign w:val="bottom"/>
            <w:gridSpan w:val="2"/>
            <w:shd w:val="clear" w:color="auto" w:fill="CCEEFF"/>
          </w:tcPr>
          <w:p>
            <w:pPr>
              <w:jc w:val="right"/>
              <w:ind w:right="241"/>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1,946</w:t>
            </w:r>
          </w:p>
        </w:tc>
        <w:tc>
          <w:tcPr>
            <w:tcW w:w="0" w:type="dxa"/>
            <w:vAlign w:val="bottom"/>
          </w:tcPr>
          <w:p>
            <w:pPr>
              <w:spacing w:after="0"/>
              <w:rPr>
                <w:sz w:val="1"/>
                <w:szCs w:val="1"/>
                <w:color w:val="auto"/>
              </w:rPr>
            </w:pPr>
          </w:p>
        </w:tc>
      </w:tr>
      <w:tr>
        <w:trPr>
          <w:trHeight w:val="20"/>
        </w:trPr>
        <w:tc>
          <w:tcPr>
            <w:tcW w:w="5080" w:type="dxa"/>
            <w:vAlign w:val="bottom"/>
            <w:gridSpan w:val="2"/>
            <w:vMerge w:val="restart"/>
          </w:tcPr>
          <w:p>
            <w:pPr>
              <w:spacing w:after="0"/>
              <w:rPr>
                <w:sz w:val="20"/>
                <w:szCs w:val="20"/>
                <w:color w:val="auto"/>
              </w:rPr>
            </w:pPr>
            <w:r>
              <w:rPr>
                <w:rFonts w:ascii="Arial" w:cs="Arial" w:eastAsia="Arial" w:hAnsi="Arial"/>
                <w:sz w:val="18"/>
                <w:szCs w:val="18"/>
                <w:color w:val="auto"/>
              </w:rPr>
              <w:t>Unrealized loss on derivative instruments, net</w:t>
            </w: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080" w:type="dxa"/>
            <w:vAlign w:val="bottom"/>
            <w:gridSpan w:val="2"/>
            <w:vMerge w:val="continue"/>
          </w:tcPr>
          <w:p>
            <w:pPr>
              <w:spacing w:after="0"/>
              <w:rPr>
                <w:sz w:val="18"/>
                <w:szCs w:val="18"/>
                <w:color w:val="auto"/>
              </w:rPr>
            </w:pPr>
          </w:p>
        </w:tc>
        <w:tc>
          <w:tcPr>
            <w:tcW w:w="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15,442</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2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Borders>
              <w:bottom w:val="single" w:sz="8" w:color="auto"/>
            </w:tcBorders>
          </w:tcPr>
          <w:p>
            <w:pPr>
              <w:spacing w:after="0"/>
              <w:rPr>
                <w:sz w:val="20"/>
                <w:szCs w:val="20"/>
                <w:color w:val="auto"/>
              </w:rPr>
            </w:pPr>
            <w:r>
              <w:rPr>
                <w:rFonts w:ascii="Arial" w:cs="Arial" w:eastAsia="Arial" w:hAnsi="Arial"/>
                <w:sz w:val="15"/>
                <w:szCs w:val="15"/>
                <w:color w:val="auto"/>
                <w:w w:val="71"/>
              </w:rPr>
              <w:t>$</w:t>
            </w:r>
          </w:p>
        </w:tc>
        <w:tc>
          <w:tcPr>
            <w:tcW w:w="560" w:type="dxa"/>
            <w:vAlign w:val="bottom"/>
            <w:tcBorders>
              <w:bottom w:val="single" w:sz="8" w:color="auto"/>
            </w:tcBorders>
          </w:tcPr>
          <w:p>
            <w:pPr>
              <w:ind w:left="280"/>
              <w:spacing w:after="0"/>
              <w:rPr>
                <w:sz w:val="20"/>
                <w:szCs w:val="20"/>
                <w:color w:val="auto"/>
              </w:rPr>
            </w:pPr>
            <w:r>
              <w:rPr>
                <w:rFonts w:ascii="Arial" w:cs="Arial" w:eastAsia="Arial" w:hAnsi="Arial"/>
                <w:sz w:val="18"/>
                <w:szCs w:val="18"/>
                <w:color w:val="auto"/>
              </w:rPr>
              <w:t>—</w:t>
            </w:r>
          </w:p>
        </w:tc>
        <w:tc>
          <w:tcPr>
            <w:tcW w:w="2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Borders>
              <w:bottom w:val="single" w:sz="8" w:color="auto"/>
            </w:tcBorders>
          </w:tcPr>
          <w:p>
            <w:pPr>
              <w:ind w:left="20"/>
              <w:spacing w:after="0"/>
              <w:rPr>
                <w:sz w:val="20"/>
                <w:szCs w:val="20"/>
                <w:color w:val="auto"/>
              </w:rPr>
            </w:pPr>
            <w:r>
              <w:rPr>
                <w:rFonts w:ascii="Arial" w:cs="Arial" w:eastAsia="Arial" w:hAnsi="Arial"/>
                <w:sz w:val="15"/>
                <w:szCs w:val="15"/>
                <w:color w:val="auto"/>
                <w:w w:val="71"/>
              </w:rPr>
              <w:t>$</w:t>
            </w:r>
          </w:p>
        </w:tc>
        <w:tc>
          <w:tcPr>
            <w:tcW w:w="48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15,442</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7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5080" w:type="dxa"/>
            <w:vAlign w:val="bottom"/>
            <w:gridSpan w:val="2"/>
            <w:shd w:val="clear" w:color="auto" w:fill="CCEEFF"/>
          </w:tcPr>
          <w:p>
            <w:pPr>
              <w:spacing w:after="0" w:line="195" w:lineRule="exact"/>
              <w:rPr>
                <w:sz w:val="20"/>
                <w:szCs w:val="20"/>
                <w:color w:val="auto"/>
              </w:rPr>
            </w:pPr>
            <w:r>
              <w:rPr>
                <w:rFonts w:ascii="Arial" w:cs="Arial" w:eastAsia="Arial" w:hAnsi="Arial"/>
                <w:sz w:val="18"/>
                <w:szCs w:val="18"/>
                <w:color w:val="auto"/>
              </w:rPr>
              <w:t>Segment income (loss) before income tax and noncontrolling</w:t>
            </w:r>
          </w:p>
        </w:tc>
        <w:tc>
          <w:tcPr>
            <w:tcW w:w="2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40" w:type="dxa"/>
            <w:vAlign w:val="bottom"/>
            <w:tcBorders>
              <w:right w:val="single" w:sz="8" w:color="CCEEFF"/>
            </w:tcBorders>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20" w:type="dxa"/>
            <w:vAlign w:val="bottom"/>
            <w:tcBorders>
              <w:right w:val="single" w:sz="8" w:color="CCEEFF"/>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560" w:type="dxa"/>
            <w:vAlign w:val="bottom"/>
            <w:tcBorders>
              <w:right w:val="single" w:sz="8" w:color="CCEEFF"/>
            </w:tcBorders>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508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interests (1)</w:t>
            </w:r>
          </w:p>
        </w:tc>
        <w:tc>
          <w:tcPr>
            <w:tcW w:w="12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w w:val="99"/>
              </w:rPr>
              <w:t>$</w:t>
            </w:r>
          </w:p>
        </w:tc>
        <w:tc>
          <w:tcPr>
            <w:tcW w:w="8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14,296</w:t>
            </w:r>
          </w:p>
        </w:tc>
        <w:tc>
          <w:tcPr>
            <w:tcW w:w="22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27,747</w:t>
            </w:r>
          </w:p>
        </w:tc>
        <w:tc>
          <w:tcPr>
            <w:tcW w:w="880" w:type="dxa"/>
            <w:vAlign w:val="bottom"/>
            <w:gridSpan w:val="4"/>
            <w:shd w:val="clear" w:color="auto" w:fill="CCEEFF"/>
          </w:tcPr>
          <w:p>
            <w:pPr>
              <w:ind w:left="20"/>
              <w:spacing w:after="0"/>
              <w:rPr>
                <w:sz w:val="20"/>
                <w:szCs w:val="20"/>
                <w:color w:val="auto"/>
              </w:rPr>
            </w:pPr>
            <w:r>
              <w:rPr>
                <w:rFonts w:ascii="Arial" w:cs="Arial" w:eastAsia="Arial" w:hAnsi="Arial"/>
                <w:sz w:val="18"/>
                <w:szCs w:val="18"/>
                <w:color w:val="auto"/>
              </w:rPr>
              <w:t>$ 21,036</w:t>
            </w:r>
          </w:p>
        </w:tc>
        <w:tc>
          <w:tcPr>
            <w:tcW w:w="120" w:type="dxa"/>
            <w:vAlign w:val="bottom"/>
            <w:gridSpan w:val="2"/>
            <w:shd w:val="clear" w:color="auto" w:fill="CCEEFF"/>
          </w:tcPr>
          <w:p>
            <w:pPr>
              <w:ind w:left="40"/>
              <w:spacing w:after="0"/>
              <w:rPr>
                <w:sz w:val="20"/>
                <w:szCs w:val="20"/>
                <w:color w:val="auto"/>
              </w:rPr>
            </w:pPr>
            <w:r>
              <w:rPr>
                <w:rFonts w:ascii="Arial" w:cs="Arial" w:eastAsia="Arial" w:hAnsi="Arial"/>
                <w:sz w:val="15"/>
                <w:szCs w:val="15"/>
                <w:u w:val="single" w:color="auto"/>
                <w:color w:val="auto"/>
                <w:w w:val="71"/>
              </w:rPr>
              <w:t>$</w:t>
            </w:r>
          </w:p>
        </w:tc>
        <w:tc>
          <w:tcPr>
            <w:tcW w:w="6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1"/>
              </w:rPr>
              <w:t>(4,089)</w:t>
            </w:r>
          </w:p>
        </w:tc>
        <w:tc>
          <w:tcPr>
            <w:tcW w:w="30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w:t>
            </w:r>
          </w:p>
        </w:tc>
        <w:tc>
          <w:tcPr>
            <w:tcW w:w="80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(486)</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58,504</w:t>
            </w:r>
          </w:p>
        </w:tc>
        <w:tc>
          <w:tcPr>
            <w:tcW w:w="0" w:type="dxa"/>
            <w:vAlign w:val="bottom"/>
          </w:tcPr>
          <w:p>
            <w:pPr>
              <w:spacing w:after="0"/>
              <w:rPr>
                <w:sz w:val="1"/>
                <w:szCs w:val="1"/>
                <w:color w:val="auto"/>
              </w:rPr>
            </w:pPr>
          </w:p>
        </w:tc>
      </w:tr>
      <w:tr>
        <w:trPr>
          <w:trHeight w:val="20"/>
        </w:trPr>
        <w:tc>
          <w:tcPr>
            <w:tcW w:w="5080" w:type="dxa"/>
            <w:vAlign w:val="bottom"/>
            <w:gridSpan w:val="2"/>
            <w:vMerge w:val="restart"/>
          </w:tcPr>
          <w:p>
            <w:pPr>
              <w:spacing w:after="0"/>
              <w:rPr>
                <w:sz w:val="20"/>
                <w:szCs w:val="20"/>
                <w:color w:val="auto"/>
              </w:rPr>
            </w:pPr>
            <w:r>
              <w:rPr>
                <w:rFonts w:ascii="Arial" w:cs="Arial" w:eastAsia="Arial" w:hAnsi="Arial"/>
                <w:sz w:val="18"/>
                <w:szCs w:val="18"/>
                <w:color w:val="auto"/>
              </w:rPr>
              <w:t>Total assets</w:t>
            </w: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80" w:type="dxa"/>
            <w:vAlign w:val="bottom"/>
            <w:tcBorders>
              <w:top w:val="single" w:sz="8" w:color="auto"/>
              <w:bottom w:val="single" w:sz="8" w:color="auto"/>
            </w:tcBorders>
            <w:gridSpan w:val="2"/>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40" w:type="dxa"/>
            <w:vAlign w:val="bottom"/>
            <w:tcBorders>
              <w:top w:val="single" w:sz="8" w:color="auto"/>
              <w:bottom w:val="single" w:sz="8" w:color="auto"/>
            </w:tcBorders>
            <w:gridSpan w:val="2"/>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0" w:type="dxa"/>
            <w:vAlign w:val="bottom"/>
            <w:tcBorders>
              <w:top w:val="single" w:sz="8" w:color="auto"/>
              <w:bottom w:val="single" w:sz="8" w:color="auto"/>
            </w:tcBorders>
            <w:gridSpan w:val="2"/>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080" w:type="dxa"/>
            <w:vAlign w:val="bottom"/>
            <w:gridSpan w:val="2"/>
            <w:vMerge w:val="continue"/>
          </w:tcPr>
          <w:p>
            <w:pPr>
              <w:spacing w:after="0"/>
              <w:rPr>
                <w:sz w:val="18"/>
                <w:szCs w:val="18"/>
                <w:color w:val="auto"/>
              </w:rPr>
            </w:pPr>
          </w:p>
        </w:tc>
        <w:tc>
          <w:tcPr>
            <w:tcW w:w="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20" w:type="dxa"/>
            <w:vAlign w:val="bottom"/>
            <w:tcBorders>
              <w:bottom w:val="single" w:sz="8" w:color="auto"/>
            </w:tcBorders>
            <w:gridSpan w:val="3"/>
          </w:tcPr>
          <w:p>
            <w:pPr>
              <w:jc w:val="right"/>
              <w:spacing w:after="0"/>
              <w:rPr>
                <w:sz w:val="20"/>
                <w:szCs w:val="20"/>
                <w:color w:val="auto"/>
              </w:rPr>
            </w:pPr>
            <w:r>
              <w:rPr>
                <w:rFonts w:ascii="Arial" w:cs="Arial" w:eastAsia="Arial" w:hAnsi="Arial"/>
                <w:sz w:val="18"/>
                <w:szCs w:val="18"/>
                <w:u w:val="single" w:color="auto"/>
                <w:color w:val="auto"/>
                <w:w w:val="88"/>
              </w:rPr>
              <w:t>$</w:t>
            </w:r>
            <w:r>
              <w:rPr>
                <w:rFonts w:ascii="Arial" w:cs="Arial" w:eastAsia="Arial" w:hAnsi="Arial"/>
                <w:sz w:val="18"/>
                <w:szCs w:val="18"/>
                <w:color w:val="auto"/>
                <w:w w:val="88"/>
              </w:rPr>
              <w:t>5,101,301</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184,215</w:t>
            </w:r>
          </w:p>
        </w:tc>
        <w:tc>
          <w:tcPr>
            <w:tcW w:w="2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64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w w:val="85"/>
              </w:rPr>
              <w:t>$ 19,573</w:t>
            </w:r>
          </w:p>
        </w:tc>
        <w:tc>
          <w:tcPr>
            <w:tcW w:w="2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Borders>
              <w:bottom w:val="single" w:sz="8" w:color="auto"/>
            </w:tcBorders>
          </w:tcPr>
          <w:p>
            <w:pPr>
              <w:ind w:left="20"/>
              <w:spacing w:after="0"/>
              <w:rPr>
                <w:sz w:val="20"/>
                <w:szCs w:val="20"/>
                <w:color w:val="auto"/>
              </w:rPr>
            </w:pPr>
            <w:r>
              <w:rPr>
                <w:rFonts w:ascii="Arial" w:cs="Arial" w:eastAsia="Arial" w:hAnsi="Arial"/>
                <w:sz w:val="15"/>
                <w:szCs w:val="15"/>
                <w:color w:val="auto"/>
                <w:w w:val="71"/>
              </w:rPr>
              <w:t>$</w:t>
            </w:r>
          </w:p>
        </w:tc>
        <w:tc>
          <w:tcPr>
            <w:tcW w:w="4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7,206</w:t>
            </w: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w w:val="90"/>
              </w:rPr>
              <w:t>$ (109,678</w:t>
            </w:r>
          </w:p>
        </w:tc>
        <w:tc>
          <w:tcPr>
            <w:tcW w:w="180" w:type="dxa"/>
            <w:vAlign w:val="bottom"/>
          </w:tcPr>
          <w:p>
            <w:pPr>
              <w:jc w:val="right"/>
              <w:ind w:right="41"/>
              <w:spacing w:after="0"/>
              <w:rPr>
                <w:sz w:val="20"/>
                <w:szCs w:val="20"/>
                <w:color w:val="auto"/>
              </w:rPr>
            </w:pPr>
            <w:r>
              <w:rPr>
                <w:rFonts w:ascii="Arial" w:cs="Arial" w:eastAsia="Arial" w:hAnsi="Arial"/>
                <w:sz w:val="16"/>
                <w:szCs w:val="16"/>
                <w:color w:val="auto"/>
                <w:w w:val="74"/>
              </w:rPr>
              <w:t>)</w:t>
            </w:r>
          </w:p>
        </w:tc>
        <w:tc>
          <w:tcPr>
            <w:tcW w:w="1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7"/>
              </w:rPr>
              <w:t>5,202,617</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7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Purchase of containers and fixed assets</w:t>
            </w:r>
          </w:p>
        </w:tc>
        <w:tc>
          <w:tcPr>
            <w:tcW w:w="12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w w:val="99"/>
              </w:rPr>
              <w:t>$</w:t>
            </w:r>
          </w:p>
        </w:tc>
        <w:tc>
          <w:tcPr>
            <w:tcW w:w="8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420,971</w:t>
            </w:r>
          </w:p>
        </w:tc>
        <w:tc>
          <w:tcPr>
            <w:tcW w:w="22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12,706</w:t>
            </w:r>
          </w:p>
        </w:tc>
        <w:tc>
          <w:tcPr>
            <w:tcW w:w="100" w:type="dxa"/>
            <w:vAlign w:val="bottom"/>
            <w:gridSpan w:val="2"/>
            <w:shd w:val="clear" w:color="auto" w:fill="CCEEFF"/>
          </w:tcPr>
          <w:p>
            <w:pPr>
              <w:ind w:left="20"/>
              <w:spacing w:after="0"/>
              <w:rPr>
                <w:sz w:val="20"/>
                <w:szCs w:val="20"/>
                <w:color w:val="auto"/>
              </w:rPr>
            </w:pPr>
            <w:r>
              <w:rPr>
                <w:rFonts w:ascii="Arial" w:cs="Arial" w:eastAsia="Arial" w:hAnsi="Arial"/>
                <w:sz w:val="15"/>
                <w:szCs w:val="15"/>
                <w:color w:val="auto"/>
                <w:w w:val="71"/>
              </w:rPr>
              <w:t>$</w:t>
            </w:r>
          </w:p>
        </w:tc>
        <w:tc>
          <w:tcPr>
            <w:tcW w:w="7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w:t>
            </w:r>
          </w:p>
        </w:tc>
        <w:tc>
          <w:tcPr>
            <w:tcW w:w="120" w:type="dxa"/>
            <w:vAlign w:val="bottom"/>
            <w:gridSpan w:val="2"/>
            <w:shd w:val="clear" w:color="auto" w:fill="CCEEFF"/>
          </w:tcPr>
          <w:p>
            <w:pPr>
              <w:ind w:left="40"/>
              <w:spacing w:after="0"/>
              <w:rPr>
                <w:sz w:val="20"/>
                <w:szCs w:val="20"/>
                <w:color w:val="auto"/>
              </w:rPr>
            </w:pPr>
            <w:r>
              <w:rPr>
                <w:rFonts w:ascii="Arial" w:cs="Arial" w:eastAsia="Arial" w:hAnsi="Arial"/>
                <w:sz w:val="15"/>
                <w:szCs w:val="15"/>
                <w:color w:val="auto"/>
                <w:w w:val="71"/>
              </w:rPr>
              <w:t>$</w:t>
            </w:r>
          </w:p>
        </w:tc>
        <w:tc>
          <w:tcPr>
            <w:tcW w:w="6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30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w:t>
            </w:r>
          </w:p>
        </w:tc>
        <w:tc>
          <w:tcPr>
            <w:tcW w:w="800" w:type="dxa"/>
            <w:vAlign w:val="bottom"/>
            <w:gridSpan w:val="2"/>
            <w:shd w:val="clear" w:color="auto" w:fill="CCEEFF"/>
          </w:tcPr>
          <w:p>
            <w:pPr>
              <w:jc w:val="right"/>
              <w:ind w:right="181"/>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433,677</w:t>
            </w:r>
          </w:p>
        </w:tc>
        <w:tc>
          <w:tcPr>
            <w:tcW w:w="0" w:type="dxa"/>
            <w:vAlign w:val="bottom"/>
          </w:tcPr>
          <w:p>
            <w:pPr>
              <w:spacing w:after="0"/>
              <w:rPr>
                <w:sz w:val="1"/>
                <w:szCs w:val="1"/>
                <w:color w:val="auto"/>
              </w:rPr>
            </w:pPr>
          </w:p>
        </w:tc>
      </w:tr>
      <w:tr>
        <w:trPr>
          <w:trHeight w:val="20"/>
        </w:trPr>
        <w:tc>
          <w:tcPr>
            <w:tcW w:w="5080" w:type="dxa"/>
            <w:vAlign w:val="bottom"/>
            <w:gridSpan w:val="2"/>
            <w:vMerge w:val="restart"/>
          </w:tcPr>
          <w:p>
            <w:pPr>
              <w:spacing w:after="0"/>
              <w:rPr>
                <w:sz w:val="20"/>
                <w:szCs w:val="20"/>
                <w:color w:val="auto"/>
              </w:rPr>
            </w:pPr>
            <w:r>
              <w:rPr>
                <w:rFonts w:ascii="Arial" w:cs="Arial" w:eastAsia="Arial" w:hAnsi="Arial"/>
                <w:sz w:val="18"/>
                <w:szCs w:val="18"/>
                <w:color w:val="auto"/>
              </w:rPr>
              <w:t>Payments on container leaseback financing receivable</w:t>
            </w: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080" w:type="dxa"/>
            <w:vAlign w:val="bottom"/>
            <w:gridSpan w:val="2"/>
            <w:vMerge w:val="continue"/>
          </w:tcPr>
          <w:p>
            <w:pPr>
              <w:spacing w:after="0"/>
              <w:rPr>
                <w:sz w:val="18"/>
                <w:szCs w:val="18"/>
                <w:color w:val="auto"/>
              </w:rPr>
            </w:pPr>
          </w:p>
        </w:tc>
        <w:tc>
          <w:tcPr>
            <w:tcW w:w="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281,445</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2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Borders>
              <w:bottom w:val="single" w:sz="8" w:color="auto"/>
            </w:tcBorders>
          </w:tcPr>
          <w:p>
            <w:pPr>
              <w:spacing w:after="0"/>
              <w:rPr>
                <w:sz w:val="20"/>
                <w:szCs w:val="20"/>
                <w:color w:val="auto"/>
              </w:rPr>
            </w:pPr>
            <w:r>
              <w:rPr>
                <w:rFonts w:ascii="Arial" w:cs="Arial" w:eastAsia="Arial" w:hAnsi="Arial"/>
                <w:sz w:val="15"/>
                <w:szCs w:val="15"/>
                <w:color w:val="auto"/>
                <w:w w:val="71"/>
              </w:rPr>
              <w:t>$</w:t>
            </w:r>
          </w:p>
        </w:tc>
        <w:tc>
          <w:tcPr>
            <w:tcW w:w="560" w:type="dxa"/>
            <w:vAlign w:val="bottom"/>
            <w:tcBorders>
              <w:bottom w:val="single" w:sz="8" w:color="auto"/>
            </w:tcBorders>
          </w:tcPr>
          <w:p>
            <w:pPr>
              <w:ind w:left="280"/>
              <w:spacing w:after="0"/>
              <w:rPr>
                <w:sz w:val="20"/>
                <w:szCs w:val="20"/>
                <w:color w:val="auto"/>
              </w:rPr>
            </w:pPr>
            <w:r>
              <w:rPr>
                <w:rFonts w:ascii="Arial" w:cs="Arial" w:eastAsia="Arial" w:hAnsi="Arial"/>
                <w:sz w:val="18"/>
                <w:szCs w:val="18"/>
                <w:color w:val="auto"/>
              </w:rPr>
              <w:t>—</w:t>
            </w:r>
          </w:p>
        </w:tc>
        <w:tc>
          <w:tcPr>
            <w:tcW w:w="2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Borders>
              <w:bottom w:val="single" w:sz="8" w:color="auto"/>
            </w:tcBorders>
          </w:tcPr>
          <w:p>
            <w:pPr>
              <w:ind w:left="20"/>
              <w:spacing w:after="0"/>
              <w:rPr>
                <w:sz w:val="20"/>
                <w:szCs w:val="20"/>
                <w:color w:val="auto"/>
              </w:rPr>
            </w:pPr>
            <w:r>
              <w:rPr>
                <w:rFonts w:ascii="Arial" w:cs="Arial" w:eastAsia="Arial" w:hAnsi="Arial"/>
                <w:sz w:val="15"/>
                <w:szCs w:val="15"/>
                <w:color w:val="auto"/>
                <w:w w:val="71"/>
              </w:rPr>
              <w:t>$</w:t>
            </w:r>
          </w:p>
        </w:tc>
        <w:tc>
          <w:tcPr>
            <w:tcW w:w="48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281,445</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7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80" w:type="dxa"/>
            <w:vAlign w:val="bottom"/>
            <w:tcBorders>
              <w:bottom w:val="single" w:sz="8" w:color="auto"/>
            </w:tcBorders>
            <w:gridSpan w:val="2"/>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0" w:type="dxa"/>
            <w:vAlign w:val="bottom"/>
            <w:tcBorders>
              <w:bottom w:val="single" w:sz="8" w:color="auto"/>
            </w:tcBorders>
            <w:gridSpan w:val="2"/>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40" w:type="dxa"/>
            <w:vAlign w:val="bottom"/>
            <w:tcBorders>
              <w:bottom w:val="single" w:sz="8" w:color="auto"/>
            </w:tcBorders>
            <w:gridSpan w:val="2"/>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63"/>
        </w:trPr>
        <w:tc>
          <w:tcPr>
            <w:tcW w:w="300" w:type="dxa"/>
            <w:vAlign w:val="bottom"/>
            <w:vMerge w:val="restart"/>
          </w:tcPr>
          <w:p>
            <w:pPr>
              <w:spacing w:after="0"/>
              <w:rPr>
                <w:sz w:val="20"/>
                <w:szCs w:val="20"/>
                <w:color w:val="auto"/>
              </w:rPr>
            </w:pPr>
            <w:r>
              <w:rPr>
                <w:rFonts w:ascii="Arial" w:cs="Arial" w:eastAsia="Arial" w:hAnsi="Arial"/>
                <w:sz w:val="14"/>
                <w:szCs w:val="14"/>
                <w:b w:val="1"/>
                <w:bCs w:val="1"/>
                <w:color w:val="auto"/>
                <w:w w:val="89"/>
              </w:rPr>
              <w:t>2018</w:t>
            </w:r>
          </w:p>
        </w:tc>
        <w:tc>
          <w:tcPr>
            <w:tcW w:w="47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940" w:type="dxa"/>
            <w:vAlign w:val="bottom"/>
            <w:gridSpan w:val="4"/>
          </w:tcPr>
          <w:p>
            <w:pPr>
              <w:ind w:left="60"/>
              <w:spacing w:after="0"/>
              <w:rPr>
                <w:sz w:val="20"/>
                <w:szCs w:val="20"/>
                <w:color w:val="auto"/>
              </w:rPr>
            </w:pPr>
            <w:r>
              <w:rPr>
                <w:rFonts w:ascii="Arial" w:cs="Arial" w:eastAsia="Arial" w:hAnsi="Arial"/>
                <w:sz w:val="14"/>
                <w:szCs w:val="14"/>
                <w:b w:val="1"/>
                <w:bCs w:val="1"/>
                <w:color w:val="auto"/>
              </w:rPr>
              <w:t>Container</w:t>
            </w: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40" w:type="dxa"/>
            <w:vAlign w:val="bottom"/>
            <w:gridSpan w:val="3"/>
          </w:tcPr>
          <w:p>
            <w:pPr>
              <w:jc w:val="right"/>
              <w:ind w:right="360"/>
              <w:spacing w:after="0"/>
              <w:rPr>
                <w:sz w:val="20"/>
                <w:szCs w:val="20"/>
                <w:color w:val="auto"/>
              </w:rPr>
            </w:pPr>
            <w:r>
              <w:rPr>
                <w:rFonts w:ascii="Arial" w:cs="Arial" w:eastAsia="Arial" w:hAnsi="Arial"/>
                <w:sz w:val="14"/>
                <w:szCs w:val="14"/>
                <w:b w:val="1"/>
                <w:bCs w:val="1"/>
                <w:color w:val="auto"/>
              </w:rPr>
              <w:t>Container</w:t>
            </w:r>
          </w:p>
        </w:tc>
        <w:tc>
          <w:tcPr>
            <w:tcW w:w="880" w:type="dxa"/>
            <w:vAlign w:val="bottom"/>
            <w:gridSpan w:val="4"/>
          </w:tcPr>
          <w:p>
            <w:pPr>
              <w:jc w:val="right"/>
              <w:ind w:right="260"/>
              <w:spacing w:after="0"/>
              <w:rPr>
                <w:sz w:val="20"/>
                <w:szCs w:val="20"/>
                <w:color w:val="auto"/>
              </w:rPr>
            </w:pPr>
            <w:r>
              <w:rPr>
                <w:rFonts w:ascii="Arial" w:cs="Arial" w:eastAsia="Arial" w:hAnsi="Arial"/>
                <w:sz w:val="14"/>
                <w:szCs w:val="14"/>
                <w:b w:val="1"/>
                <w:bCs w:val="1"/>
                <w:color w:val="auto"/>
                <w:w w:val="91"/>
              </w:rPr>
              <w:t>Container</w:t>
            </w:r>
          </w:p>
        </w:tc>
        <w:tc>
          <w:tcPr>
            <w:tcW w:w="20" w:type="dxa"/>
            <w:vAlign w:val="bottom"/>
          </w:tcPr>
          <w:p>
            <w:pPr>
              <w:spacing w:after="0"/>
              <w:rPr>
                <w:sz w:val="24"/>
                <w:szCs w:val="24"/>
                <w:color w:val="auto"/>
              </w:rPr>
            </w:pPr>
          </w:p>
        </w:tc>
        <w:tc>
          <w:tcPr>
            <w:tcW w:w="760" w:type="dxa"/>
            <w:vAlign w:val="bottom"/>
            <w:gridSpan w:val="3"/>
            <w:vMerge w:val="restart"/>
          </w:tcPr>
          <w:p>
            <w:pPr>
              <w:ind w:left="100"/>
              <w:spacing w:after="0"/>
              <w:rPr>
                <w:sz w:val="20"/>
                <w:szCs w:val="20"/>
                <w:color w:val="auto"/>
              </w:rPr>
            </w:pPr>
            <w:r>
              <w:rPr>
                <w:rFonts w:ascii="Arial" w:cs="Arial" w:eastAsia="Arial" w:hAnsi="Arial"/>
                <w:sz w:val="14"/>
                <w:szCs w:val="14"/>
                <w:b w:val="1"/>
                <w:bCs w:val="1"/>
                <w:color w:val="auto"/>
              </w:rPr>
              <w:t>Other</w:t>
            </w:r>
          </w:p>
        </w:tc>
        <w:tc>
          <w:tcPr>
            <w:tcW w:w="120" w:type="dxa"/>
            <w:vAlign w:val="bottom"/>
          </w:tcPr>
          <w:p>
            <w:pPr>
              <w:spacing w:after="0"/>
              <w:rPr>
                <w:sz w:val="24"/>
                <w:szCs w:val="24"/>
                <w:color w:val="auto"/>
              </w:rPr>
            </w:pPr>
          </w:p>
        </w:tc>
        <w:tc>
          <w:tcPr>
            <w:tcW w:w="980" w:type="dxa"/>
            <w:vAlign w:val="bottom"/>
            <w:gridSpan w:val="3"/>
            <w:vMerge w:val="restart"/>
          </w:tcPr>
          <w:p>
            <w:pPr>
              <w:ind w:left="20"/>
              <w:spacing w:after="0"/>
              <w:rPr>
                <w:sz w:val="20"/>
                <w:szCs w:val="20"/>
                <w:color w:val="auto"/>
              </w:rPr>
            </w:pPr>
            <w:r>
              <w:rPr>
                <w:rFonts w:ascii="Arial" w:cs="Arial" w:eastAsia="Arial" w:hAnsi="Arial"/>
                <w:sz w:val="14"/>
                <w:szCs w:val="14"/>
                <w:b w:val="1"/>
                <w:bCs w:val="1"/>
                <w:color w:val="auto"/>
              </w:rPr>
              <w:t>Eliminations</w:t>
            </w:r>
          </w:p>
        </w:tc>
        <w:tc>
          <w:tcPr>
            <w:tcW w:w="1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80" w:type="dxa"/>
            <w:vAlign w:val="bottom"/>
            <w:gridSpan w:val="2"/>
            <w:vMerge w:val="restart"/>
          </w:tcPr>
          <w:p>
            <w:pPr>
              <w:ind w:left="120"/>
              <w:spacing w:after="0"/>
              <w:rPr>
                <w:sz w:val="20"/>
                <w:szCs w:val="20"/>
                <w:color w:val="auto"/>
              </w:rPr>
            </w:pPr>
            <w:r>
              <w:rPr>
                <w:rFonts w:ascii="Arial" w:cs="Arial" w:eastAsia="Arial" w:hAnsi="Arial"/>
                <w:sz w:val="14"/>
                <w:szCs w:val="14"/>
                <w:b w:val="1"/>
                <w:bCs w:val="1"/>
                <w:color w:val="auto"/>
              </w:rPr>
              <w:t>Totals</w:t>
            </w:r>
          </w:p>
        </w:tc>
        <w:tc>
          <w:tcPr>
            <w:tcW w:w="0" w:type="dxa"/>
            <w:vAlign w:val="bottom"/>
          </w:tcPr>
          <w:p>
            <w:pPr>
              <w:spacing w:after="0"/>
              <w:rPr>
                <w:sz w:val="1"/>
                <w:szCs w:val="1"/>
                <w:color w:val="auto"/>
              </w:rPr>
            </w:pPr>
          </w:p>
        </w:tc>
      </w:tr>
      <w:tr>
        <w:trPr>
          <w:trHeight w:val="178"/>
        </w:trPr>
        <w:tc>
          <w:tcPr>
            <w:tcW w:w="300" w:type="dxa"/>
            <w:vAlign w:val="bottom"/>
            <w:tcBorders>
              <w:bottom w:val="single" w:sz="8" w:color="auto"/>
            </w:tcBorders>
            <w:vMerge w:val="continue"/>
          </w:tcPr>
          <w:p>
            <w:pPr>
              <w:spacing w:after="0"/>
              <w:rPr>
                <w:sz w:val="15"/>
                <w:szCs w:val="15"/>
                <w:color w:val="auto"/>
              </w:rPr>
            </w:pPr>
          </w:p>
        </w:tc>
        <w:tc>
          <w:tcPr>
            <w:tcW w:w="47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940" w:type="dxa"/>
            <w:vAlign w:val="bottom"/>
            <w:gridSpan w:val="4"/>
          </w:tcPr>
          <w:p>
            <w:pPr>
              <w:jc w:val="right"/>
              <w:ind w:right="220"/>
              <w:spacing w:after="0" w:line="158" w:lineRule="exact"/>
              <w:rPr>
                <w:sz w:val="20"/>
                <w:szCs w:val="20"/>
                <w:color w:val="auto"/>
              </w:rPr>
            </w:pPr>
            <w:r>
              <w:rPr>
                <w:rFonts w:ascii="Arial" w:cs="Arial" w:eastAsia="Arial" w:hAnsi="Arial"/>
                <w:sz w:val="14"/>
                <w:szCs w:val="14"/>
                <w:b w:val="1"/>
                <w:bCs w:val="1"/>
                <w:color w:val="auto"/>
                <w:w w:val="96"/>
              </w:rPr>
              <w:t>Ownership</w:t>
            </w:r>
          </w:p>
        </w:tc>
        <w:tc>
          <w:tcPr>
            <w:tcW w:w="100" w:type="dxa"/>
            <w:vAlign w:val="bottom"/>
          </w:tcPr>
          <w:p>
            <w:pPr>
              <w:spacing w:after="0"/>
              <w:rPr>
                <w:sz w:val="15"/>
                <w:szCs w:val="15"/>
                <w:color w:val="auto"/>
              </w:rPr>
            </w:pPr>
          </w:p>
        </w:tc>
        <w:tc>
          <w:tcPr>
            <w:tcW w:w="1080" w:type="dxa"/>
            <w:vAlign w:val="bottom"/>
            <w:gridSpan w:val="4"/>
          </w:tcPr>
          <w:p>
            <w:pPr>
              <w:spacing w:after="0" w:line="158" w:lineRule="exact"/>
              <w:rPr>
                <w:sz w:val="20"/>
                <w:szCs w:val="20"/>
                <w:color w:val="auto"/>
              </w:rPr>
            </w:pPr>
            <w:r>
              <w:rPr>
                <w:rFonts w:ascii="Arial" w:cs="Arial" w:eastAsia="Arial" w:hAnsi="Arial"/>
                <w:sz w:val="14"/>
                <w:szCs w:val="14"/>
                <w:b w:val="1"/>
                <w:bCs w:val="1"/>
                <w:color w:val="auto"/>
              </w:rPr>
              <w:t>Management</w:t>
            </w:r>
          </w:p>
        </w:tc>
        <w:tc>
          <w:tcPr>
            <w:tcW w:w="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80" w:type="dxa"/>
            <w:vAlign w:val="bottom"/>
            <w:gridSpan w:val="2"/>
          </w:tcPr>
          <w:p>
            <w:pPr>
              <w:spacing w:after="0" w:line="158" w:lineRule="exact"/>
              <w:rPr>
                <w:sz w:val="20"/>
                <w:szCs w:val="20"/>
                <w:color w:val="auto"/>
              </w:rPr>
            </w:pPr>
            <w:r>
              <w:rPr>
                <w:rFonts w:ascii="Arial" w:cs="Arial" w:eastAsia="Arial" w:hAnsi="Arial"/>
                <w:sz w:val="14"/>
                <w:szCs w:val="14"/>
                <w:b w:val="1"/>
                <w:bCs w:val="1"/>
                <w:color w:val="auto"/>
              </w:rPr>
              <w:t>Resale</w:t>
            </w:r>
          </w:p>
        </w:tc>
        <w:tc>
          <w:tcPr>
            <w:tcW w:w="20" w:type="dxa"/>
            <w:vAlign w:val="bottom"/>
          </w:tcPr>
          <w:p>
            <w:pPr>
              <w:spacing w:after="0"/>
              <w:rPr>
                <w:sz w:val="15"/>
                <w:szCs w:val="15"/>
                <w:color w:val="auto"/>
              </w:rPr>
            </w:pPr>
          </w:p>
        </w:tc>
        <w:tc>
          <w:tcPr>
            <w:tcW w:w="760" w:type="dxa"/>
            <w:vAlign w:val="bottom"/>
            <w:gridSpan w:val="3"/>
            <w:vMerge w:val="continue"/>
          </w:tcPr>
          <w:p>
            <w:pPr>
              <w:spacing w:after="0"/>
              <w:rPr>
                <w:sz w:val="15"/>
                <w:szCs w:val="15"/>
                <w:color w:val="auto"/>
              </w:rPr>
            </w:pPr>
          </w:p>
        </w:tc>
        <w:tc>
          <w:tcPr>
            <w:tcW w:w="120" w:type="dxa"/>
            <w:vAlign w:val="bottom"/>
          </w:tcPr>
          <w:p>
            <w:pPr>
              <w:spacing w:after="0"/>
              <w:rPr>
                <w:sz w:val="15"/>
                <w:szCs w:val="15"/>
                <w:color w:val="auto"/>
              </w:rPr>
            </w:pPr>
          </w:p>
        </w:tc>
        <w:tc>
          <w:tcPr>
            <w:tcW w:w="980" w:type="dxa"/>
            <w:vAlign w:val="bottom"/>
            <w:gridSpan w:val="3"/>
            <w:vMerge w:val="continue"/>
          </w:tcPr>
          <w:p>
            <w:pPr>
              <w:spacing w:after="0"/>
              <w:rPr>
                <w:sz w:val="15"/>
                <w:szCs w:val="15"/>
                <w:color w:val="auto"/>
              </w:rPr>
            </w:pPr>
          </w:p>
        </w:tc>
        <w:tc>
          <w:tcPr>
            <w:tcW w:w="1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80" w:type="dxa"/>
            <w:vAlign w:val="bottom"/>
            <w:gridSpan w:val="2"/>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03"/>
        </w:trPr>
        <w:tc>
          <w:tcPr>
            <w:tcW w:w="508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Lease rental income - owned fleet</w:t>
            </w:r>
          </w:p>
        </w:tc>
        <w:tc>
          <w:tcPr>
            <w:tcW w:w="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w w:val="79"/>
              </w:rPr>
              <w:t>$</w:t>
            </w:r>
          </w:p>
        </w:tc>
        <w:tc>
          <w:tcPr>
            <w:tcW w:w="70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498,414</w:t>
            </w:r>
          </w:p>
        </w:tc>
        <w:tc>
          <w:tcPr>
            <w:tcW w:w="40" w:type="dxa"/>
            <w:vAlign w:val="bottom"/>
            <w:tcBorders>
              <w:top w:val="single" w:sz="8" w:color="CCEEFF"/>
              <w:right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w w:val="99"/>
              </w:rPr>
              <w:t>$</w:t>
            </w:r>
          </w:p>
        </w:tc>
        <w:tc>
          <w:tcPr>
            <w:tcW w:w="720" w:type="dxa"/>
            <w:vAlign w:val="bottom"/>
            <w:tcBorders>
              <w:top w:val="single" w:sz="8" w:color="auto"/>
              <w:right w:val="single" w:sz="8" w:color="CCEEFF"/>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2,948</w:t>
            </w:r>
          </w:p>
        </w:tc>
        <w:tc>
          <w:tcPr>
            <w:tcW w:w="24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w w:val="79"/>
              </w:rPr>
              <w:t>$</w:t>
            </w:r>
          </w:p>
        </w:tc>
        <w:tc>
          <w:tcPr>
            <w:tcW w:w="560" w:type="dxa"/>
            <w:vAlign w:val="bottom"/>
            <w:tcBorders>
              <w:top w:val="single" w:sz="8" w:color="auto"/>
              <w:right w:val="single" w:sz="8" w:color="CCEEFF"/>
            </w:tcBorders>
            <w:shd w:val="clear" w:color="auto" w:fill="CCEEFF"/>
          </w:tcPr>
          <w:p>
            <w:pPr>
              <w:jc w:val="center"/>
              <w:ind w:left="51"/>
              <w:spacing w:after="0" w:line="203" w:lineRule="exact"/>
              <w:rPr>
                <w:sz w:val="20"/>
                <w:szCs w:val="20"/>
                <w:color w:val="auto"/>
              </w:rPr>
            </w:pPr>
            <w:r>
              <w:rPr>
                <w:rFonts w:ascii="Arial" w:cs="Arial" w:eastAsia="Arial" w:hAnsi="Arial"/>
                <w:sz w:val="18"/>
                <w:szCs w:val="18"/>
                <w:color w:val="auto"/>
                <w:w w:val="99"/>
              </w:rPr>
              <w:t>—</w:t>
            </w:r>
          </w:p>
        </w:tc>
        <w:tc>
          <w:tcPr>
            <w:tcW w:w="22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w w:val="99"/>
              </w:rPr>
              <w:t>$</w:t>
            </w:r>
          </w:p>
        </w:tc>
        <w:tc>
          <w:tcPr>
            <w:tcW w:w="480" w:type="dxa"/>
            <w:vAlign w:val="bottom"/>
            <w:tcBorders>
              <w:top w:val="single" w:sz="8" w:color="auto"/>
            </w:tcBorders>
            <w:shd w:val="clear" w:color="auto" w:fill="CCEEFF"/>
          </w:tcPr>
          <w:p>
            <w:pPr>
              <w:jc w:val="right"/>
              <w:ind w:right="11"/>
              <w:spacing w:after="0" w:line="203" w:lineRule="exact"/>
              <w:rPr>
                <w:sz w:val="20"/>
                <w:szCs w:val="20"/>
                <w:color w:val="auto"/>
              </w:rPr>
            </w:pPr>
            <w:r>
              <w:rPr>
                <w:rFonts w:ascii="Arial" w:cs="Arial" w:eastAsia="Arial" w:hAnsi="Arial"/>
                <w:sz w:val="18"/>
                <w:szCs w:val="18"/>
                <w:color w:val="auto"/>
              </w:rPr>
              <w:t>—</w:t>
            </w:r>
          </w:p>
        </w:tc>
        <w:tc>
          <w:tcPr>
            <w:tcW w:w="18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auto"/>
            </w:tcBorders>
            <w:shd w:val="clear" w:color="auto" w:fill="CCEEFF"/>
          </w:tcPr>
          <w:p>
            <w:pPr>
              <w:spacing w:after="0" w:line="203" w:lineRule="exact"/>
              <w:rPr>
                <w:sz w:val="20"/>
                <w:szCs w:val="20"/>
                <w:color w:val="auto"/>
              </w:rPr>
            </w:pPr>
            <w:r>
              <w:rPr>
                <w:rFonts w:ascii="Arial" w:cs="Arial" w:eastAsia="Arial" w:hAnsi="Arial"/>
                <w:sz w:val="18"/>
                <w:szCs w:val="18"/>
                <w:color w:val="auto"/>
              </w:rPr>
              <w:t>$</w:t>
            </w:r>
          </w:p>
        </w:tc>
        <w:tc>
          <w:tcPr>
            <w:tcW w:w="62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w:t>
            </w:r>
          </w:p>
        </w:tc>
        <w:tc>
          <w:tcPr>
            <w:tcW w:w="18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501,362</w:t>
            </w:r>
          </w:p>
        </w:tc>
        <w:tc>
          <w:tcPr>
            <w:tcW w:w="6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23"/>
        </w:trPr>
        <w:tc>
          <w:tcPr>
            <w:tcW w:w="5080" w:type="dxa"/>
            <w:vAlign w:val="bottom"/>
            <w:gridSpan w:val="2"/>
          </w:tcPr>
          <w:p>
            <w:pPr>
              <w:spacing w:after="0"/>
              <w:rPr>
                <w:sz w:val="20"/>
                <w:szCs w:val="20"/>
                <w:color w:val="auto"/>
              </w:rPr>
            </w:pPr>
            <w:r>
              <w:rPr>
                <w:rFonts w:ascii="Arial" w:cs="Arial" w:eastAsia="Arial" w:hAnsi="Arial"/>
                <w:sz w:val="18"/>
                <w:szCs w:val="18"/>
                <w:color w:val="auto"/>
              </w:rPr>
              <w:t>Lease rental income - managed fleet</w:t>
            </w:r>
          </w:p>
        </w:tc>
        <w:tc>
          <w:tcPr>
            <w:tcW w:w="20" w:type="dxa"/>
            <w:vAlign w:val="bottom"/>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80" w:type="dxa"/>
            <w:vAlign w:val="bottom"/>
            <w:tcBorders>
              <w:bottom w:val="single" w:sz="8" w:color="auto"/>
            </w:tcBorders>
          </w:tcPr>
          <w:p>
            <w:pPr>
              <w:spacing w:after="0"/>
              <w:rPr>
                <w:sz w:val="19"/>
                <w:szCs w:val="19"/>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60" w:type="dxa"/>
            <w:vAlign w:val="bottom"/>
            <w:gridSpan w:val="2"/>
          </w:tcPr>
          <w:p>
            <w:pPr>
              <w:spacing w:after="0"/>
              <w:rPr>
                <w:sz w:val="19"/>
                <w:szCs w:val="19"/>
                <w:color w:val="auto"/>
              </w:rPr>
            </w:pPr>
          </w:p>
        </w:tc>
        <w:tc>
          <w:tcPr>
            <w:tcW w:w="100" w:type="dxa"/>
            <w:vAlign w:val="bottom"/>
          </w:tcPr>
          <w:p>
            <w:pPr>
              <w:spacing w:after="0"/>
              <w:rPr>
                <w:sz w:val="19"/>
                <w:szCs w:val="19"/>
                <w:color w:val="auto"/>
              </w:rPr>
            </w:pPr>
          </w:p>
        </w:tc>
        <w:tc>
          <w:tcPr>
            <w:tcW w:w="40" w:type="dxa"/>
            <w:vAlign w:val="bottom"/>
            <w:tcBorders>
              <w:bottom w:val="single" w:sz="8" w:color="auto"/>
            </w:tcBorders>
          </w:tcPr>
          <w:p>
            <w:pPr>
              <w:spacing w:after="0"/>
              <w:rPr>
                <w:sz w:val="19"/>
                <w:szCs w:val="19"/>
                <w:color w:val="auto"/>
              </w:rPr>
            </w:pPr>
          </w:p>
        </w:tc>
        <w:tc>
          <w:tcPr>
            <w:tcW w:w="80" w:type="dxa"/>
            <w:vAlign w:val="bottom"/>
            <w:tcBorders>
              <w:bottom w:val="single" w:sz="8" w:color="auto"/>
            </w:tcBorders>
          </w:tcPr>
          <w:p>
            <w:pPr>
              <w:spacing w:after="0"/>
              <w:rPr>
                <w:sz w:val="19"/>
                <w:szCs w:val="19"/>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111,342</w:t>
            </w:r>
          </w:p>
        </w:tc>
        <w:tc>
          <w:tcPr>
            <w:tcW w:w="240" w:type="dxa"/>
            <w:vAlign w:val="bottom"/>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80" w:type="dxa"/>
            <w:vAlign w:val="bottom"/>
            <w:tcBorders>
              <w:bottom w:val="single" w:sz="8" w:color="auto"/>
            </w:tcBorders>
          </w:tcPr>
          <w:p>
            <w:pPr>
              <w:spacing w:after="0"/>
              <w:rPr>
                <w:sz w:val="19"/>
                <w:szCs w:val="19"/>
                <w:color w:val="auto"/>
              </w:rPr>
            </w:pPr>
          </w:p>
        </w:tc>
        <w:tc>
          <w:tcPr>
            <w:tcW w:w="560" w:type="dxa"/>
            <w:vAlign w:val="bottom"/>
            <w:tcBorders>
              <w:bottom w:val="single" w:sz="8" w:color="auto"/>
            </w:tcBorders>
          </w:tcPr>
          <w:p>
            <w:pPr>
              <w:jc w:val="center"/>
              <w:ind w:left="51"/>
              <w:spacing w:after="0"/>
              <w:rPr>
                <w:sz w:val="20"/>
                <w:szCs w:val="20"/>
                <w:color w:val="auto"/>
              </w:rPr>
            </w:pPr>
            <w:r>
              <w:rPr>
                <w:rFonts w:ascii="Arial" w:cs="Arial" w:eastAsia="Arial" w:hAnsi="Arial"/>
                <w:sz w:val="18"/>
                <w:szCs w:val="18"/>
                <w:color w:val="auto"/>
                <w:w w:val="99"/>
              </w:rPr>
              <w:t>—</w:t>
            </w:r>
          </w:p>
        </w:tc>
        <w:tc>
          <w:tcPr>
            <w:tcW w:w="220" w:type="dxa"/>
            <w:vAlign w:val="bottom"/>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48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80" w:type="dxa"/>
            <w:vAlign w:val="bottom"/>
            <w:tcBorders>
              <w:bottom w:val="single" w:sz="8" w:color="auto"/>
            </w:tcBorders>
          </w:tcPr>
          <w:p>
            <w:pPr>
              <w:spacing w:after="0"/>
              <w:rPr>
                <w:sz w:val="19"/>
                <w:szCs w:val="19"/>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w:t>
            </w:r>
          </w:p>
        </w:tc>
        <w:tc>
          <w:tcPr>
            <w:tcW w:w="1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111,342</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5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Lease rental income</w:t>
            </w:r>
          </w:p>
        </w:tc>
        <w:tc>
          <w:tcPr>
            <w:tcW w:w="120" w:type="dxa"/>
            <w:vAlign w:val="bottom"/>
            <w:gridSpan w:val="3"/>
            <w:shd w:val="clear" w:color="auto" w:fill="CCEEFF"/>
          </w:tcPr>
          <w:p>
            <w:pPr>
              <w:spacing w:after="0"/>
              <w:rPr>
                <w:sz w:val="20"/>
                <w:szCs w:val="20"/>
                <w:color w:val="auto"/>
              </w:rPr>
            </w:pPr>
            <w:r>
              <w:rPr>
                <w:rFonts w:ascii="Arial" w:cs="Arial" w:eastAsia="Arial" w:hAnsi="Arial"/>
                <w:sz w:val="18"/>
                <w:szCs w:val="18"/>
                <w:color w:val="auto"/>
                <w:w w:val="99"/>
              </w:rPr>
              <w:t>$</w:t>
            </w:r>
          </w:p>
        </w:tc>
        <w:tc>
          <w:tcPr>
            <w:tcW w:w="740" w:type="dxa"/>
            <w:vAlign w:val="bottom"/>
            <w:tcBorders>
              <w:right w:val="single" w:sz="8" w:color="CCEEFF"/>
            </w:tcBorders>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498,414</w:t>
            </w:r>
          </w:p>
        </w:tc>
        <w:tc>
          <w:tcPr>
            <w:tcW w:w="120" w:type="dxa"/>
            <w:vAlign w:val="bottom"/>
            <w:shd w:val="clear" w:color="auto" w:fill="CCEEFF"/>
          </w:tcPr>
          <w:p>
            <w:pPr>
              <w:spacing w:after="0"/>
              <w:rPr>
                <w:sz w:val="18"/>
                <w:szCs w:val="18"/>
                <w:color w:val="auto"/>
              </w:rPr>
            </w:pPr>
          </w:p>
        </w:tc>
        <w:tc>
          <w:tcPr>
            <w:tcW w:w="220" w:type="dxa"/>
            <w:vAlign w:val="bottom"/>
            <w:gridSpan w:val="3"/>
            <w:shd w:val="clear" w:color="auto" w:fill="CCEEFF"/>
          </w:tcPr>
          <w:p>
            <w:pPr>
              <w:ind w:left="100"/>
              <w:spacing w:after="0"/>
              <w:rPr>
                <w:sz w:val="20"/>
                <w:szCs w:val="20"/>
                <w:color w:val="auto"/>
              </w:rPr>
            </w:pPr>
            <w:r>
              <w:rPr>
                <w:rFonts w:ascii="Arial" w:cs="Arial" w:eastAsia="Arial" w:hAnsi="Arial"/>
                <w:sz w:val="18"/>
                <w:szCs w:val="18"/>
                <w:color w:val="auto"/>
                <w:w w:val="99"/>
              </w:rPr>
              <w:t>$</w:t>
            </w:r>
          </w:p>
        </w:tc>
        <w:tc>
          <w:tcPr>
            <w:tcW w:w="72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114,290</w:t>
            </w:r>
          </w:p>
        </w:tc>
        <w:tc>
          <w:tcPr>
            <w:tcW w:w="240" w:type="dxa"/>
            <w:vAlign w:val="bottom"/>
            <w:shd w:val="clear" w:color="auto" w:fill="CCEEFF"/>
          </w:tcPr>
          <w:p>
            <w:pPr>
              <w:spacing w:after="0"/>
              <w:rPr>
                <w:sz w:val="18"/>
                <w:szCs w:val="18"/>
                <w:color w:val="auto"/>
              </w:rPr>
            </w:pPr>
          </w:p>
        </w:tc>
        <w:tc>
          <w:tcPr>
            <w:tcW w:w="10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center"/>
              <w:ind w:right="80"/>
              <w:spacing w:after="0"/>
              <w:rPr>
                <w:sz w:val="20"/>
                <w:szCs w:val="20"/>
                <w:color w:val="auto"/>
              </w:rPr>
            </w:pPr>
            <w:r>
              <w:rPr>
                <w:rFonts w:ascii="Arial" w:cs="Arial" w:eastAsia="Arial" w:hAnsi="Arial"/>
                <w:sz w:val="18"/>
                <w:szCs w:val="18"/>
                <w:color w:val="auto"/>
                <w:w w:val="99"/>
              </w:rPr>
              <w:t>—</w:t>
            </w:r>
          </w:p>
        </w:tc>
        <w:tc>
          <w:tcPr>
            <w:tcW w:w="12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9"/>
              </w:rPr>
              <w:t>$</w:t>
            </w:r>
          </w:p>
        </w:tc>
        <w:tc>
          <w:tcPr>
            <w:tcW w:w="6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30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w:t>
            </w:r>
          </w:p>
        </w:tc>
        <w:tc>
          <w:tcPr>
            <w:tcW w:w="800" w:type="dxa"/>
            <w:vAlign w:val="bottom"/>
            <w:gridSpan w:val="2"/>
            <w:shd w:val="clear" w:color="auto" w:fill="CCEEFF"/>
          </w:tcPr>
          <w:p>
            <w:pPr>
              <w:jc w:val="right"/>
              <w:ind w:right="181"/>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612,704</w:t>
            </w:r>
          </w:p>
        </w:tc>
        <w:tc>
          <w:tcPr>
            <w:tcW w:w="0" w:type="dxa"/>
            <w:vAlign w:val="bottom"/>
          </w:tcPr>
          <w:p>
            <w:pPr>
              <w:spacing w:after="0"/>
              <w:rPr>
                <w:sz w:val="1"/>
                <w:szCs w:val="1"/>
                <w:color w:val="auto"/>
              </w:rPr>
            </w:pPr>
          </w:p>
        </w:tc>
      </w:tr>
      <w:tr>
        <w:trPr>
          <w:trHeight w:val="20"/>
        </w:trPr>
        <w:tc>
          <w:tcPr>
            <w:tcW w:w="5080" w:type="dxa"/>
            <w:vAlign w:val="bottom"/>
            <w:gridSpan w:val="2"/>
            <w:vMerge w:val="restart"/>
          </w:tcPr>
          <w:p>
            <w:pPr>
              <w:spacing w:after="0"/>
              <w:rPr>
                <w:sz w:val="20"/>
                <w:szCs w:val="20"/>
                <w:color w:val="auto"/>
              </w:rPr>
            </w:pPr>
            <w:r>
              <w:rPr>
                <w:rFonts w:ascii="Arial" w:cs="Arial" w:eastAsia="Arial" w:hAnsi="Arial"/>
                <w:sz w:val="18"/>
                <w:szCs w:val="18"/>
                <w:color w:val="auto"/>
              </w:rPr>
              <w:t>Management fees - non-leasing from external customers</w:t>
            </w:r>
          </w:p>
        </w:tc>
        <w:tc>
          <w:tcPr>
            <w:tcW w:w="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gridSpan w:val="2"/>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gridSpan w:val="2"/>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gridSpan w:val="2"/>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gridSpan w:val="2"/>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080" w:type="dxa"/>
            <w:vAlign w:val="bottom"/>
            <w:gridSpan w:val="2"/>
            <w:vMerge w:val="continue"/>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w w:val="79"/>
              </w:rPr>
              <w:t>$</w:t>
            </w: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235</w:t>
            </w:r>
          </w:p>
        </w:tc>
        <w:tc>
          <w:tcPr>
            <w:tcW w:w="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w w:val="99"/>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2,752</w:t>
            </w:r>
          </w:p>
        </w:tc>
        <w:tc>
          <w:tcPr>
            <w:tcW w:w="240" w:type="dxa"/>
            <w:vAlign w:val="bottom"/>
          </w:tcPr>
          <w:p>
            <w:pPr>
              <w:spacing w:after="0"/>
              <w:rPr>
                <w:sz w:val="18"/>
                <w:szCs w:val="18"/>
                <w:color w:val="auto"/>
              </w:rPr>
            </w:pPr>
          </w:p>
        </w:tc>
        <w:tc>
          <w:tcPr>
            <w:tcW w:w="10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w w:val="79"/>
              </w:rPr>
              <w:t>$</w:t>
            </w: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5,542</w:t>
            </w:r>
          </w:p>
        </w:tc>
        <w:tc>
          <w:tcPr>
            <w:tcW w:w="220" w:type="dxa"/>
            <w:vAlign w:val="bottom"/>
          </w:tcPr>
          <w:p>
            <w:pPr>
              <w:spacing w:after="0"/>
              <w:rPr>
                <w:sz w:val="18"/>
                <w:szCs w:val="18"/>
                <w:color w:val="auto"/>
              </w:rPr>
            </w:pPr>
          </w:p>
        </w:tc>
        <w:tc>
          <w:tcPr>
            <w:tcW w:w="12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w w:val="99"/>
              </w:rPr>
              <w:t>$</w:t>
            </w:r>
          </w:p>
        </w:tc>
        <w:tc>
          <w:tcPr>
            <w:tcW w:w="48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8,529</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7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Inter-segment management fees</w:t>
            </w:r>
          </w:p>
        </w:tc>
        <w:tc>
          <w:tcPr>
            <w:tcW w:w="120" w:type="dxa"/>
            <w:vAlign w:val="bottom"/>
            <w:gridSpan w:val="3"/>
            <w:shd w:val="clear" w:color="auto" w:fill="CCEEFF"/>
          </w:tcPr>
          <w:p>
            <w:pPr>
              <w:spacing w:after="0"/>
              <w:rPr>
                <w:sz w:val="20"/>
                <w:szCs w:val="20"/>
                <w:color w:val="auto"/>
              </w:rPr>
            </w:pPr>
            <w:r>
              <w:rPr>
                <w:rFonts w:ascii="Arial" w:cs="Arial" w:eastAsia="Arial" w:hAnsi="Arial"/>
                <w:sz w:val="18"/>
                <w:szCs w:val="18"/>
                <w:color w:val="auto"/>
                <w:w w:val="99"/>
              </w:rPr>
              <w:t>$</w:t>
            </w:r>
          </w:p>
        </w:tc>
        <w:tc>
          <w:tcPr>
            <w:tcW w:w="860" w:type="dxa"/>
            <w:vAlign w:val="bottom"/>
            <w:gridSpan w:val="3"/>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220" w:type="dxa"/>
            <w:vAlign w:val="bottom"/>
            <w:gridSpan w:val="3"/>
            <w:shd w:val="clear" w:color="auto" w:fill="CCEEFF"/>
          </w:tcPr>
          <w:p>
            <w:pPr>
              <w:ind w:left="100"/>
              <w:spacing w:after="0"/>
              <w:rPr>
                <w:sz w:val="20"/>
                <w:szCs w:val="20"/>
                <w:color w:val="auto"/>
              </w:rPr>
            </w:pPr>
            <w:r>
              <w:rPr>
                <w:rFonts w:ascii="Arial" w:cs="Arial" w:eastAsia="Arial" w:hAnsi="Arial"/>
                <w:sz w:val="18"/>
                <w:szCs w:val="18"/>
                <w:color w:val="auto"/>
                <w:w w:val="99"/>
              </w:rPr>
              <w:t>$</w:t>
            </w:r>
          </w:p>
        </w:tc>
        <w:tc>
          <w:tcPr>
            <w:tcW w:w="72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48,646</w:t>
            </w:r>
          </w:p>
        </w:tc>
        <w:tc>
          <w:tcPr>
            <w:tcW w:w="240" w:type="dxa"/>
            <w:vAlign w:val="bottom"/>
            <w:shd w:val="clear" w:color="auto" w:fill="CCEEFF"/>
          </w:tcPr>
          <w:p>
            <w:pPr>
              <w:spacing w:after="0"/>
              <w:rPr>
                <w:sz w:val="18"/>
                <w:szCs w:val="18"/>
                <w:color w:val="auto"/>
              </w:rPr>
            </w:pPr>
          </w:p>
        </w:tc>
        <w:tc>
          <w:tcPr>
            <w:tcW w:w="660" w:type="dxa"/>
            <w:vAlign w:val="bottom"/>
            <w:tcBorders>
              <w:right w:val="single" w:sz="8" w:color="CCEEFF"/>
            </w:tcBorders>
            <w:gridSpan w:val="3"/>
            <w:shd w:val="clear" w:color="auto" w:fill="CCEEFF"/>
          </w:tcPr>
          <w:p>
            <w:pPr>
              <w:spacing w:after="0"/>
              <w:rPr>
                <w:sz w:val="20"/>
                <w:szCs w:val="20"/>
                <w:color w:val="auto"/>
              </w:rPr>
            </w:pPr>
            <w:r>
              <w:rPr>
                <w:rFonts w:ascii="Arial" w:cs="Arial" w:eastAsia="Arial" w:hAnsi="Arial"/>
                <w:sz w:val="18"/>
                <w:szCs w:val="18"/>
                <w:color w:val="auto"/>
                <w:w w:val="88"/>
              </w:rPr>
              <w:t>$ 12,132</w:t>
            </w:r>
          </w:p>
        </w:tc>
        <w:tc>
          <w:tcPr>
            <w:tcW w:w="220" w:type="dxa"/>
            <w:vAlign w:val="bottom"/>
            <w:shd w:val="clear" w:color="auto" w:fill="CCEEFF"/>
          </w:tcPr>
          <w:p>
            <w:pPr>
              <w:spacing w:after="0"/>
              <w:rPr>
                <w:sz w:val="18"/>
                <w:szCs w:val="18"/>
                <w:color w:val="auto"/>
              </w:rPr>
            </w:pPr>
          </w:p>
        </w:tc>
        <w:tc>
          <w:tcPr>
            <w:tcW w:w="12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9"/>
              </w:rPr>
              <w:t>$</w:t>
            </w:r>
          </w:p>
        </w:tc>
        <w:tc>
          <w:tcPr>
            <w:tcW w:w="6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30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w:t>
            </w:r>
          </w:p>
        </w:tc>
        <w:tc>
          <w:tcPr>
            <w:tcW w:w="80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w w:val="98"/>
              </w:rPr>
              <w:t>(60,778)</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ind w:left="440"/>
              <w:spacing w:after="0"/>
              <w:rPr>
                <w:sz w:val="20"/>
                <w:szCs w:val="20"/>
                <w:color w:val="auto"/>
              </w:rPr>
            </w:pPr>
            <w:r>
              <w:rPr>
                <w:rFonts w:ascii="Arial" w:cs="Arial" w:eastAsia="Arial" w:hAnsi="Arial"/>
                <w:sz w:val="18"/>
                <w:szCs w:val="18"/>
                <w:b w:val="1"/>
                <w:bCs w:val="1"/>
                <w:color w:val="auto"/>
              </w:rPr>
              <w:t>—</w:t>
            </w:r>
          </w:p>
        </w:tc>
        <w:tc>
          <w:tcPr>
            <w:tcW w:w="0" w:type="dxa"/>
            <w:vAlign w:val="bottom"/>
          </w:tcPr>
          <w:p>
            <w:pPr>
              <w:spacing w:after="0"/>
              <w:rPr>
                <w:sz w:val="1"/>
                <w:szCs w:val="1"/>
                <w:color w:val="auto"/>
              </w:rPr>
            </w:pPr>
          </w:p>
        </w:tc>
      </w:tr>
      <w:tr>
        <w:trPr>
          <w:trHeight w:val="20"/>
        </w:trPr>
        <w:tc>
          <w:tcPr>
            <w:tcW w:w="5080" w:type="dxa"/>
            <w:vAlign w:val="bottom"/>
            <w:gridSpan w:val="2"/>
            <w:vMerge w:val="restart"/>
          </w:tcPr>
          <w:p>
            <w:pPr>
              <w:spacing w:after="0"/>
              <w:rPr>
                <w:sz w:val="20"/>
                <w:szCs w:val="20"/>
                <w:color w:val="auto"/>
              </w:rPr>
            </w:pPr>
            <w:r>
              <w:rPr>
                <w:rFonts w:ascii="Arial" w:cs="Arial" w:eastAsia="Arial" w:hAnsi="Arial"/>
                <w:sz w:val="18"/>
                <w:szCs w:val="18"/>
                <w:color w:val="auto"/>
              </w:rPr>
              <w:t>Trading container margin</w:t>
            </w:r>
          </w:p>
        </w:tc>
        <w:tc>
          <w:tcPr>
            <w:tcW w:w="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gridSpan w:val="2"/>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gridSpan w:val="2"/>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gridSpan w:val="2"/>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gridSpan w:val="2"/>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080" w:type="dxa"/>
            <w:vAlign w:val="bottom"/>
            <w:gridSpan w:val="2"/>
            <w:vMerge w:val="continue"/>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w w:val="79"/>
              </w:rPr>
              <w:t>$</w:t>
            </w: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w w:val="99"/>
              </w:rPr>
              <w:t>$</w:t>
            </w:r>
          </w:p>
        </w:tc>
        <w:tc>
          <w:tcPr>
            <w:tcW w:w="720" w:type="dxa"/>
            <w:vAlign w:val="bottom"/>
            <w:tcBorders>
              <w:bottom w:val="single" w:sz="8" w:color="auto"/>
            </w:tcBorders>
          </w:tcPr>
          <w:p>
            <w:pPr>
              <w:jc w:val="right"/>
              <w:ind w:right="31"/>
              <w:spacing w:after="0"/>
              <w:rPr>
                <w:sz w:val="20"/>
                <w:szCs w:val="20"/>
                <w:color w:val="auto"/>
              </w:rPr>
            </w:pPr>
            <w:r>
              <w:rPr>
                <w:rFonts w:ascii="Arial" w:cs="Arial" w:eastAsia="Arial" w:hAnsi="Arial"/>
                <w:sz w:val="18"/>
                <w:szCs w:val="18"/>
                <w:color w:val="auto"/>
              </w:rPr>
              <w:t>—</w:t>
            </w:r>
          </w:p>
        </w:tc>
        <w:tc>
          <w:tcPr>
            <w:tcW w:w="240" w:type="dxa"/>
            <w:vAlign w:val="bottom"/>
          </w:tcPr>
          <w:p>
            <w:pPr>
              <w:spacing w:after="0"/>
              <w:rPr>
                <w:sz w:val="18"/>
                <w:szCs w:val="18"/>
                <w:color w:val="auto"/>
              </w:rPr>
            </w:pPr>
          </w:p>
        </w:tc>
        <w:tc>
          <w:tcPr>
            <w:tcW w:w="10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w w:val="79"/>
              </w:rPr>
              <w:t>$</w:t>
            </w: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3,450</w:t>
            </w:r>
          </w:p>
        </w:tc>
        <w:tc>
          <w:tcPr>
            <w:tcW w:w="220" w:type="dxa"/>
            <w:vAlign w:val="bottom"/>
          </w:tcPr>
          <w:p>
            <w:pPr>
              <w:spacing w:after="0"/>
              <w:rPr>
                <w:sz w:val="18"/>
                <w:szCs w:val="18"/>
                <w:color w:val="auto"/>
              </w:rPr>
            </w:pPr>
          </w:p>
        </w:tc>
        <w:tc>
          <w:tcPr>
            <w:tcW w:w="12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w w:val="99"/>
              </w:rPr>
              <w:t>$</w:t>
            </w:r>
          </w:p>
        </w:tc>
        <w:tc>
          <w:tcPr>
            <w:tcW w:w="48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3,450</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7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Gain on sale of owned fleet containers, net</w:t>
            </w:r>
          </w:p>
        </w:tc>
        <w:tc>
          <w:tcPr>
            <w:tcW w:w="120" w:type="dxa"/>
            <w:vAlign w:val="bottom"/>
            <w:gridSpan w:val="3"/>
            <w:shd w:val="clear" w:color="auto" w:fill="CCEEFF"/>
          </w:tcPr>
          <w:p>
            <w:pPr>
              <w:spacing w:after="0"/>
              <w:rPr>
                <w:sz w:val="20"/>
                <w:szCs w:val="20"/>
                <w:color w:val="auto"/>
              </w:rPr>
            </w:pPr>
            <w:r>
              <w:rPr>
                <w:rFonts w:ascii="Arial" w:cs="Arial" w:eastAsia="Arial" w:hAnsi="Arial"/>
                <w:sz w:val="18"/>
                <w:szCs w:val="18"/>
                <w:color w:val="auto"/>
                <w:w w:val="99"/>
              </w:rPr>
              <w:t>$</w:t>
            </w:r>
          </w:p>
        </w:tc>
        <w:tc>
          <w:tcPr>
            <w:tcW w:w="740" w:type="dxa"/>
            <w:vAlign w:val="bottom"/>
            <w:tcBorders>
              <w:right w:val="single" w:sz="8" w:color="CCEEFF"/>
            </w:tcBorders>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36,071</w:t>
            </w:r>
          </w:p>
        </w:tc>
        <w:tc>
          <w:tcPr>
            <w:tcW w:w="120" w:type="dxa"/>
            <w:vAlign w:val="bottom"/>
            <w:shd w:val="clear" w:color="auto" w:fill="CCEEFF"/>
          </w:tcPr>
          <w:p>
            <w:pPr>
              <w:spacing w:after="0"/>
              <w:rPr>
                <w:sz w:val="18"/>
                <w:szCs w:val="18"/>
                <w:color w:val="auto"/>
              </w:rPr>
            </w:pPr>
          </w:p>
        </w:tc>
        <w:tc>
          <w:tcPr>
            <w:tcW w:w="220" w:type="dxa"/>
            <w:vAlign w:val="bottom"/>
            <w:gridSpan w:val="3"/>
            <w:shd w:val="clear" w:color="auto" w:fill="CCEEFF"/>
          </w:tcPr>
          <w:p>
            <w:pPr>
              <w:ind w:left="100"/>
              <w:spacing w:after="0"/>
              <w:rPr>
                <w:sz w:val="20"/>
                <w:szCs w:val="20"/>
                <w:color w:val="auto"/>
              </w:rPr>
            </w:pPr>
            <w:r>
              <w:rPr>
                <w:rFonts w:ascii="Arial" w:cs="Arial" w:eastAsia="Arial" w:hAnsi="Arial"/>
                <w:sz w:val="18"/>
                <w:szCs w:val="18"/>
                <w:color w:val="auto"/>
                <w:w w:val="99"/>
              </w:rPr>
              <w:t>$</w:t>
            </w:r>
          </w:p>
        </w:tc>
        <w:tc>
          <w:tcPr>
            <w:tcW w:w="96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10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center"/>
              <w:ind w:right="80"/>
              <w:spacing w:after="0"/>
              <w:rPr>
                <w:sz w:val="20"/>
                <w:szCs w:val="20"/>
                <w:color w:val="auto"/>
              </w:rPr>
            </w:pPr>
            <w:r>
              <w:rPr>
                <w:rFonts w:ascii="Arial" w:cs="Arial" w:eastAsia="Arial" w:hAnsi="Arial"/>
                <w:sz w:val="18"/>
                <w:szCs w:val="18"/>
                <w:color w:val="auto"/>
                <w:w w:val="99"/>
              </w:rPr>
              <w:t>—</w:t>
            </w:r>
          </w:p>
        </w:tc>
        <w:tc>
          <w:tcPr>
            <w:tcW w:w="12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9"/>
              </w:rPr>
              <w:t>$</w:t>
            </w:r>
          </w:p>
        </w:tc>
        <w:tc>
          <w:tcPr>
            <w:tcW w:w="6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30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w:t>
            </w:r>
          </w:p>
        </w:tc>
        <w:tc>
          <w:tcPr>
            <w:tcW w:w="800" w:type="dxa"/>
            <w:vAlign w:val="bottom"/>
            <w:gridSpan w:val="2"/>
            <w:shd w:val="clear" w:color="auto" w:fill="CCEEFF"/>
          </w:tcPr>
          <w:p>
            <w:pPr>
              <w:jc w:val="right"/>
              <w:ind w:right="181"/>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36,071</w:t>
            </w:r>
          </w:p>
        </w:tc>
        <w:tc>
          <w:tcPr>
            <w:tcW w:w="0" w:type="dxa"/>
            <w:vAlign w:val="bottom"/>
          </w:tcPr>
          <w:p>
            <w:pPr>
              <w:spacing w:after="0"/>
              <w:rPr>
                <w:sz w:val="1"/>
                <w:szCs w:val="1"/>
                <w:color w:val="auto"/>
              </w:rPr>
            </w:pPr>
          </w:p>
        </w:tc>
      </w:tr>
      <w:tr>
        <w:trPr>
          <w:trHeight w:val="20"/>
        </w:trPr>
        <w:tc>
          <w:tcPr>
            <w:tcW w:w="5080" w:type="dxa"/>
            <w:vAlign w:val="bottom"/>
            <w:gridSpan w:val="2"/>
            <w:vMerge w:val="restart"/>
          </w:tcPr>
          <w:p>
            <w:pPr>
              <w:spacing w:after="0"/>
              <w:rPr>
                <w:sz w:val="20"/>
                <w:szCs w:val="20"/>
                <w:color w:val="auto"/>
              </w:rPr>
            </w:pPr>
            <w:r>
              <w:rPr>
                <w:rFonts w:ascii="Arial" w:cs="Arial" w:eastAsia="Arial" w:hAnsi="Arial"/>
                <w:sz w:val="18"/>
                <w:szCs w:val="18"/>
                <w:color w:val="auto"/>
              </w:rPr>
              <w:t>Depreciation expense</w:t>
            </w:r>
          </w:p>
        </w:tc>
        <w:tc>
          <w:tcPr>
            <w:tcW w:w="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gridSpan w:val="2"/>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gridSpan w:val="2"/>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gridSpan w:val="2"/>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gridSpan w:val="2"/>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080" w:type="dxa"/>
            <w:vAlign w:val="bottom"/>
            <w:gridSpan w:val="2"/>
            <w:vMerge w:val="continue"/>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w w:val="79"/>
              </w:rPr>
              <w:t>$</w:t>
            </w: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255,442</w:t>
            </w:r>
          </w:p>
        </w:tc>
        <w:tc>
          <w:tcPr>
            <w:tcW w:w="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w w:val="99"/>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794</w:t>
            </w:r>
          </w:p>
        </w:tc>
        <w:tc>
          <w:tcPr>
            <w:tcW w:w="240" w:type="dxa"/>
            <w:vAlign w:val="bottom"/>
          </w:tcPr>
          <w:p>
            <w:pPr>
              <w:spacing w:after="0"/>
              <w:rPr>
                <w:sz w:val="18"/>
                <w:szCs w:val="18"/>
                <w:color w:val="auto"/>
              </w:rPr>
            </w:pPr>
          </w:p>
        </w:tc>
        <w:tc>
          <w:tcPr>
            <w:tcW w:w="10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w w:val="79"/>
              </w:rPr>
              <w:t>$</w:t>
            </w:r>
          </w:p>
        </w:tc>
        <w:tc>
          <w:tcPr>
            <w:tcW w:w="560" w:type="dxa"/>
            <w:vAlign w:val="bottom"/>
            <w:tcBorders>
              <w:bottom w:val="single" w:sz="8" w:color="auto"/>
            </w:tcBorders>
          </w:tcPr>
          <w:p>
            <w:pPr>
              <w:jc w:val="center"/>
              <w:ind w:left="51"/>
              <w:spacing w:after="0"/>
              <w:rPr>
                <w:sz w:val="20"/>
                <w:szCs w:val="20"/>
                <w:color w:val="auto"/>
              </w:rPr>
            </w:pPr>
            <w:r>
              <w:rPr>
                <w:rFonts w:ascii="Arial" w:cs="Arial" w:eastAsia="Arial" w:hAnsi="Arial"/>
                <w:sz w:val="18"/>
                <w:szCs w:val="18"/>
                <w:color w:val="auto"/>
                <w:w w:val="99"/>
              </w:rPr>
              <w:t>—</w:t>
            </w:r>
          </w:p>
        </w:tc>
        <w:tc>
          <w:tcPr>
            <w:tcW w:w="220" w:type="dxa"/>
            <w:vAlign w:val="bottom"/>
          </w:tcPr>
          <w:p>
            <w:pPr>
              <w:spacing w:after="0"/>
              <w:rPr>
                <w:sz w:val="18"/>
                <w:szCs w:val="18"/>
                <w:color w:val="auto"/>
              </w:rPr>
            </w:pPr>
          </w:p>
        </w:tc>
        <w:tc>
          <w:tcPr>
            <w:tcW w:w="12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w w:val="99"/>
              </w:rPr>
              <w:t>$</w:t>
            </w:r>
          </w:p>
        </w:tc>
        <w:tc>
          <w:tcPr>
            <w:tcW w:w="48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(6,736</w:t>
            </w:r>
          </w:p>
        </w:tc>
        <w:tc>
          <w:tcPr>
            <w:tcW w:w="180" w:type="dxa"/>
            <w:vAlign w:val="bottom"/>
          </w:tcPr>
          <w:p>
            <w:pPr>
              <w:jc w:val="right"/>
              <w:ind w:right="41"/>
              <w:spacing w:after="0"/>
              <w:rPr>
                <w:sz w:val="20"/>
                <w:szCs w:val="20"/>
                <w:color w:val="auto"/>
              </w:rPr>
            </w:pPr>
            <w:r>
              <w:rPr>
                <w:rFonts w:ascii="Arial" w:cs="Arial" w:eastAsia="Arial" w:hAnsi="Arial"/>
                <w:sz w:val="16"/>
                <w:szCs w:val="16"/>
                <w:color w:val="auto"/>
                <w:w w:val="74"/>
              </w:rPr>
              <w:t>)</w:t>
            </w:r>
          </w:p>
        </w:tc>
        <w:tc>
          <w:tcPr>
            <w:tcW w:w="1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249,500</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7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Container lessee default expense, net</w:t>
            </w:r>
          </w:p>
        </w:tc>
        <w:tc>
          <w:tcPr>
            <w:tcW w:w="120" w:type="dxa"/>
            <w:vAlign w:val="bottom"/>
            <w:gridSpan w:val="3"/>
            <w:shd w:val="clear" w:color="auto" w:fill="CCEEFF"/>
          </w:tcPr>
          <w:p>
            <w:pPr>
              <w:spacing w:after="0"/>
              <w:rPr>
                <w:sz w:val="20"/>
                <w:szCs w:val="20"/>
                <w:color w:val="auto"/>
              </w:rPr>
            </w:pPr>
            <w:r>
              <w:rPr>
                <w:rFonts w:ascii="Arial" w:cs="Arial" w:eastAsia="Arial" w:hAnsi="Arial"/>
                <w:sz w:val="18"/>
                <w:szCs w:val="18"/>
                <w:color w:val="auto"/>
                <w:w w:val="99"/>
              </w:rPr>
              <w:t>$</w:t>
            </w:r>
          </w:p>
        </w:tc>
        <w:tc>
          <w:tcPr>
            <w:tcW w:w="740" w:type="dxa"/>
            <w:vAlign w:val="bottom"/>
            <w:tcBorders>
              <w:right w:val="single" w:sz="8" w:color="CCEEFF"/>
            </w:tcBorders>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17,948</w:t>
            </w:r>
          </w:p>
        </w:tc>
        <w:tc>
          <w:tcPr>
            <w:tcW w:w="120" w:type="dxa"/>
            <w:vAlign w:val="bottom"/>
            <w:shd w:val="clear" w:color="auto" w:fill="CCEEFF"/>
          </w:tcPr>
          <w:p>
            <w:pPr>
              <w:spacing w:after="0"/>
              <w:rPr>
                <w:sz w:val="18"/>
                <w:szCs w:val="18"/>
                <w:color w:val="auto"/>
              </w:rPr>
            </w:pPr>
          </w:p>
        </w:tc>
        <w:tc>
          <w:tcPr>
            <w:tcW w:w="220" w:type="dxa"/>
            <w:vAlign w:val="bottom"/>
            <w:gridSpan w:val="3"/>
            <w:shd w:val="clear" w:color="auto" w:fill="CCEEFF"/>
          </w:tcPr>
          <w:p>
            <w:pPr>
              <w:ind w:left="100"/>
              <w:spacing w:after="0"/>
              <w:rPr>
                <w:sz w:val="20"/>
                <w:szCs w:val="20"/>
                <w:color w:val="auto"/>
              </w:rPr>
            </w:pPr>
            <w:r>
              <w:rPr>
                <w:rFonts w:ascii="Arial" w:cs="Arial" w:eastAsia="Arial" w:hAnsi="Arial"/>
                <w:sz w:val="18"/>
                <w:szCs w:val="18"/>
                <w:color w:val="auto"/>
                <w:w w:val="99"/>
              </w:rPr>
              <w:t>$</w:t>
            </w:r>
          </w:p>
        </w:tc>
        <w:tc>
          <w:tcPr>
            <w:tcW w:w="96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10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center"/>
              <w:ind w:right="80"/>
              <w:spacing w:after="0"/>
              <w:rPr>
                <w:sz w:val="20"/>
                <w:szCs w:val="20"/>
                <w:color w:val="auto"/>
              </w:rPr>
            </w:pPr>
            <w:r>
              <w:rPr>
                <w:rFonts w:ascii="Arial" w:cs="Arial" w:eastAsia="Arial" w:hAnsi="Arial"/>
                <w:sz w:val="18"/>
                <w:szCs w:val="18"/>
                <w:color w:val="auto"/>
                <w:w w:val="99"/>
              </w:rPr>
              <w:t>—</w:t>
            </w:r>
          </w:p>
        </w:tc>
        <w:tc>
          <w:tcPr>
            <w:tcW w:w="12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9"/>
              </w:rPr>
              <w:t>$</w:t>
            </w:r>
          </w:p>
        </w:tc>
        <w:tc>
          <w:tcPr>
            <w:tcW w:w="6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30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w:t>
            </w:r>
          </w:p>
        </w:tc>
        <w:tc>
          <w:tcPr>
            <w:tcW w:w="800" w:type="dxa"/>
            <w:vAlign w:val="bottom"/>
            <w:gridSpan w:val="2"/>
            <w:shd w:val="clear" w:color="auto" w:fill="CCEEFF"/>
          </w:tcPr>
          <w:p>
            <w:pPr>
              <w:jc w:val="right"/>
              <w:ind w:right="181"/>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17,948</w:t>
            </w:r>
          </w:p>
        </w:tc>
        <w:tc>
          <w:tcPr>
            <w:tcW w:w="0" w:type="dxa"/>
            <w:vAlign w:val="bottom"/>
          </w:tcPr>
          <w:p>
            <w:pPr>
              <w:spacing w:after="0"/>
              <w:rPr>
                <w:sz w:val="1"/>
                <w:szCs w:val="1"/>
                <w:color w:val="auto"/>
              </w:rPr>
            </w:pPr>
          </w:p>
        </w:tc>
      </w:tr>
      <w:tr>
        <w:trPr>
          <w:trHeight w:val="20"/>
        </w:trPr>
        <w:tc>
          <w:tcPr>
            <w:tcW w:w="5080" w:type="dxa"/>
            <w:vAlign w:val="bottom"/>
            <w:gridSpan w:val="2"/>
            <w:vMerge w:val="restart"/>
          </w:tcPr>
          <w:p>
            <w:pPr>
              <w:spacing w:after="0"/>
              <w:rPr>
                <w:sz w:val="20"/>
                <w:szCs w:val="20"/>
                <w:color w:val="auto"/>
              </w:rPr>
            </w:pPr>
            <w:r>
              <w:rPr>
                <w:rFonts w:ascii="Arial" w:cs="Arial" w:eastAsia="Arial" w:hAnsi="Arial"/>
                <w:sz w:val="18"/>
                <w:szCs w:val="18"/>
                <w:color w:val="auto"/>
              </w:rPr>
              <w:t>Interest expense</w:t>
            </w:r>
          </w:p>
        </w:tc>
        <w:tc>
          <w:tcPr>
            <w:tcW w:w="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gridSpan w:val="2"/>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gridSpan w:val="2"/>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gridSpan w:val="2"/>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gridSpan w:val="2"/>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080" w:type="dxa"/>
            <w:vAlign w:val="bottom"/>
            <w:gridSpan w:val="2"/>
            <w:vMerge w:val="continue"/>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w w:val="79"/>
              </w:rPr>
              <w:t>$</w:t>
            </w: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138,427</w:t>
            </w:r>
          </w:p>
        </w:tc>
        <w:tc>
          <w:tcPr>
            <w:tcW w:w="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w w:val="99"/>
              </w:rPr>
              <w:t>$</w:t>
            </w:r>
          </w:p>
        </w:tc>
        <w:tc>
          <w:tcPr>
            <w:tcW w:w="720" w:type="dxa"/>
            <w:vAlign w:val="bottom"/>
            <w:tcBorders>
              <w:bottom w:val="single" w:sz="8" w:color="auto"/>
            </w:tcBorders>
          </w:tcPr>
          <w:p>
            <w:pPr>
              <w:jc w:val="right"/>
              <w:ind w:right="31"/>
              <w:spacing w:after="0"/>
              <w:rPr>
                <w:sz w:val="20"/>
                <w:szCs w:val="20"/>
                <w:color w:val="auto"/>
              </w:rPr>
            </w:pPr>
            <w:r>
              <w:rPr>
                <w:rFonts w:ascii="Arial" w:cs="Arial" w:eastAsia="Arial" w:hAnsi="Arial"/>
                <w:sz w:val="18"/>
                <w:szCs w:val="18"/>
                <w:color w:val="auto"/>
              </w:rPr>
              <w:t>—</w:t>
            </w:r>
          </w:p>
        </w:tc>
        <w:tc>
          <w:tcPr>
            <w:tcW w:w="240" w:type="dxa"/>
            <w:vAlign w:val="bottom"/>
          </w:tcPr>
          <w:p>
            <w:pPr>
              <w:spacing w:after="0"/>
              <w:rPr>
                <w:sz w:val="18"/>
                <w:szCs w:val="18"/>
                <w:color w:val="auto"/>
              </w:rPr>
            </w:pPr>
          </w:p>
        </w:tc>
        <w:tc>
          <w:tcPr>
            <w:tcW w:w="10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w w:val="79"/>
              </w:rPr>
              <w:t>$</w:t>
            </w:r>
          </w:p>
        </w:tc>
        <w:tc>
          <w:tcPr>
            <w:tcW w:w="560" w:type="dxa"/>
            <w:vAlign w:val="bottom"/>
            <w:tcBorders>
              <w:bottom w:val="single" w:sz="8" w:color="auto"/>
            </w:tcBorders>
          </w:tcPr>
          <w:p>
            <w:pPr>
              <w:jc w:val="center"/>
              <w:ind w:left="51"/>
              <w:spacing w:after="0"/>
              <w:rPr>
                <w:sz w:val="20"/>
                <w:szCs w:val="20"/>
                <w:color w:val="auto"/>
              </w:rPr>
            </w:pPr>
            <w:r>
              <w:rPr>
                <w:rFonts w:ascii="Arial" w:cs="Arial" w:eastAsia="Arial" w:hAnsi="Arial"/>
                <w:sz w:val="18"/>
                <w:szCs w:val="18"/>
                <w:color w:val="auto"/>
                <w:w w:val="99"/>
              </w:rPr>
              <w:t>—</w:t>
            </w:r>
          </w:p>
        </w:tc>
        <w:tc>
          <w:tcPr>
            <w:tcW w:w="220" w:type="dxa"/>
            <w:vAlign w:val="bottom"/>
          </w:tcPr>
          <w:p>
            <w:pPr>
              <w:spacing w:after="0"/>
              <w:rPr>
                <w:sz w:val="18"/>
                <w:szCs w:val="18"/>
                <w:color w:val="auto"/>
              </w:rPr>
            </w:pPr>
          </w:p>
        </w:tc>
        <w:tc>
          <w:tcPr>
            <w:tcW w:w="12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w w:val="99"/>
              </w:rPr>
              <w:t>$</w:t>
            </w:r>
          </w:p>
        </w:tc>
        <w:tc>
          <w:tcPr>
            <w:tcW w:w="48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138,427</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7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5080" w:type="dxa"/>
            <w:vAlign w:val="bottom"/>
            <w:gridSpan w:val="2"/>
            <w:shd w:val="clear" w:color="auto" w:fill="CCEEFF"/>
          </w:tcPr>
          <w:p>
            <w:pPr>
              <w:spacing w:after="0" w:line="195" w:lineRule="exact"/>
              <w:rPr>
                <w:sz w:val="20"/>
                <w:szCs w:val="20"/>
                <w:color w:val="auto"/>
              </w:rPr>
            </w:pPr>
            <w:r>
              <w:rPr>
                <w:rFonts w:ascii="Arial" w:cs="Arial" w:eastAsia="Arial" w:hAnsi="Arial"/>
                <w:sz w:val="18"/>
                <w:szCs w:val="18"/>
                <w:color w:val="auto"/>
                <w:w w:val="99"/>
              </w:rPr>
              <w:t>Write-off of unamortized deferred debt issuance costs and bond</w:t>
            </w:r>
          </w:p>
        </w:tc>
        <w:tc>
          <w:tcPr>
            <w:tcW w:w="2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40" w:type="dxa"/>
            <w:vAlign w:val="bottom"/>
            <w:tcBorders>
              <w:right w:val="single" w:sz="8" w:color="CCEEFF"/>
            </w:tcBorders>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20" w:type="dxa"/>
            <w:vAlign w:val="bottom"/>
            <w:tcBorders>
              <w:right w:val="single" w:sz="8" w:color="CCEEFF"/>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560" w:type="dxa"/>
            <w:vAlign w:val="bottom"/>
            <w:tcBorders>
              <w:right w:val="single" w:sz="8" w:color="CCEEFF"/>
            </w:tcBorders>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508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discounts</w:t>
            </w:r>
          </w:p>
        </w:tc>
        <w:tc>
          <w:tcPr>
            <w:tcW w:w="120" w:type="dxa"/>
            <w:vAlign w:val="bottom"/>
            <w:gridSpan w:val="3"/>
            <w:shd w:val="clear" w:color="auto" w:fill="CCEEFF"/>
          </w:tcPr>
          <w:p>
            <w:pPr>
              <w:spacing w:after="0"/>
              <w:rPr>
                <w:sz w:val="20"/>
                <w:szCs w:val="20"/>
                <w:color w:val="auto"/>
              </w:rPr>
            </w:pPr>
            <w:r>
              <w:rPr>
                <w:rFonts w:ascii="Arial" w:cs="Arial" w:eastAsia="Arial" w:hAnsi="Arial"/>
                <w:sz w:val="18"/>
                <w:szCs w:val="18"/>
                <w:color w:val="auto"/>
                <w:w w:val="99"/>
              </w:rPr>
              <w:t>$</w:t>
            </w:r>
          </w:p>
        </w:tc>
        <w:tc>
          <w:tcPr>
            <w:tcW w:w="740" w:type="dxa"/>
            <w:vAlign w:val="bottom"/>
            <w:tcBorders>
              <w:right w:val="single" w:sz="8" w:color="CCEEFF"/>
            </w:tcBorders>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881</w:t>
            </w:r>
          </w:p>
        </w:tc>
        <w:tc>
          <w:tcPr>
            <w:tcW w:w="120" w:type="dxa"/>
            <w:vAlign w:val="bottom"/>
            <w:shd w:val="clear" w:color="auto" w:fill="CCEEFF"/>
          </w:tcPr>
          <w:p>
            <w:pPr>
              <w:spacing w:after="0"/>
              <w:rPr>
                <w:sz w:val="20"/>
                <w:szCs w:val="20"/>
                <w:color w:val="auto"/>
              </w:rPr>
            </w:pPr>
          </w:p>
        </w:tc>
        <w:tc>
          <w:tcPr>
            <w:tcW w:w="220" w:type="dxa"/>
            <w:vAlign w:val="bottom"/>
            <w:gridSpan w:val="3"/>
            <w:shd w:val="clear" w:color="auto" w:fill="CCEEFF"/>
          </w:tcPr>
          <w:p>
            <w:pPr>
              <w:ind w:left="100"/>
              <w:spacing w:after="0"/>
              <w:rPr>
                <w:sz w:val="20"/>
                <w:szCs w:val="20"/>
                <w:color w:val="auto"/>
              </w:rPr>
            </w:pPr>
            <w:r>
              <w:rPr>
                <w:rFonts w:ascii="Arial" w:cs="Arial" w:eastAsia="Arial" w:hAnsi="Arial"/>
                <w:sz w:val="18"/>
                <w:szCs w:val="18"/>
                <w:color w:val="auto"/>
                <w:w w:val="99"/>
              </w:rPr>
              <w:t>$</w:t>
            </w:r>
          </w:p>
        </w:tc>
        <w:tc>
          <w:tcPr>
            <w:tcW w:w="96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10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center"/>
              <w:ind w:right="80"/>
              <w:spacing w:after="0"/>
              <w:rPr>
                <w:sz w:val="20"/>
                <w:szCs w:val="20"/>
                <w:color w:val="auto"/>
              </w:rPr>
            </w:pPr>
            <w:r>
              <w:rPr>
                <w:rFonts w:ascii="Arial" w:cs="Arial" w:eastAsia="Arial" w:hAnsi="Arial"/>
                <w:sz w:val="18"/>
                <w:szCs w:val="18"/>
                <w:color w:val="auto"/>
                <w:w w:val="99"/>
              </w:rPr>
              <w:t>—</w:t>
            </w:r>
          </w:p>
        </w:tc>
        <w:tc>
          <w:tcPr>
            <w:tcW w:w="12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9"/>
              </w:rPr>
              <w:t>$</w:t>
            </w:r>
          </w:p>
        </w:tc>
        <w:tc>
          <w:tcPr>
            <w:tcW w:w="6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30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w:t>
            </w:r>
          </w:p>
        </w:tc>
        <w:tc>
          <w:tcPr>
            <w:tcW w:w="800" w:type="dxa"/>
            <w:vAlign w:val="bottom"/>
            <w:gridSpan w:val="2"/>
            <w:shd w:val="clear" w:color="auto" w:fill="CCEEFF"/>
          </w:tcPr>
          <w:p>
            <w:pPr>
              <w:jc w:val="right"/>
              <w:ind w:right="181"/>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881</w:t>
            </w:r>
          </w:p>
        </w:tc>
        <w:tc>
          <w:tcPr>
            <w:tcW w:w="0" w:type="dxa"/>
            <w:vAlign w:val="bottom"/>
          </w:tcPr>
          <w:p>
            <w:pPr>
              <w:spacing w:after="0"/>
              <w:rPr>
                <w:sz w:val="1"/>
                <w:szCs w:val="1"/>
                <w:color w:val="auto"/>
              </w:rPr>
            </w:pPr>
          </w:p>
        </w:tc>
      </w:tr>
      <w:tr>
        <w:trPr>
          <w:trHeight w:val="20"/>
        </w:trPr>
        <w:tc>
          <w:tcPr>
            <w:tcW w:w="5080" w:type="dxa"/>
            <w:vAlign w:val="bottom"/>
            <w:gridSpan w:val="2"/>
            <w:vMerge w:val="restart"/>
          </w:tcPr>
          <w:p>
            <w:pPr>
              <w:spacing w:after="0"/>
              <w:rPr>
                <w:sz w:val="20"/>
                <w:szCs w:val="20"/>
                <w:color w:val="auto"/>
              </w:rPr>
            </w:pPr>
            <w:r>
              <w:rPr>
                <w:rFonts w:ascii="Arial" w:cs="Arial" w:eastAsia="Arial" w:hAnsi="Arial"/>
                <w:sz w:val="18"/>
                <w:szCs w:val="18"/>
                <w:color w:val="auto"/>
              </w:rPr>
              <w:t>Realized gain on derivative instruments, net</w:t>
            </w:r>
          </w:p>
        </w:tc>
        <w:tc>
          <w:tcPr>
            <w:tcW w:w="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gridSpan w:val="2"/>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gridSpan w:val="2"/>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gridSpan w:val="2"/>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gridSpan w:val="2"/>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080" w:type="dxa"/>
            <w:vAlign w:val="bottom"/>
            <w:gridSpan w:val="2"/>
            <w:vMerge w:val="continue"/>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w w:val="79"/>
              </w:rPr>
              <w:t>$</w:t>
            </w: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5,238</w:t>
            </w:r>
          </w:p>
        </w:tc>
        <w:tc>
          <w:tcPr>
            <w:tcW w:w="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w w:val="99"/>
              </w:rPr>
              <w:t>$</w:t>
            </w:r>
          </w:p>
        </w:tc>
        <w:tc>
          <w:tcPr>
            <w:tcW w:w="720" w:type="dxa"/>
            <w:vAlign w:val="bottom"/>
            <w:tcBorders>
              <w:bottom w:val="single" w:sz="8" w:color="auto"/>
            </w:tcBorders>
          </w:tcPr>
          <w:p>
            <w:pPr>
              <w:jc w:val="right"/>
              <w:ind w:right="31"/>
              <w:spacing w:after="0"/>
              <w:rPr>
                <w:sz w:val="20"/>
                <w:szCs w:val="20"/>
                <w:color w:val="auto"/>
              </w:rPr>
            </w:pPr>
            <w:r>
              <w:rPr>
                <w:rFonts w:ascii="Arial" w:cs="Arial" w:eastAsia="Arial" w:hAnsi="Arial"/>
                <w:sz w:val="18"/>
                <w:szCs w:val="18"/>
                <w:color w:val="auto"/>
              </w:rPr>
              <w:t>—</w:t>
            </w:r>
          </w:p>
        </w:tc>
        <w:tc>
          <w:tcPr>
            <w:tcW w:w="240" w:type="dxa"/>
            <w:vAlign w:val="bottom"/>
          </w:tcPr>
          <w:p>
            <w:pPr>
              <w:spacing w:after="0"/>
              <w:rPr>
                <w:sz w:val="18"/>
                <w:szCs w:val="18"/>
                <w:color w:val="auto"/>
              </w:rPr>
            </w:pPr>
          </w:p>
        </w:tc>
        <w:tc>
          <w:tcPr>
            <w:tcW w:w="10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w w:val="79"/>
              </w:rPr>
              <w:t>$</w:t>
            </w:r>
          </w:p>
        </w:tc>
        <w:tc>
          <w:tcPr>
            <w:tcW w:w="560" w:type="dxa"/>
            <w:vAlign w:val="bottom"/>
            <w:tcBorders>
              <w:bottom w:val="single" w:sz="8" w:color="auto"/>
            </w:tcBorders>
          </w:tcPr>
          <w:p>
            <w:pPr>
              <w:jc w:val="center"/>
              <w:ind w:left="51"/>
              <w:spacing w:after="0"/>
              <w:rPr>
                <w:sz w:val="20"/>
                <w:szCs w:val="20"/>
                <w:color w:val="auto"/>
              </w:rPr>
            </w:pPr>
            <w:r>
              <w:rPr>
                <w:rFonts w:ascii="Arial" w:cs="Arial" w:eastAsia="Arial" w:hAnsi="Arial"/>
                <w:sz w:val="18"/>
                <w:szCs w:val="18"/>
                <w:color w:val="auto"/>
                <w:w w:val="99"/>
              </w:rPr>
              <w:t>—</w:t>
            </w:r>
          </w:p>
        </w:tc>
        <w:tc>
          <w:tcPr>
            <w:tcW w:w="220" w:type="dxa"/>
            <w:vAlign w:val="bottom"/>
          </w:tcPr>
          <w:p>
            <w:pPr>
              <w:spacing w:after="0"/>
              <w:rPr>
                <w:sz w:val="18"/>
                <w:szCs w:val="18"/>
                <w:color w:val="auto"/>
              </w:rPr>
            </w:pPr>
          </w:p>
        </w:tc>
        <w:tc>
          <w:tcPr>
            <w:tcW w:w="12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w w:val="99"/>
              </w:rPr>
              <w:t>$</w:t>
            </w:r>
          </w:p>
        </w:tc>
        <w:tc>
          <w:tcPr>
            <w:tcW w:w="48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5,238</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7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Unrealized loss on derivative instruments, net</w:t>
            </w:r>
          </w:p>
        </w:tc>
        <w:tc>
          <w:tcPr>
            <w:tcW w:w="120" w:type="dxa"/>
            <w:vAlign w:val="bottom"/>
            <w:gridSpan w:val="3"/>
            <w:shd w:val="clear" w:color="auto" w:fill="CCEEFF"/>
          </w:tcPr>
          <w:p>
            <w:pPr>
              <w:spacing w:after="0"/>
              <w:rPr>
                <w:sz w:val="20"/>
                <w:szCs w:val="20"/>
                <w:color w:val="auto"/>
              </w:rPr>
            </w:pPr>
            <w:r>
              <w:rPr>
                <w:rFonts w:ascii="Arial" w:cs="Arial" w:eastAsia="Arial" w:hAnsi="Arial"/>
                <w:sz w:val="18"/>
                <w:szCs w:val="18"/>
                <w:color w:val="auto"/>
                <w:w w:val="99"/>
              </w:rPr>
              <w:t>$</w:t>
            </w:r>
          </w:p>
        </w:tc>
        <w:tc>
          <w:tcPr>
            <w:tcW w:w="740" w:type="dxa"/>
            <w:vAlign w:val="bottom"/>
            <w:tcBorders>
              <w:right w:val="single" w:sz="8" w:color="CCEEFF"/>
            </w:tcBorders>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5,790</w:t>
            </w:r>
          </w:p>
        </w:tc>
        <w:tc>
          <w:tcPr>
            <w:tcW w:w="120" w:type="dxa"/>
            <w:vAlign w:val="bottom"/>
            <w:shd w:val="clear" w:color="auto" w:fill="CCEEFF"/>
          </w:tcPr>
          <w:p>
            <w:pPr>
              <w:spacing w:after="0"/>
              <w:rPr>
                <w:sz w:val="18"/>
                <w:szCs w:val="18"/>
                <w:color w:val="auto"/>
              </w:rPr>
            </w:pPr>
          </w:p>
        </w:tc>
        <w:tc>
          <w:tcPr>
            <w:tcW w:w="220" w:type="dxa"/>
            <w:vAlign w:val="bottom"/>
            <w:gridSpan w:val="3"/>
            <w:shd w:val="clear" w:color="auto" w:fill="CCEEFF"/>
          </w:tcPr>
          <w:p>
            <w:pPr>
              <w:ind w:left="100"/>
              <w:spacing w:after="0"/>
              <w:rPr>
                <w:sz w:val="20"/>
                <w:szCs w:val="20"/>
                <w:color w:val="auto"/>
              </w:rPr>
            </w:pPr>
            <w:r>
              <w:rPr>
                <w:rFonts w:ascii="Arial" w:cs="Arial" w:eastAsia="Arial" w:hAnsi="Arial"/>
                <w:sz w:val="18"/>
                <w:szCs w:val="18"/>
                <w:color w:val="auto"/>
                <w:w w:val="99"/>
              </w:rPr>
              <w:t>$</w:t>
            </w:r>
          </w:p>
        </w:tc>
        <w:tc>
          <w:tcPr>
            <w:tcW w:w="96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10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center"/>
              <w:ind w:right="80"/>
              <w:spacing w:after="0"/>
              <w:rPr>
                <w:sz w:val="20"/>
                <w:szCs w:val="20"/>
                <w:color w:val="auto"/>
              </w:rPr>
            </w:pPr>
            <w:r>
              <w:rPr>
                <w:rFonts w:ascii="Arial" w:cs="Arial" w:eastAsia="Arial" w:hAnsi="Arial"/>
                <w:sz w:val="18"/>
                <w:szCs w:val="18"/>
                <w:color w:val="auto"/>
                <w:w w:val="99"/>
              </w:rPr>
              <w:t>—</w:t>
            </w:r>
          </w:p>
        </w:tc>
        <w:tc>
          <w:tcPr>
            <w:tcW w:w="12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9"/>
              </w:rPr>
              <w:t>$</w:t>
            </w:r>
          </w:p>
        </w:tc>
        <w:tc>
          <w:tcPr>
            <w:tcW w:w="6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30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w:t>
            </w:r>
          </w:p>
        </w:tc>
        <w:tc>
          <w:tcPr>
            <w:tcW w:w="800" w:type="dxa"/>
            <w:vAlign w:val="bottom"/>
            <w:gridSpan w:val="2"/>
            <w:shd w:val="clear" w:color="auto" w:fill="CCEEFF"/>
          </w:tcPr>
          <w:p>
            <w:pPr>
              <w:jc w:val="right"/>
              <w:ind w:right="181"/>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5,790</w:t>
            </w:r>
          </w:p>
        </w:tc>
        <w:tc>
          <w:tcPr>
            <w:tcW w:w="0" w:type="dxa"/>
            <w:vAlign w:val="bottom"/>
          </w:tcPr>
          <w:p>
            <w:pPr>
              <w:spacing w:after="0"/>
              <w:rPr>
                <w:sz w:val="1"/>
                <w:szCs w:val="1"/>
                <w:color w:val="auto"/>
              </w:rPr>
            </w:pPr>
          </w:p>
        </w:tc>
      </w:tr>
      <w:tr>
        <w:trPr>
          <w:trHeight w:val="20"/>
        </w:trPr>
        <w:tc>
          <w:tcPr>
            <w:tcW w:w="5080" w:type="dxa"/>
            <w:vAlign w:val="bottom"/>
            <w:gridSpan w:val="2"/>
            <w:vMerge w:val="restart"/>
          </w:tcPr>
          <w:p>
            <w:pPr>
              <w:spacing w:after="0"/>
              <w:rPr>
                <w:sz w:val="20"/>
                <w:szCs w:val="20"/>
                <w:color w:val="auto"/>
              </w:rPr>
            </w:pPr>
            <w:r>
              <w:rPr>
                <w:rFonts w:ascii="Arial" w:cs="Arial" w:eastAsia="Arial" w:hAnsi="Arial"/>
                <w:sz w:val="18"/>
                <w:szCs w:val="18"/>
                <w:color w:val="auto"/>
              </w:rPr>
              <w:t>Segment income (loss) before income tax and noncontrolling</w:t>
            </w:r>
          </w:p>
        </w:tc>
        <w:tc>
          <w:tcPr>
            <w:tcW w:w="20" w:type="dxa"/>
            <w:vAlign w:val="bottom"/>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5080" w:type="dxa"/>
            <w:vAlign w:val="bottom"/>
            <w:gridSpan w:val="2"/>
            <w:vMerge w:val="continue"/>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5080" w:type="dxa"/>
            <w:vAlign w:val="bottom"/>
            <w:gridSpan w:val="2"/>
          </w:tcPr>
          <w:p>
            <w:pPr>
              <w:ind w:left="180"/>
              <w:spacing w:after="0"/>
              <w:rPr>
                <w:sz w:val="20"/>
                <w:szCs w:val="20"/>
                <w:color w:val="auto"/>
              </w:rPr>
            </w:pPr>
            <w:r>
              <w:rPr>
                <w:rFonts w:ascii="Arial" w:cs="Arial" w:eastAsia="Arial" w:hAnsi="Arial"/>
                <w:sz w:val="18"/>
                <w:szCs w:val="18"/>
                <w:color w:val="auto"/>
              </w:rPr>
              <w:t>interests (1)</w:t>
            </w:r>
          </w:p>
        </w:tc>
        <w:tc>
          <w:tcPr>
            <w:tcW w:w="120" w:type="dxa"/>
            <w:vAlign w:val="bottom"/>
            <w:gridSpan w:val="3"/>
          </w:tcPr>
          <w:p>
            <w:pPr>
              <w:spacing w:after="0"/>
              <w:rPr>
                <w:sz w:val="20"/>
                <w:szCs w:val="20"/>
                <w:color w:val="auto"/>
              </w:rPr>
            </w:pPr>
            <w:r>
              <w:rPr>
                <w:rFonts w:ascii="Arial" w:cs="Arial" w:eastAsia="Arial" w:hAnsi="Arial"/>
                <w:sz w:val="18"/>
                <w:szCs w:val="18"/>
                <w:color w:val="auto"/>
                <w:w w:val="99"/>
              </w:rPr>
              <w:t>$</w:t>
            </w:r>
          </w:p>
        </w:tc>
        <w:tc>
          <w:tcPr>
            <w:tcW w:w="740" w:type="dxa"/>
            <w:vAlign w:val="bottom"/>
            <w:gridSpan w:val="2"/>
          </w:tcPr>
          <w:p>
            <w:pPr>
              <w:jc w:val="right"/>
              <w:ind w:right="40"/>
              <w:spacing w:after="0"/>
              <w:rPr>
                <w:sz w:val="20"/>
                <w:szCs w:val="20"/>
                <w:color w:val="auto"/>
              </w:rPr>
            </w:pPr>
            <w:r>
              <w:rPr>
                <w:rFonts w:ascii="Arial" w:cs="Arial" w:eastAsia="Arial" w:hAnsi="Arial"/>
                <w:sz w:val="18"/>
                <w:szCs w:val="18"/>
                <w:color w:val="auto"/>
              </w:rPr>
              <w:t>26,166</w:t>
            </w:r>
          </w:p>
        </w:tc>
        <w:tc>
          <w:tcPr>
            <w:tcW w:w="120" w:type="dxa"/>
            <w:vAlign w:val="bottom"/>
          </w:tcPr>
          <w:p>
            <w:pPr>
              <w:spacing w:after="0"/>
              <w:rPr>
                <w:sz w:val="20"/>
                <w:szCs w:val="20"/>
                <w:color w:val="auto"/>
              </w:rPr>
            </w:pPr>
          </w:p>
        </w:tc>
        <w:tc>
          <w:tcPr>
            <w:tcW w:w="220" w:type="dxa"/>
            <w:vAlign w:val="bottom"/>
            <w:gridSpan w:val="3"/>
          </w:tcPr>
          <w:p>
            <w:pPr>
              <w:ind w:left="100"/>
              <w:spacing w:after="0"/>
              <w:rPr>
                <w:sz w:val="20"/>
                <w:szCs w:val="20"/>
                <w:color w:val="auto"/>
              </w:rPr>
            </w:pPr>
            <w:r>
              <w:rPr>
                <w:rFonts w:ascii="Arial" w:cs="Arial" w:eastAsia="Arial" w:hAnsi="Arial"/>
                <w:sz w:val="18"/>
                <w:szCs w:val="18"/>
                <w:color w:val="auto"/>
                <w:w w:val="99"/>
              </w:rPr>
              <w:t>$</w:t>
            </w:r>
          </w:p>
        </w:tc>
        <w:tc>
          <w:tcPr>
            <w:tcW w:w="720" w:type="dxa"/>
            <w:vAlign w:val="bottom"/>
          </w:tcPr>
          <w:p>
            <w:pPr>
              <w:jc w:val="right"/>
              <w:spacing w:after="0"/>
              <w:rPr>
                <w:sz w:val="20"/>
                <w:szCs w:val="20"/>
                <w:color w:val="auto"/>
              </w:rPr>
            </w:pPr>
            <w:r>
              <w:rPr>
                <w:rFonts w:ascii="Arial" w:cs="Arial" w:eastAsia="Arial" w:hAnsi="Arial"/>
                <w:sz w:val="18"/>
                <w:szCs w:val="18"/>
                <w:color w:val="auto"/>
              </w:rPr>
              <w:t>20,322</w:t>
            </w:r>
          </w:p>
        </w:tc>
        <w:tc>
          <w:tcPr>
            <w:tcW w:w="240" w:type="dxa"/>
            <w:vAlign w:val="bottom"/>
          </w:tcPr>
          <w:p>
            <w:pPr>
              <w:spacing w:after="0"/>
              <w:rPr>
                <w:sz w:val="20"/>
                <w:szCs w:val="20"/>
                <w:color w:val="auto"/>
              </w:rPr>
            </w:pPr>
          </w:p>
        </w:tc>
        <w:tc>
          <w:tcPr>
            <w:tcW w:w="660" w:type="dxa"/>
            <w:vAlign w:val="bottom"/>
            <w:gridSpan w:val="3"/>
          </w:tcPr>
          <w:p>
            <w:pPr>
              <w:spacing w:after="0"/>
              <w:rPr>
                <w:sz w:val="20"/>
                <w:szCs w:val="20"/>
                <w:color w:val="auto"/>
              </w:rPr>
            </w:pPr>
            <w:r>
              <w:rPr>
                <w:rFonts w:ascii="Arial" w:cs="Arial" w:eastAsia="Arial" w:hAnsi="Arial"/>
                <w:sz w:val="18"/>
                <w:szCs w:val="18"/>
                <w:color w:val="auto"/>
                <w:w w:val="88"/>
              </w:rPr>
              <w:t>$ 16,128</w:t>
            </w:r>
          </w:p>
        </w:tc>
        <w:tc>
          <w:tcPr>
            <w:tcW w:w="220" w:type="dxa"/>
            <w:vAlign w:val="bottom"/>
          </w:tcPr>
          <w:p>
            <w:pPr>
              <w:spacing w:after="0"/>
              <w:rPr>
                <w:sz w:val="20"/>
                <w:szCs w:val="20"/>
                <w:color w:val="auto"/>
              </w:rPr>
            </w:pPr>
          </w:p>
        </w:tc>
        <w:tc>
          <w:tcPr>
            <w:tcW w:w="120" w:type="dxa"/>
            <w:vAlign w:val="bottom"/>
            <w:gridSpan w:val="2"/>
          </w:tcPr>
          <w:p>
            <w:pPr>
              <w:spacing w:after="0"/>
              <w:rPr>
                <w:sz w:val="20"/>
                <w:szCs w:val="20"/>
                <w:color w:val="auto"/>
              </w:rPr>
            </w:pPr>
            <w:r>
              <w:rPr>
                <w:rFonts w:ascii="Arial" w:cs="Arial" w:eastAsia="Arial" w:hAnsi="Arial"/>
                <w:sz w:val="18"/>
                <w:szCs w:val="18"/>
                <w:color w:val="auto"/>
                <w:w w:val="99"/>
              </w:rPr>
              <w:t>$</w:t>
            </w:r>
          </w:p>
        </w:tc>
        <w:tc>
          <w:tcPr>
            <w:tcW w:w="660" w:type="dxa"/>
            <w:vAlign w:val="bottom"/>
            <w:gridSpan w:val="2"/>
          </w:tcPr>
          <w:p>
            <w:pPr>
              <w:jc w:val="right"/>
              <w:ind w:right="120"/>
              <w:spacing w:after="0"/>
              <w:rPr>
                <w:sz w:val="20"/>
                <w:szCs w:val="20"/>
                <w:color w:val="auto"/>
              </w:rPr>
            </w:pPr>
            <w:r>
              <w:rPr>
                <w:rFonts w:ascii="Arial" w:cs="Arial" w:eastAsia="Arial" w:hAnsi="Arial"/>
                <w:sz w:val="18"/>
                <w:szCs w:val="18"/>
                <w:color w:val="auto"/>
                <w:w w:val="91"/>
              </w:rPr>
              <w:t>(4,083)</w:t>
            </w:r>
          </w:p>
        </w:tc>
        <w:tc>
          <w:tcPr>
            <w:tcW w:w="300" w:type="dxa"/>
            <w:vAlign w:val="bottom"/>
            <w:gridSpan w:val="2"/>
          </w:tcPr>
          <w:p>
            <w:pPr>
              <w:ind w:left="120"/>
              <w:spacing w:after="0"/>
              <w:rPr>
                <w:sz w:val="20"/>
                <w:szCs w:val="20"/>
                <w:color w:val="auto"/>
              </w:rPr>
            </w:pPr>
            <w:r>
              <w:rPr>
                <w:rFonts w:ascii="Arial" w:cs="Arial" w:eastAsia="Arial" w:hAnsi="Arial"/>
                <w:sz w:val="18"/>
                <w:szCs w:val="18"/>
                <w:color w:val="auto"/>
              </w:rPr>
              <w:t>$</w:t>
            </w:r>
          </w:p>
        </w:tc>
        <w:tc>
          <w:tcPr>
            <w:tcW w:w="800" w:type="dxa"/>
            <w:vAlign w:val="bottom"/>
            <w:gridSpan w:val="2"/>
          </w:tcPr>
          <w:p>
            <w:pPr>
              <w:jc w:val="right"/>
              <w:ind w:right="41"/>
              <w:spacing w:after="0"/>
              <w:rPr>
                <w:sz w:val="20"/>
                <w:szCs w:val="20"/>
                <w:color w:val="auto"/>
              </w:rPr>
            </w:pPr>
            <w:r>
              <w:rPr>
                <w:rFonts w:ascii="Arial" w:cs="Arial" w:eastAsia="Arial" w:hAnsi="Arial"/>
                <w:sz w:val="18"/>
                <w:szCs w:val="18"/>
                <w:color w:val="auto"/>
              </w:rPr>
              <w:t>(2,258)</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tcPr>
          <w:p>
            <w:pPr>
              <w:jc w:val="right"/>
              <w:ind w:right="60"/>
              <w:spacing w:after="0"/>
              <w:rPr>
                <w:sz w:val="20"/>
                <w:szCs w:val="20"/>
                <w:color w:val="auto"/>
              </w:rPr>
            </w:pPr>
            <w:r>
              <w:rPr>
                <w:rFonts w:ascii="Arial" w:cs="Arial" w:eastAsia="Arial" w:hAnsi="Arial"/>
                <w:sz w:val="18"/>
                <w:szCs w:val="18"/>
                <w:color w:val="auto"/>
              </w:rPr>
              <w:t>56,275</w:t>
            </w: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7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 assets</w:t>
            </w:r>
          </w:p>
        </w:tc>
        <w:tc>
          <w:tcPr>
            <w:tcW w:w="860" w:type="dxa"/>
            <w:vAlign w:val="bottom"/>
            <w:tcBorders>
              <w:right w:val="single" w:sz="8" w:color="CCEEFF"/>
            </w:tcBorders>
            <w:gridSpan w:val="5"/>
            <w:shd w:val="clear" w:color="auto" w:fill="CCEEFF"/>
          </w:tcPr>
          <w:p>
            <w:pPr>
              <w:spacing w:after="0"/>
              <w:rPr>
                <w:sz w:val="20"/>
                <w:szCs w:val="20"/>
                <w:color w:val="auto"/>
              </w:rPr>
            </w:pPr>
            <w:r>
              <w:rPr>
                <w:rFonts w:ascii="Arial" w:cs="Arial" w:eastAsia="Arial" w:hAnsi="Arial"/>
                <w:sz w:val="18"/>
                <w:szCs w:val="18"/>
                <w:u w:val="single" w:color="auto"/>
                <w:color w:val="auto"/>
                <w:w w:val="90"/>
              </w:rPr>
              <w:t>$</w:t>
            </w:r>
            <w:r>
              <w:rPr>
                <w:rFonts w:ascii="Arial" w:cs="Arial" w:eastAsia="Arial" w:hAnsi="Arial"/>
                <w:sz w:val="18"/>
                <w:szCs w:val="18"/>
                <w:color w:val="auto"/>
                <w:w w:val="90"/>
              </w:rPr>
              <w:t>4,648,938</w:t>
            </w:r>
          </w:p>
        </w:tc>
        <w:tc>
          <w:tcPr>
            <w:tcW w:w="120" w:type="dxa"/>
            <w:vAlign w:val="bottom"/>
            <w:shd w:val="clear" w:color="auto" w:fill="CCEEFF"/>
          </w:tcPr>
          <w:p>
            <w:pPr>
              <w:spacing w:after="0"/>
              <w:rPr>
                <w:sz w:val="18"/>
                <w:szCs w:val="18"/>
                <w:color w:val="auto"/>
              </w:rPr>
            </w:pPr>
          </w:p>
        </w:tc>
        <w:tc>
          <w:tcPr>
            <w:tcW w:w="220" w:type="dxa"/>
            <w:vAlign w:val="bottom"/>
            <w:gridSpan w:val="3"/>
            <w:shd w:val="clear" w:color="auto" w:fill="CCEEFF"/>
          </w:tcPr>
          <w:p>
            <w:pPr>
              <w:ind w:left="100"/>
              <w:spacing w:after="0"/>
              <w:rPr>
                <w:sz w:val="20"/>
                <w:szCs w:val="20"/>
                <w:color w:val="auto"/>
              </w:rPr>
            </w:pPr>
            <w:r>
              <w:rPr>
                <w:rFonts w:ascii="Arial" w:cs="Arial" w:eastAsia="Arial" w:hAnsi="Arial"/>
                <w:sz w:val="18"/>
                <w:szCs w:val="18"/>
                <w:color w:val="auto"/>
                <w:w w:val="99"/>
              </w:rPr>
              <w:t>$</w:t>
            </w:r>
          </w:p>
        </w:tc>
        <w:tc>
          <w:tcPr>
            <w:tcW w:w="72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152,801</w:t>
            </w:r>
          </w:p>
        </w:tc>
        <w:tc>
          <w:tcPr>
            <w:tcW w:w="240" w:type="dxa"/>
            <w:vAlign w:val="bottom"/>
            <w:shd w:val="clear" w:color="auto" w:fill="CCEEFF"/>
          </w:tcPr>
          <w:p>
            <w:pPr>
              <w:spacing w:after="0"/>
              <w:rPr>
                <w:sz w:val="18"/>
                <w:szCs w:val="18"/>
                <w:color w:val="auto"/>
              </w:rPr>
            </w:pPr>
          </w:p>
        </w:tc>
        <w:tc>
          <w:tcPr>
            <w:tcW w:w="660" w:type="dxa"/>
            <w:vAlign w:val="bottom"/>
            <w:tcBorders>
              <w:right w:val="single" w:sz="8" w:color="CCEEFF"/>
            </w:tcBorders>
            <w:gridSpan w:val="3"/>
            <w:shd w:val="clear" w:color="auto" w:fill="CCEEFF"/>
          </w:tcPr>
          <w:p>
            <w:pPr>
              <w:spacing w:after="0"/>
              <w:rPr>
                <w:sz w:val="20"/>
                <w:szCs w:val="20"/>
                <w:color w:val="auto"/>
              </w:rPr>
            </w:pPr>
            <w:r>
              <w:rPr>
                <w:rFonts w:ascii="Arial" w:cs="Arial" w:eastAsia="Arial" w:hAnsi="Arial"/>
                <w:sz w:val="18"/>
                <w:szCs w:val="18"/>
                <w:color w:val="auto"/>
                <w:w w:val="88"/>
              </w:rPr>
              <w:t>$ 45,110</w:t>
            </w:r>
          </w:p>
        </w:tc>
        <w:tc>
          <w:tcPr>
            <w:tcW w:w="220" w:type="dxa"/>
            <w:vAlign w:val="bottom"/>
            <w:shd w:val="clear" w:color="auto" w:fill="CCEEFF"/>
          </w:tcPr>
          <w:p>
            <w:pPr>
              <w:spacing w:after="0"/>
              <w:rPr>
                <w:sz w:val="18"/>
                <w:szCs w:val="18"/>
                <w:color w:val="auto"/>
              </w:rPr>
            </w:pPr>
          </w:p>
        </w:tc>
        <w:tc>
          <w:tcPr>
            <w:tcW w:w="780" w:type="dxa"/>
            <w:vAlign w:val="bottom"/>
            <w:gridSpan w:val="4"/>
            <w:shd w:val="clear" w:color="auto" w:fill="CCEEFF"/>
          </w:tcPr>
          <w:p>
            <w:pPr>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10,653</w:t>
            </w:r>
          </w:p>
        </w:tc>
        <w:tc>
          <w:tcPr>
            <w:tcW w:w="30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w:t>
            </w:r>
          </w:p>
        </w:tc>
        <w:tc>
          <w:tcPr>
            <w:tcW w:w="80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w w:val="98"/>
              </w:rPr>
              <w:t>(88,733)</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87"/>
              </w:rPr>
              <w:t>4,768,769</w:t>
            </w:r>
          </w:p>
        </w:tc>
        <w:tc>
          <w:tcPr>
            <w:tcW w:w="0" w:type="dxa"/>
            <w:vAlign w:val="bottom"/>
          </w:tcPr>
          <w:p>
            <w:pPr>
              <w:spacing w:after="0"/>
              <w:rPr>
                <w:sz w:val="1"/>
                <w:szCs w:val="1"/>
                <w:color w:val="auto"/>
              </w:rPr>
            </w:pPr>
          </w:p>
        </w:tc>
      </w:tr>
      <w:tr>
        <w:trPr>
          <w:trHeight w:val="20"/>
        </w:trPr>
        <w:tc>
          <w:tcPr>
            <w:tcW w:w="5080" w:type="dxa"/>
            <w:vAlign w:val="bottom"/>
            <w:gridSpan w:val="2"/>
            <w:vMerge w:val="restart"/>
          </w:tcPr>
          <w:p>
            <w:pPr>
              <w:spacing w:after="0"/>
              <w:rPr>
                <w:sz w:val="20"/>
                <w:szCs w:val="20"/>
                <w:color w:val="auto"/>
              </w:rPr>
            </w:pPr>
            <w:r>
              <w:rPr>
                <w:rFonts w:ascii="Arial" w:cs="Arial" w:eastAsia="Arial" w:hAnsi="Arial"/>
                <w:sz w:val="18"/>
                <w:szCs w:val="18"/>
                <w:color w:val="auto"/>
              </w:rPr>
              <w:t>Purchase of containers and fixed assets</w:t>
            </w:r>
          </w:p>
        </w:tc>
        <w:tc>
          <w:tcPr>
            <w:tcW w:w="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gridSpan w:val="2"/>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gridSpan w:val="2"/>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gridSpan w:val="2"/>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gridSpan w:val="2"/>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080" w:type="dxa"/>
            <w:vAlign w:val="bottom"/>
            <w:gridSpan w:val="2"/>
            <w:vMerge w:val="continue"/>
          </w:tcPr>
          <w:p>
            <w:pPr>
              <w:spacing w:after="0"/>
              <w:rPr>
                <w:sz w:val="18"/>
                <w:szCs w:val="18"/>
                <w:color w:val="auto"/>
              </w:rPr>
            </w:pPr>
          </w:p>
        </w:tc>
        <w:tc>
          <w:tcPr>
            <w:tcW w:w="20" w:type="dxa"/>
            <w:vAlign w:val="bottom"/>
            <w:tcBorders>
              <w:bottom w:val="single" w:sz="8" w:color="auto"/>
            </w:tcBorders>
          </w:tcPr>
          <w:p>
            <w:pPr>
              <w:spacing w:after="0"/>
              <w:rPr>
                <w:sz w:val="18"/>
                <w:szCs w:val="18"/>
                <w:color w:val="auto"/>
              </w:rPr>
            </w:pPr>
          </w:p>
        </w:tc>
        <w:tc>
          <w:tcPr>
            <w:tcW w:w="10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w w:val="79"/>
              </w:rPr>
              <w:t>$</w:t>
            </w: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765,297</w:t>
            </w:r>
          </w:p>
        </w:tc>
        <w:tc>
          <w:tcPr>
            <w:tcW w:w="40" w:type="dxa"/>
            <w:vAlign w:val="bottom"/>
            <w:tcBorders>
              <w:bottom w:val="single" w:sz="8" w:color="auto"/>
            </w:tcBorders>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w w:val="99"/>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709</w:t>
            </w:r>
          </w:p>
        </w:tc>
        <w:tc>
          <w:tcPr>
            <w:tcW w:w="240" w:type="dxa"/>
            <w:vAlign w:val="bottom"/>
          </w:tcPr>
          <w:p>
            <w:pPr>
              <w:spacing w:after="0"/>
              <w:rPr>
                <w:sz w:val="18"/>
                <w:szCs w:val="18"/>
                <w:color w:val="auto"/>
              </w:rPr>
            </w:pPr>
          </w:p>
        </w:tc>
        <w:tc>
          <w:tcPr>
            <w:tcW w:w="10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w w:val="79"/>
              </w:rPr>
              <w:t>$</w:t>
            </w:r>
          </w:p>
        </w:tc>
        <w:tc>
          <w:tcPr>
            <w:tcW w:w="560" w:type="dxa"/>
            <w:vAlign w:val="bottom"/>
            <w:tcBorders>
              <w:bottom w:val="single" w:sz="8" w:color="auto"/>
            </w:tcBorders>
          </w:tcPr>
          <w:p>
            <w:pPr>
              <w:jc w:val="center"/>
              <w:ind w:left="51"/>
              <w:spacing w:after="0"/>
              <w:rPr>
                <w:sz w:val="20"/>
                <w:szCs w:val="20"/>
                <w:color w:val="auto"/>
              </w:rPr>
            </w:pPr>
            <w:r>
              <w:rPr>
                <w:rFonts w:ascii="Arial" w:cs="Arial" w:eastAsia="Arial" w:hAnsi="Arial"/>
                <w:sz w:val="18"/>
                <w:szCs w:val="18"/>
                <w:color w:val="auto"/>
                <w:w w:val="99"/>
              </w:rPr>
              <w:t>—</w:t>
            </w:r>
          </w:p>
        </w:tc>
        <w:tc>
          <w:tcPr>
            <w:tcW w:w="220" w:type="dxa"/>
            <w:vAlign w:val="bottom"/>
          </w:tcPr>
          <w:p>
            <w:pPr>
              <w:spacing w:after="0"/>
              <w:rPr>
                <w:sz w:val="18"/>
                <w:szCs w:val="18"/>
                <w:color w:val="auto"/>
              </w:rPr>
            </w:pPr>
          </w:p>
        </w:tc>
        <w:tc>
          <w:tcPr>
            <w:tcW w:w="12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w w:val="99"/>
              </w:rPr>
              <w:t>$</w:t>
            </w:r>
          </w:p>
        </w:tc>
        <w:tc>
          <w:tcPr>
            <w:tcW w:w="48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766,006</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7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42" w:lineRule="exact"/>
        <w:rPr>
          <w:sz w:val="20"/>
          <w:szCs w:val="20"/>
          <w:color w:val="auto"/>
        </w:rPr>
      </w:pPr>
    </w:p>
    <w:p>
      <w:pPr>
        <w:ind w:left="424" w:right="40" w:hanging="424"/>
        <w:spacing w:after="0" w:line="311" w:lineRule="auto"/>
        <w:tabs>
          <w:tab w:leader="none" w:pos="424" w:val="left"/>
        </w:tabs>
        <w:numPr>
          <w:ilvl w:val="0"/>
          <w:numId w:val="131"/>
        </w:numPr>
        <w:rPr>
          <w:rFonts w:ascii="Arial" w:cs="Arial" w:eastAsia="Arial" w:hAnsi="Arial"/>
          <w:sz w:val="16"/>
          <w:szCs w:val="16"/>
          <w:color w:val="auto"/>
        </w:rPr>
      </w:pPr>
      <w:r>
        <w:rPr>
          <w:rFonts w:ascii="Arial" w:cs="Arial" w:eastAsia="Arial" w:hAnsi="Arial"/>
          <w:sz w:val="16"/>
          <w:szCs w:val="16"/>
          <w:color w:val="auto"/>
        </w:rPr>
        <w:t>Container Ownership segment income (loss) before income tax and noncontrolling interests includes unrealized loss on derivative instruments, net of $6,044, $15,442 and $5,790 for the years ended December 31, 2020, 2019 and 2018, respectively, and write-off of unamortized deferred debt issuance costs and bond discounts of $8,750, $0 and $881 for the years ended December 31, 2020, 2019 and 2018, respectively.</w:t>
      </w:r>
    </w:p>
    <w:p>
      <w:pPr>
        <w:spacing w:after="0" w:line="81"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F-43</w:t>
      </w:r>
    </w:p>
    <w:p>
      <w:pPr>
        <w:sectPr>
          <w:pgSz w:w="11900" w:h="16838" w:orient="portrait"/>
          <w:cols w:equalWidth="0" w:num="1">
            <w:col w:w="11024"/>
          </w:cols>
          <w:pgMar w:left="436" w:top="253" w:right="439" w:bottom="1440" w:gutter="0" w:footer="0" w:header="0"/>
        </w:sectPr>
      </w:pPr>
    </w:p>
    <w:bookmarkStart w:id="157" w:name="page158"/>
    <w:bookmarkEnd w:id="157"/>
    <w:p>
      <w:pPr>
        <w:jc w:val="both"/>
        <w:ind w:right="40" w:firstLine="44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7174865" cy="38735"/>
                    </a:xfrm>
                    <a:prstGeom prst="rect">
                      <a:avLst/>
                    </a:prstGeom>
                    <a:noFill/>
                  </pic:spPr>
                </pic:pic>
              </a:graphicData>
            </a:graphic>
          </wp:anchor>
        </w:drawing>
        <w:t>General and administrative expenses are allocated to the reportable business segments based on direct overhead costs incurred by those segments. Amounts reported in the “Other” column represent activity unrelated to the active reportable business segments. Amounts reported in the “Eliminations” column represent inter-segment management fees between the Container Management and the Container Resale segments and the Container Ownership segment.</w:t>
      </w:r>
    </w:p>
    <w:p>
      <w:pPr>
        <w:spacing w:after="0" w:line="295" w:lineRule="exact"/>
        <w:rPr>
          <w:sz w:val="20"/>
          <w:szCs w:val="20"/>
          <w:color w:val="auto"/>
        </w:rPr>
      </w:pPr>
    </w:p>
    <w:p>
      <w:pPr>
        <w:ind w:left="220"/>
        <w:spacing w:after="0"/>
        <w:rPr>
          <w:sz w:val="20"/>
          <w:szCs w:val="20"/>
          <w:color w:val="auto"/>
        </w:rPr>
      </w:pPr>
      <w:r>
        <w:rPr>
          <w:rFonts w:ascii="Arial" w:cs="Arial" w:eastAsia="Arial" w:hAnsi="Arial"/>
          <w:sz w:val="18"/>
          <w:szCs w:val="18"/>
          <w:b w:val="1"/>
          <w:bCs w:val="1"/>
          <w:i w:val="1"/>
          <w:iCs w:val="1"/>
          <w:color w:val="auto"/>
        </w:rPr>
        <w:t>Geographic Segment Information</w:t>
      </w:r>
    </w:p>
    <w:p>
      <w:pPr>
        <w:spacing w:after="0" w:line="117" w:lineRule="exact"/>
        <w:rPr>
          <w:sz w:val="20"/>
          <w:szCs w:val="20"/>
          <w:color w:val="auto"/>
        </w:rPr>
      </w:pPr>
    </w:p>
    <w:p>
      <w:pPr>
        <w:ind w:right="20" w:firstLine="440"/>
        <w:spacing w:after="0" w:line="279" w:lineRule="auto"/>
        <w:rPr>
          <w:sz w:val="20"/>
          <w:szCs w:val="20"/>
          <w:color w:val="auto"/>
        </w:rPr>
      </w:pPr>
      <w:r>
        <w:rPr>
          <w:rFonts w:ascii="Arial" w:cs="Arial" w:eastAsia="Arial" w:hAnsi="Arial"/>
          <w:sz w:val="17"/>
          <w:szCs w:val="17"/>
          <w:color w:val="auto"/>
        </w:rPr>
        <w:t>The Company’s container lessees use containers for their global trade utilizing many worldwide trade routes. The Company earns its revenue from international carriers when the containers are on hire. Substantially all of the Company’s leasing related revenue is denominated in U.S. dollars. As all of the Company’s containers are used internationally, where no single container is domiciled in one particular place for a prolonged period of time, all of the Company’s long-lived assets are considered to be international with no single country of use.</w:t>
      </w:r>
    </w:p>
    <w:p>
      <w:pPr>
        <w:spacing w:after="0" w:line="171" w:lineRule="exact"/>
        <w:rPr>
          <w:sz w:val="20"/>
          <w:szCs w:val="20"/>
          <w:color w:val="auto"/>
        </w:rPr>
      </w:pPr>
    </w:p>
    <w:p>
      <w:pPr>
        <w:ind w:right="140" w:firstLine="440"/>
        <w:spacing w:after="0" w:line="277" w:lineRule="auto"/>
        <w:rPr>
          <w:sz w:val="20"/>
          <w:szCs w:val="20"/>
          <w:color w:val="auto"/>
        </w:rPr>
      </w:pPr>
      <w:r>
        <w:rPr>
          <w:rFonts w:ascii="Arial" w:cs="Arial" w:eastAsia="Arial" w:hAnsi="Arial"/>
          <w:sz w:val="18"/>
          <w:szCs w:val="18"/>
          <w:color w:val="auto"/>
        </w:rPr>
        <w:t>The following table represents the geographic allocation of total fleet lease rental income and management fees from non-leasing services during the years ended December 31, 2020, 2019 and 2018 based on customers’ and Container Investors’ primary domicile:</w:t>
      </w:r>
    </w:p>
    <w:p>
      <w:pPr>
        <w:spacing w:after="0" w:line="18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3860" w:type="dxa"/>
            <w:vAlign w:val="bottom"/>
          </w:tcPr>
          <w:p>
            <w:pPr>
              <w:spacing w:after="0"/>
              <w:rPr>
                <w:sz w:val="14"/>
                <w:szCs w:val="14"/>
                <w:color w:val="auto"/>
              </w:rPr>
            </w:pPr>
          </w:p>
        </w:tc>
        <w:tc>
          <w:tcPr>
            <w:tcW w:w="236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8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48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700" w:type="dxa"/>
            <w:vAlign w:val="bottom"/>
            <w:tcBorders>
              <w:bottom w:val="single" w:sz="8" w:color="auto"/>
            </w:tcBorders>
            <w:gridSpan w:val="6"/>
          </w:tcPr>
          <w:p>
            <w:pPr>
              <w:jc w:val="right"/>
              <w:ind w:right="80"/>
              <w:spacing w:after="0"/>
              <w:rPr>
                <w:sz w:val="20"/>
                <w:szCs w:val="20"/>
                <w:color w:val="auto"/>
              </w:rPr>
            </w:pPr>
            <w:r>
              <w:rPr>
                <w:rFonts w:ascii="Arial" w:cs="Arial" w:eastAsia="Arial" w:hAnsi="Arial"/>
                <w:sz w:val="14"/>
                <w:szCs w:val="14"/>
                <w:b w:val="1"/>
                <w:bCs w:val="1"/>
                <w:color w:val="auto"/>
                <w:w w:val="89"/>
              </w:rPr>
              <w:t>Years ended December 31,</w:t>
            </w:r>
          </w:p>
        </w:tc>
        <w:tc>
          <w:tcPr>
            <w:tcW w:w="8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460" w:type="dxa"/>
            <w:vAlign w:val="bottom"/>
            <w:tcBorders>
              <w:bottom w:val="single" w:sz="8" w:color="auto"/>
            </w:tcBorders>
          </w:tcPr>
          <w:p>
            <w:pPr>
              <w:spacing w:after="0"/>
              <w:rPr>
                <w:sz w:val="14"/>
                <w:szCs w:val="14"/>
                <w:color w:val="auto"/>
              </w:rPr>
            </w:pPr>
          </w:p>
        </w:tc>
        <w:tc>
          <w:tcPr>
            <w:tcW w:w="2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3860" w:type="dxa"/>
            <w:vAlign w:val="bottom"/>
          </w:tcPr>
          <w:p>
            <w:pPr>
              <w:spacing w:after="0"/>
              <w:rPr>
                <w:sz w:val="10"/>
                <w:szCs w:val="10"/>
                <w:color w:val="auto"/>
              </w:rPr>
            </w:pPr>
          </w:p>
        </w:tc>
        <w:tc>
          <w:tcPr>
            <w:tcW w:w="23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80" w:type="dxa"/>
            <w:vAlign w:val="bottom"/>
            <w:vMerge w:val="restart"/>
          </w:tcPr>
          <w:p>
            <w:pPr>
              <w:jc w:val="right"/>
              <w:ind w:right="112"/>
              <w:spacing w:after="0"/>
              <w:rPr>
                <w:sz w:val="20"/>
                <w:szCs w:val="20"/>
                <w:color w:val="auto"/>
              </w:rPr>
            </w:pPr>
            <w:r>
              <w:rPr>
                <w:rFonts w:ascii="Arial" w:cs="Arial" w:eastAsia="Arial" w:hAnsi="Arial"/>
                <w:sz w:val="14"/>
                <w:szCs w:val="14"/>
                <w:b w:val="1"/>
                <w:bCs w:val="1"/>
                <w:color w:val="auto"/>
              </w:rPr>
              <w:t>2020</w:t>
            </w:r>
          </w:p>
        </w:tc>
        <w:tc>
          <w:tcPr>
            <w:tcW w:w="160" w:type="dxa"/>
            <w:vAlign w:val="bottom"/>
          </w:tcPr>
          <w:p>
            <w:pPr>
              <w:spacing w:after="0"/>
              <w:rPr>
                <w:sz w:val="10"/>
                <w:szCs w:val="10"/>
                <w:color w:val="auto"/>
              </w:rPr>
            </w:pPr>
          </w:p>
        </w:tc>
        <w:tc>
          <w:tcPr>
            <w:tcW w:w="640" w:type="dxa"/>
            <w:vAlign w:val="bottom"/>
            <w:gridSpan w:val="2"/>
          </w:tcPr>
          <w:p>
            <w:pPr>
              <w:jc w:val="right"/>
              <w:ind w:right="160"/>
              <w:spacing w:after="0" w:line="119" w:lineRule="exact"/>
              <w:rPr>
                <w:sz w:val="20"/>
                <w:szCs w:val="20"/>
                <w:color w:val="auto"/>
              </w:rPr>
            </w:pPr>
            <w:r>
              <w:rPr>
                <w:rFonts w:ascii="Arial" w:cs="Arial" w:eastAsia="Arial" w:hAnsi="Arial"/>
                <w:sz w:val="13"/>
                <w:szCs w:val="13"/>
                <w:b w:val="1"/>
                <w:bCs w:val="1"/>
                <w:color w:val="auto"/>
                <w:w w:val="96"/>
              </w:rPr>
              <w:t>Percent</w:t>
            </w:r>
          </w:p>
        </w:tc>
        <w:tc>
          <w:tcPr>
            <w:tcW w:w="1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00" w:type="dxa"/>
            <w:vAlign w:val="bottom"/>
            <w:vMerge w:val="restart"/>
          </w:tcPr>
          <w:p>
            <w:pPr>
              <w:jc w:val="right"/>
              <w:ind w:right="112"/>
              <w:spacing w:after="0"/>
              <w:rPr>
                <w:sz w:val="20"/>
                <w:szCs w:val="20"/>
                <w:color w:val="auto"/>
              </w:rPr>
            </w:pPr>
            <w:r>
              <w:rPr>
                <w:rFonts w:ascii="Arial" w:cs="Arial" w:eastAsia="Arial" w:hAnsi="Arial"/>
                <w:sz w:val="14"/>
                <w:szCs w:val="14"/>
                <w:b w:val="1"/>
                <w:bCs w:val="1"/>
                <w:color w:val="auto"/>
              </w:rPr>
              <w:t>2019</w:t>
            </w:r>
          </w:p>
        </w:tc>
        <w:tc>
          <w:tcPr>
            <w:tcW w:w="160" w:type="dxa"/>
            <w:vAlign w:val="bottom"/>
          </w:tcPr>
          <w:p>
            <w:pPr>
              <w:spacing w:after="0"/>
              <w:rPr>
                <w:sz w:val="10"/>
                <w:szCs w:val="10"/>
                <w:color w:val="auto"/>
              </w:rPr>
            </w:pPr>
          </w:p>
        </w:tc>
        <w:tc>
          <w:tcPr>
            <w:tcW w:w="700" w:type="dxa"/>
            <w:vAlign w:val="bottom"/>
            <w:gridSpan w:val="2"/>
          </w:tcPr>
          <w:p>
            <w:pPr>
              <w:jc w:val="right"/>
              <w:ind w:right="220"/>
              <w:spacing w:after="0" w:line="119" w:lineRule="exact"/>
              <w:rPr>
                <w:sz w:val="20"/>
                <w:szCs w:val="20"/>
                <w:color w:val="auto"/>
              </w:rPr>
            </w:pPr>
            <w:r>
              <w:rPr>
                <w:rFonts w:ascii="Arial" w:cs="Arial" w:eastAsia="Arial" w:hAnsi="Arial"/>
                <w:sz w:val="13"/>
                <w:szCs w:val="13"/>
                <w:b w:val="1"/>
                <w:bCs w:val="1"/>
                <w:color w:val="auto"/>
                <w:w w:val="96"/>
              </w:rPr>
              <w:t>Percent</w:t>
            </w:r>
          </w:p>
        </w:tc>
        <w:tc>
          <w:tcPr>
            <w:tcW w:w="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00" w:type="dxa"/>
            <w:vAlign w:val="bottom"/>
            <w:vMerge w:val="restart"/>
          </w:tcPr>
          <w:p>
            <w:pPr>
              <w:jc w:val="right"/>
              <w:ind w:right="112"/>
              <w:spacing w:after="0"/>
              <w:rPr>
                <w:sz w:val="20"/>
                <w:szCs w:val="20"/>
                <w:color w:val="auto"/>
              </w:rPr>
            </w:pPr>
            <w:r>
              <w:rPr>
                <w:rFonts w:ascii="Arial" w:cs="Arial" w:eastAsia="Arial" w:hAnsi="Arial"/>
                <w:sz w:val="14"/>
                <w:szCs w:val="14"/>
                <w:b w:val="1"/>
                <w:bCs w:val="1"/>
                <w:color w:val="auto"/>
              </w:rPr>
              <w:t>2018</w:t>
            </w:r>
          </w:p>
        </w:tc>
        <w:tc>
          <w:tcPr>
            <w:tcW w:w="160" w:type="dxa"/>
            <w:vAlign w:val="bottom"/>
          </w:tcPr>
          <w:p>
            <w:pPr>
              <w:spacing w:after="0"/>
              <w:rPr>
                <w:sz w:val="10"/>
                <w:szCs w:val="10"/>
                <w:color w:val="auto"/>
              </w:rPr>
            </w:pPr>
          </w:p>
        </w:tc>
        <w:tc>
          <w:tcPr>
            <w:tcW w:w="460" w:type="dxa"/>
            <w:vAlign w:val="bottom"/>
          </w:tcPr>
          <w:p>
            <w:pPr>
              <w:spacing w:after="0" w:line="119" w:lineRule="exact"/>
              <w:rPr>
                <w:sz w:val="20"/>
                <w:szCs w:val="20"/>
                <w:color w:val="auto"/>
              </w:rPr>
            </w:pPr>
            <w:r>
              <w:rPr>
                <w:rFonts w:ascii="Arial" w:cs="Arial" w:eastAsia="Arial" w:hAnsi="Arial"/>
                <w:sz w:val="13"/>
                <w:szCs w:val="13"/>
                <w:b w:val="1"/>
                <w:bCs w:val="1"/>
                <w:color w:val="auto"/>
                <w:w w:val="92"/>
              </w:rPr>
              <w:t>Percent</w:t>
            </w:r>
          </w:p>
        </w:tc>
        <w:tc>
          <w:tcPr>
            <w:tcW w:w="2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3860" w:type="dxa"/>
            <w:vAlign w:val="bottom"/>
          </w:tcPr>
          <w:p>
            <w:pPr>
              <w:spacing w:after="0"/>
              <w:rPr>
                <w:sz w:val="14"/>
                <w:szCs w:val="14"/>
                <w:color w:val="auto"/>
              </w:rPr>
            </w:pPr>
          </w:p>
        </w:tc>
        <w:tc>
          <w:tcPr>
            <w:tcW w:w="23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80" w:type="dxa"/>
            <w:vAlign w:val="bottom"/>
            <w:vMerge w:val="continue"/>
          </w:tcPr>
          <w:p>
            <w:pPr>
              <w:spacing w:after="0"/>
              <w:rPr>
                <w:sz w:val="14"/>
                <w:szCs w:val="14"/>
                <w:color w:val="auto"/>
              </w:rPr>
            </w:pPr>
          </w:p>
        </w:tc>
        <w:tc>
          <w:tcPr>
            <w:tcW w:w="160" w:type="dxa"/>
            <w:vAlign w:val="bottom"/>
          </w:tcPr>
          <w:p>
            <w:pPr>
              <w:spacing w:after="0"/>
              <w:rPr>
                <w:sz w:val="14"/>
                <w:szCs w:val="14"/>
                <w:color w:val="auto"/>
              </w:rPr>
            </w:pPr>
          </w:p>
        </w:tc>
        <w:tc>
          <w:tcPr>
            <w:tcW w:w="640" w:type="dxa"/>
            <w:vAlign w:val="bottom"/>
            <w:gridSpan w:val="2"/>
          </w:tcPr>
          <w:p>
            <w:pPr>
              <w:jc w:val="right"/>
              <w:ind w:right="160"/>
              <w:spacing w:after="0"/>
              <w:rPr>
                <w:sz w:val="20"/>
                <w:szCs w:val="20"/>
                <w:color w:val="auto"/>
              </w:rPr>
            </w:pPr>
            <w:r>
              <w:rPr>
                <w:rFonts w:ascii="Arial" w:cs="Arial" w:eastAsia="Arial" w:hAnsi="Arial"/>
                <w:sz w:val="14"/>
                <w:szCs w:val="14"/>
                <w:b w:val="1"/>
                <w:bCs w:val="1"/>
                <w:color w:val="auto"/>
                <w:w w:val="90"/>
              </w:rPr>
              <w:t>of Total</w:t>
            </w: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0" w:type="dxa"/>
            <w:vAlign w:val="bottom"/>
            <w:vMerge w:val="continue"/>
          </w:tcPr>
          <w:p>
            <w:pPr>
              <w:spacing w:after="0"/>
              <w:rPr>
                <w:sz w:val="14"/>
                <w:szCs w:val="14"/>
                <w:color w:val="auto"/>
              </w:rPr>
            </w:pPr>
          </w:p>
        </w:tc>
        <w:tc>
          <w:tcPr>
            <w:tcW w:w="160" w:type="dxa"/>
            <w:vAlign w:val="bottom"/>
          </w:tcPr>
          <w:p>
            <w:pPr>
              <w:spacing w:after="0"/>
              <w:rPr>
                <w:sz w:val="14"/>
                <w:szCs w:val="14"/>
                <w:color w:val="auto"/>
              </w:rPr>
            </w:pPr>
          </w:p>
        </w:tc>
        <w:tc>
          <w:tcPr>
            <w:tcW w:w="700" w:type="dxa"/>
            <w:vAlign w:val="bottom"/>
            <w:gridSpan w:val="2"/>
          </w:tcPr>
          <w:p>
            <w:pPr>
              <w:jc w:val="right"/>
              <w:ind w:right="220"/>
              <w:spacing w:after="0"/>
              <w:rPr>
                <w:sz w:val="20"/>
                <w:szCs w:val="20"/>
                <w:color w:val="auto"/>
              </w:rPr>
            </w:pPr>
            <w:r>
              <w:rPr>
                <w:rFonts w:ascii="Arial" w:cs="Arial" w:eastAsia="Arial" w:hAnsi="Arial"/>
                <w:sz w:val="14"/>
                <w:szCs w:val="14"/>
                <w:b w:val="1"/>
                <w:bCs w:val="1"/>
                <w:color w:val="auto"/>
                <w:w w:val="90"/>
              </w:rPr>
              <w:t>of Total</w:t>
            </w: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0" w:type="dxa"/>
            <w:vAlign w:val="bottom"/>
            <w:vMerge w:val="continue"/>
          </w:tcPr>
          <w:p>
            <w:pPr>
              <w:spacing w:after="0"/>
              <w:rPr>
                <w:sz w:val="14"/>
                <w:szCs w:val="14"/>
                <w:color w:val="auto"/>
              </w:rPr>
            </w:pPr>
          </w:p>
        </w:tc>
        <w:tc>
          <w:tcPr>
            <w:tcW w:w="160" w:type="dxa"/>
            <w:vAlign w:val="bottom"/>
          </w:tcPr>
          <w:p>
            <w:pPr>
              <w:spacing w:after="0"/>
              <w:rPr>
                <w:sz w:val="14"/>
                <w:szCs w:val="14"/>
                <w:color w:val="auto"/>
              </w:rPr>
            </w:pPr>
          </w:p>
        </w:tc>
        <w:tc>
          <w:tcPr>
            <w:tcW w:w="680" w:type="dxa"/>
            <w:vAlign w:val="bottom"/>
            <w:gridSpan w:val="2"/>
          </w:tcPr>
          <w:p>
            <w:pPr>
              <w:spacing w:after="0"/>
              <w:rPr>
                <w:sz w:val="20"/>
                <w:szCs w:val="20"/>
                <w:color w:val="auto"/>
              </w:rPr>
            </w:pPr>
            <w:r>
              <w:rPr>
                <w:rFonts w:ascii="Arial" w:cs="Arial" w:eastAsia="Arial" w:hAnsi="Arial"/>
                <w:sz w:val="14"/>
                <w:szCs w:val="14"/>
                <w:b w:val="1"/>
                <w:bCs w:val="1"/>
                <w:color w:val="auto"/>
              </w:rPr>
              <w:t>of Total</w:t>
            </w:r>
          </w:p>
        </w:tc>
        <w:tc>
          <w:tcPr>
            <w:tcW w:w="0" w:type="dxa"/>
            <w:vAlign w:val="bottom"/>
          </w:tcPr>
          <w:p>
            <w:pPr>
              <w:spacing w:after="0"/>
              <w:rPr>
                <w:sz w:val="1"/>
                <w:szCs w:val="1"/>
                <w:color w:val="auto"/>
              </w:rPr>
            </w:pPr>
          </w:p>
        </w:tc>
      </w:tr>
      <w:tr>
        <w:trPr>
          <w:trHeight w:val="196"/>
        </w:trPr>
        <w:tc>
          <w:tcPr>
            <w:tcW w:w="386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Lease rental income:</w:t>
            </w:r>
          </w:p>
        </w:tc>
        <w:tc>
          <w:tcPr>
            <w:tcW w:w="236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580" w:type="dxa"/>
            <w:vAlign w:val="bottom"/>
            <w:tcBorders>
              <w:top w:val="single" w:sz="8" w:color="auto"/>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480" w:type="dxa"/>
            <w:vAlign w:val="bottom"/>
            <w:tcBorders>
              <w:top w:val="single" w:sz="8" w:color="auto"/>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600" w:type="dxa"/>
            <w:vAlign w:val="bottom"/>
            <w:tcBorders>
              <w:top w:val="single" w:sz="8" w:color="auto"/>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48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600" w:type="dxa"/>
            <w:vAlign w:val="bottom"/>
            <w:tcBorders>
              <w:top w:val="single" w:sz="8" w:color="auto"/>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46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3860" w:type="dxa"/>
            <w:vAlign w:val="bottom"/>
          </w:tcPr>
          <w:p>
            <w:pPr>
              <w:ind w:left="360"/>
              <w:spacing w:after="0"/>
              <w:rPr>
                <w:sz w:val="20"/>
                <w:szCs w:val="20"/>
                <w:color w:val="auto"/>
              </w:rPr>
            </w:pPr>
            <w:r>
              <w:rPr>
                <w:rFonts w:ascii="Arial" w:cs="Arial" w:eastAsia="Arial" w:hAnsi="Arial"/>
                <w:sz w:val="18"/>
                <w:szCs w:val="18"/>
                <w:color w:val="auto"/>
              </w:rPr>
              <w:t>Asia</w:t>
            </w:r>
          </w:p>
        </w:tc>
        <w:tc>
          <w:tcPr>
            <w:tcW w:w="24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40" w:type="dxa"/>
            <w:vAlign w:val="bottom"/>
            <w:gridSpan w:val="2"/>
          </w:tcPr>
          <w:p>
            <w:pPr>
              <w:jc w:val="right"/>
              <w:ind w:right="160"/>
              <w:spacing w:after="0"/>
              <w:rPr>
                <w:sz w:val="20"/>
                <w:szCs w:val="20"/>
                <w:color w:val="auto"/>
              </w:rPr>
            </w:pPr>
            <w:r>
              <w:rPr>
                <w:rFonts w:ascii="Arial" w:cs="Arial" w:eastAsia="Arial" w:hAnsi="Arial"/>
                <w:sz w:val="18"/>
                <w:szCs w:val="18"/>
                <w:color w:val="auto"/>
                <w:w w:val="86"/>
              </w:rPr>
              <w:t>302,709</w:t>
            </w:r>
          </w:p>
        </w:tc>
        <w:tc>
          <w:tcPr>
            <w:tcW w:w="640" w:type="dxa"/>
            <w:vAlign w:val="bottom"/>
            <w:gridSpan w:val="2"/>
          </w:tcPr>
          <w:p>
            <w:pPr>
              <w:jc w:val="right"/>
              <w:spacing w:after="0"/>
              <w:rPr>
                <w:sz w:val="20"/>
                <w:szCs w:val="20"/>
                <w:color w:val="auto"/>
              </w:rPr>
            </w:pPr>
            <w:r>
              <w:rPr>
                <w:rFonts w:ascii="Arial" w:cs="Arial" w:eastAsia="Arial" w:hAnsi="Arial"/>
                <w:sz w:val="18"/>
                <w:szCs w:val="18"/>
                <w:color w:val="auto"/>
              </w:rPr>
              <w:t>50.4%</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w w:val="89"/>
              </w:rPr>
              <w:t>329,567</w:t>
            </w:r>
          </w:p>
        </w:tc>
        <w:tc>
          <w:tcPr>
            <w:tcW w:w="700" w:type="dxa"/>
            <w:vAlign w:val="bottom"/>
            <w:gridSpan w:val="2"/>
          </w:tcPr>
          <w:p>
            <w:pPr>
              <w:jc w:val="right"/>
              <w:ind w:right="80"/>
              <w:spacing w:after="0"/>
              <w:rPr>
                <w:sz w:val="20"/>
                <w:szCs w:val="20"/>
                <w:color w:val="auto"/>
              </w:rPr>
            </w:pPr>
            <w:r>
              <w:rPr>
                <w:rFonts w:ascii="Arial" w:cs="Arial" w:eastAsia="Arial" w:hAnsi="Arial"/>
                <w:sz w:val="18"/>
                <w:szCs w:val="18"/>
                <w:color w:val="auto"/>
              </w:rPr>
              <w:t>53.2%</w:t>
            </w:r>
          </w:p>
        </w:tc>
        <w:tc>
          <w:tcPr>
            <w:tcW w:w="1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w w:val="89"/>
              </w:rPr>
              <w:t>319,286</w:t>
            </w: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rPr>
              <w:t>52.1%</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Europe</w:t>
            </w:r>
          </w:p>
        </w:tc>
        <w:tc>
          <w:tcPr>
            <w:tcW w:w="23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86"/>
              </w:rPr>
              <w:t>266,431</w:t>
            </w: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44.3%</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89"/>
              </w:rPr>
              <w:t>255,495</w:t>
            </w:r>
          </w:p>
        </w:tc>
        <w:tc>
          <w:tcPr>
            <w:tcW w:w="70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41.2%</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89"/>
              </w:rPr>
              <w:t>255,753</w:t>
            </w: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41.7%</w:t>
            </w:r>
          </w:p>
        </w:tc>
        <w:tc>
          <w:tcPr>
            <w:tcW w:w="0" w:type="dxa"/>
            <w:vAlign w:val="bottom"/>
          </w:tcPr>
          <w:p>
            <w:pPr>
              <w:spacing w:after="0"/>
              <w:rPr>
                <w:sz w:val="1"/>
                <w:szCs w:val="1"/>
                <w:color w:val="auto"/>
              </w:rPr>
            </w:pPr>
          </w:p>
        </w:tc>
      </w:tr>
      <w:tr>
        <w:trPr>
          <w:trHeight w:val="216"/>
        </w:trPr>
        <w:tc>
          <w:tcPr>
            <w:tcW w:w="3860" w:type="dxa"/>
            <w:vAlign w:val="bottom"/>
          </w:tcPr>
          <w:p>
            <w:pPr>
              <w:ind w:left="360"/>
              <w:spacing w:after="0"/>
              <w:rPr>
                <w:sz w:val="20"/>
                <w:szCs w:val="20"/>
                <w:color w:val="auto"/>
              </w:rPr>
            </w:pPr>
            <w:r>
              <w:rPr>
                <w:rFonts w:ascii="Arial" w:cs="Arial" w:eastAsia="Arial" w:hAnsi="Arial"/>
                <w:sz w:val="18"/>
                <w:szCs w:val="18"/>
                <w:color w:val="auto"/>
              </w:rPr>
              <w:t>North / South America</w:t>
            </w:r>
          </w:p>
        </w:tc>
        <w:tc>
          <w:tcPr>
            <w:tcW w:w="23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gridSpan w:val="2"/>
          </w:tcPr>
          <w:p>
            <w:pPr>
              <w:jc w:val="right"/>
              <w:ind w:right="160"/>
              <w:spacing w:after="0"/>
              <w:rPr>
                <w:sz w:val="20"/>
                <w:szCs w:val="20"/>
                <w:color w:val="auto"/>
              </w:rPr>
            </w:pPr>
            <w:r>
              <w:rPr>
                <w:rFonts w:ascii="Arial" w:cs="Arial" w:eastAsia="Arial" w:hAnsi="Arial"/>
                <w:sz w:val="18"/>
                <w:szCs w:val="18"/>
                <w:color w:val="auto"/>
              </w:rPr>
              <w:t>29,391</w:t>
            </w:r>
          </w:p>
        </w:tc>
        <w:tc>
          <w:tcPr>
            <w:tcW w:w="640" w:type="dxa"/>
            <w:vAlign w:val="bottom"/>
            <w:gridSpan w:val="2"/>
          </w:tcPr>
          <w:p>
            <w:pPr>
              <w:jc w:val="right"/>
              <w:spacing w:after="0"/>
              <w:rPr>
                <w:sz w:val="20"/>
                <w:szCs w:val="20"/>
                <w:color w:val="auto"/>
              </w:rPr>
            </w:pPr>
            <w:r>
              <w:rPr>
                <w:rFonts w:ascii="Arial" w:cs="Arial" w:eastAsia="Arial" w:hAnsi="Arial"/>
                <w:sz w:val="18"/>
                <w:szCs w:val="18"/>
                <w:color w:val="auto"/>
              </w:rPr>
              <w:t>4.9%</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31,786</w:t>
            </w:r>
          </w:p>
        </w:tc>
        <w:tc>
          <w:tcPr>
            <w:tcW w:w="700" w:type="dxa"/>
            <w:vAlign w:val="bottom"/>
            <w:gridSpan w:val="2"/>
          </w:tcPr>
          <w:p>
            <w:pPr>
              <w:jc w:val="right"/>
              <w:ind w:right="80"/>
              <w:spacing w:after="0"/>
              <w:rPr>
                <w:sz w:val="20"/>
                <w:szCs w:val="20"/>
                <w:color w:val="auto"/>
              </w:rPr>
            </w:pPr>
            <w:r>
              <w:rPr>
                <w:rFonts w:ascii="Arial" w:cs="Arial" w:eastAsia="Arial" w:hAnsi="Arial"/>
                <w:sz w:val="18"/>
                <w:szCs w:val="18"/>
                <w:color w:val="auto"/>
              </w:rPr>
              <w:t>5.1%</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34,053</w:t>
            </w: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rPr>
              <w:t>5.6%</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All other international</w:t>
            </w:r>
          </w:p>
        </w:tc>
        <w:tc>
          <w:tcPr>
            <w:tcW w:w="23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2,342</w:t>
            </w: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0.4%</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2,912</w:t>
            </w:r>
          </w:p>
        </w:tc>
        <w:tc>
          <w:tcPr>
            <w:tcW w:w="70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0.5%</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3,612</w:t>
            </w: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0.6%</w:t>
            </w:r>
          </w:p>
        </w:tc>
        <w:tc>
          <w:tcPr>
            <w:tcW w:w="0" w:type="dxa"/>
            <w:vAlign w:val="bottom"/>
          </w:tcPr>
          <w:p>
            <w:pPr>
              <w:spacing w:after="0"/>
              <w:rPr>
                <w:sz w:val="1"/>
                <w:szCs w:val="1"/>
                <w:color w:val="auto"/>
              </w:rPr>
            </w:pPr>
          </w:p>
        </w:tc>
      </w:tr>
      <w:tr>
        <w:trPr>
          <w:trHeight w:val="20"/>
        </w:trPr>
        <w:tc>
          <w:tcPr>
            <w:tcW w:w="3860" w:type="dxa"/>
            <w:vAlign w:val="bottom"/>
          </w:tcPr>
          <w:p>
            <w:pPr>
              <w:spacing w:after="0" w:line="20" w:lineRule="exact"/>
              <w:rPr>
                <w:sz w:val="1"/>
                <w:szCs w:val="1"/>
                <w:color w:val="auto"/>
              </w:rPr>
            </w:pPr>
          </w:p>
        </w:tc>
        <w:tc>
          <w:tcPr>
            <w:tcW w:w="2360" w:type="dxa"/>
            <w:vAlign w:val="bottom"/>
            <w:vMerge w:val="restart"/>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60" w:type="dxa"/>
            <w:vAlign w:val="bottom"/>
            <w:vMerge w:val="restart"/>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vMerge w:val="restart"/>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vMerge w:val="restart"/>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vMerge w:val="restart"/>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vMerge w:val="restart"/>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3860" w:type="dxa"/>
            <w:vAlign w:val="bottom"/>
          </w:tcPr>
          <w:p>
            <w:pPr>
              <w:spacing w:after="0"/>
              <w:rPr>
                <w:sz w:val="19"/>
                <w:szCs w:val="19"/>
                <w:color w:val="auto"/>
              </w:rPr>
            </w:pPr>
          </w:p>
        </w:tc>
        <w:tc>
          <w:tcPr>
            <w:tcW w:w="2360" w:type="dxa"/>
            <w:vAlign w:val="bottom"/>
            <w:vMerge w:val="continue"/>
          </w:tcPr>
          <w:p>
            <w:pPr>
              <w:spacing w:after="0"/>
              <w:rPr>
                <w:sz w:val="19"/>
                <w:szCs w:val="19"/>
                <w:color w:val="auto"/>
              </w:rPr>
            </w:pPr>
          </w:p>
        </w:tc>
        <w:tc>
          <w:tcPr>
            <w:tcW w:w="100" w:type="dxa"/>
            <w:vAlign w:val="bottom"/>
          </w:tcPr>
          <w:p>
            <w:pPr>
              <w:jc w:val="right"/>
              <w:spacing w:after="0"/>
              <w:rPr>
                <w:sz w:val="20"/>
                <w:szCs w:val="20"/>
                <w:color w:val="auto"/>
              </w:rPr>
            </w:pPr>
            <w:r>
              <w:rPr>
                <w:rFonts w:ascii="Arial" w:cs="Arial" w:eastAsia="Arial" w:hAnsi="Arial"/>
                <w:sz w:val="15"/>
                <w:szCs w:val="15"/>
                <w:u w:val="single" w:color="auto"/>
                <w:color w:val="auto"/>
                <w:w w:val="71"/>
              </w:rPr>
              <w:t>$</w:t>
            </w:r>
          </w:p>
        </w:tc>
        <w:tc>
          <w:tcPr>
            <w:tcW w:w="580" w:type="dxa"/>
            <w:vAlign w:val="bottom"/>
          </w:tcPr>
          <w:p>
            <w:pPr>
              <w:jc w:val="right"/>
              <w:spacing w:after="0"/>
              <w:rPr>
                <w:sz w:val="20"/>
                <w:szCs w:val="20"/>
                <w:color w:val="auto"/>
              </w:rPr>
            </w:pPr>
            <w:r>
              <w:rPr>
                <w:rFonts w:ascii="Arial" w:cs="Arial" w:eastAsia="Arial" w:hAnsi="Arial"/>
                <w:sz w:val="18"/>
                <w:szCs w:val="18"/>
                <w:color w:val="auto"/>
                <w:w w:val="86"/>
              </w:rPr>
              <w:t>600,873</w:t>
            </w:r>
          </w:p>
        </w:tc>
        <w:tc>
          <w:tcPr>
            <w:tcW w:w="160" w:type="dxa"/>
            <w:vAlign w:val="bottom"/>
            <w:vMerge w:val="continue"/>
          </w:tcPr>
          <w:p>
            <w:pPr>
              <w:spacing w:after="0"/>
              <w:rPr>
                <w:sz w:val="19"/>
                <w:szCs w:val="19"/>
                <w:color w:val="auto"/>
              </w:rPr>
            </w:pPr>
          </w:p>
        </w:tc>
        <w:tc>
          <w:tcPr>
            <w:tcW w:w="640" w:type="dxa"/>
            <w:vAlign w:val="bottom"/>
            <w:gridSpan w:val="2"/>
          </w:tcPr>
          <w:p>
            <w:pPr>
              <w:jc w:val="right"/>
              <w:spacing w:after="0"/>
              <w:rPr>
                <w:sz w:val="20"/>
                <w:szCs w:val="20"/>
                <w:color w:val="auto"/>
              </w:rPr>
            </w:pPr>
            <w:r>
              <w:rPr>
                <w:rFonts w:ascii="Arial" w:cs="Arial" w:eastAsia="Arial" w:hAnsi="Arial"/>
                <w:sz w:val="18"/>
                <w:szCs w:val="18"/>
                <w:color w:val="auto"/>
              </w:rPr>
              <w:t>100.0%</w:t>
            </w:r>
          </w:p>
        </w:tc>
        <w:tc>
          <w:tcPr>
            <w:tcW w:w="160" w:type="dxa"/>
            <w:vAlign w:val="bottom"/>
            <w:vMerge w:val="continue"/>
          </w:tcPr>
          <w:p>
            <w:pPr>
              <w:spacing w:after="0"/>
              <w:rPr>
                <w:sz w:val="19"/>
                <w:szCs w:val="19"/>
                <w:color w:val="auto"/>
              </w:rPr>
            </w:pPr>
          </w:p>
        </w:tc>
        <w:tc>
          <w:tcPr>
            <w:tcW w:w="80" w:type="dxa"/>
            <w:vAlign w:val="bottom"/>
          </w:tcPr>
          <w:p>
            <w:pPr>
              <w:jc w:val="right"/>
              <w:spacing w:after="0"/>
              <w:rPr>
                <w:sz w:val="20"/>
                <w:szCs w:val="20"/>
                <w:color w:val="auto"/>
              </w:rPr>
            </w:pPr>
            <w:r>
              <w:rPr>
                <w:rFonts w:ascii="Arial" w:cs="Arial" w:eastAsia="Arial" w:hAnsi="Arial"/>
                <w:sz w:val="15"/>
                <w:szCs w:val="15"/>
                <w:u w:val="single" w:color="auto"/>
                <w:color w:val="auto"/>
                <w:w w:val="71"/>
              </w:rPr>
              <w:t>$</w:t>
            </w:r>
          </w:p>
        </w:tc>
        <w:tc>
          <w:tcPr>
            <w:tcW w:w="600" w:type="dxa"/>
            <w:vAlign w:val="bottom"/>
          </w:tcPr>
          <w:p>
            <w:pPr>
              <w:jc w:val="right"/>
              <w:spacing w:after="0"/>
              <w:rPr>
                <w:sz w:val="20"/>
                <w:szCs w:val="20"/>
                <w:color w:val="auto"/>
              </w:rPr>
            </w:pPr>
            <w:r>
              <w:rPr>
                <w:rFonts w:ascii="Arial" w:cs="Arial" w:eastAsia="Arial" w:hAnsi="Arial"/>
                <w:sz w:val="18"/>
                <w:szCs w:val="18"/>
                <w:color w:val="auto"/>
                <w:w w:val="89"/>
              </w:rPr>
              <w:t>619,760</w:t>
            </w:r>
          </w:p>
        </w:tc>
        <w:tc>
          <w:tcPr>
            <w:tcW w:w="160" w:type="dxa"/>
            <w:vAlign w:val="bottom"/>
            <w:vMerge w:val="continue"/>
          </w:tcPr>
          <w:p>
            <w:pPr>
              <w:spacing w:after="0"/>
              <w:rPr>
                <w:sz w:val="19"/>
                <w:szCs w:val="19"/>
                <w:color w:val="auto"/>
              </w:rPr>
            </w:pPr>
          </w:p>
        </w:tc>
        <w:tc>
          <w:tcPr>
            <w:tcW w:w="700" w:type="dxa"/>
            <w:vAlign w:val="bottom"/>
            <w:gridSpan w:val="2"/>
          </w:tcPr>
          <w:p>
            <w:pPr>
              <w:jc w:val="right"/>
              <w:ind w:right="80"/>
              <w:spacing w:after="0"/>
              <w:rPr>
                <w:sz w:val="20"/>
                <w:szCs w:val="20"/>
                <w:color w:val="auto"/>
              </w:rPr>
            </w:pPr>
            <w:r>
              <w:rPr>
                <w:rFonts w:ascii="Arial" w:cs="Arial" w:eastAsia="Arial" w:hAnsi="Arial"/>
                <w:sz w:val="18"/>
                <w:szCs w:val="18"/>
                <w:color w:val="auto"/>
                <w:w w:val="98"/>
              </w:rPr>
              <w:t>100.0%</w:t>
            </w:r>
          </w:p>
        </w:tc>
        <w:tc>
          <w:tcPr>
            <w:tcW w:w="80" w:type="dxa"/>
            <w:vAlign w:val="bottom"/>
            <w:vMerge w:val="continue"/>
          </w:tcPr>
          <w:p>
            <w:pPr>
              <w:spacing w:after="0"/>
              <w:rPr>
                <w:sz w:val="19"/>
                <w:szCs w:val="19"/>
                <w:color w:val="auto"/>
              </w:rPr>
            </w:pPr>
          </w:p>
        </w:tc>
        <w:tc>
          <w:tcPr>
            <w:tcW w:w="100" w:type="dxa"/>
            <w:vAlign w:val="bottom"/>
          </w:tcPr>
          <w:p>
            <w:pPr>
              <w:jc w:val="right"/>
              <w:spacing w:after="0"/>
              <w:rPr>
                <w:sz w:val="20"/>
                <w:szCs w:val="20"/>
                <w:color w:val="auto"/>
              </w:rPr>
            </w:pPr>
            <w:r>
              <w:rPr>
                <w:rFonts w:ascii="Arial" w:cs="Arial" w:eastAsia="Arial" w:hAnsi="Arial"/>
                <w:sz w:val="18"/>
                <w:szCs w:val="18"/>
                <w:u w:val="single" w:color="auto"/>
                <w:color w:val="auto"/>
                <w:w w:val="79"/>
              </w:rPr>
              <w:t>$</w:t>
            </w:r>
          </w:p>
        </w:tc>
        <w:tc>
          <w:tcPr>
            <w:tcW w:w="600" w:type="dxa"/>
            <w:vAlign w:val="bottom"/>
          </w:tcPr>
          <w:p>
            <w:pPr>
              <w:jc w:val="right"/>
              <w:spacing w:after="0"/>
              <w:rPr>
                <w:sz w:val="20"/>
                <w:szCs w:val="20"/>
                <w:color w:val="auto"/>
              </w:rPr>
            </w:pPr>
            <w:r>
              <w:rPr>
                <w:rFonts w:ascii="Arial" w:cs="Arial" w:eastAsia="Arial" w:hAnsi="Arial"/>
                <w:sz w:val="18"/>
                <w:szCs w:val="18"/>
                <w:color w:val="auto"/>
                <w:w w:val="89"/>
              </w:rPr>
              <w:t>612,704</w:t>
            </w:r>
          </w:p>
        </w:tc>
        <w:tc>
          <w:tcPr>
            <w:tcW w:w="160" w:type="dxa"/>
            <w:vAlign w:val="bottom"/>
            <w:vMerge w:val="continue"/>
          </w:tcPr>
          <w:p>
            <w:pPr>
              <w:spacing w:after="0"/>
              <w:rPr>
                <w:sz w:val="19"/>
                <w:szCs w:val="19"/>
                <w:color w:val="auto"/>
              </w:rPr>
            </w:pP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w w:val="98"/>
              </w:rPr>
              <w:t>100.0%</w:t>
            </w:r>
          </w:p>
        </w:tc>
        <w:tc>
          <w:tcPr>
            <w:tcW w:w="0" w:type="dxa"/>
            <w:vAlign w:val="bottom"/>
          </w:tcPr>
          <w:p>
            <w:pPr>
              <w:spacing w:after="0"/>
              <w:rPr>
                <w:sz w:val="1"/>
                <w:szCs w:val="1"/>
                <w:color w:val="auto"/>
              </w:rPr>
            </w:pPr>
          </w:p>
        </w:tc>
      </w:tr>
      <w:tr>
        <w:trPr>
          <w:trHeight w:val="20"/>
        </w:trPr>
        <w:tc>
          <w:tcPr>
            <w:tcW w:w="3860" w:type="dxa"/>
            <w:vAlign w:val="bottom"/>
          </w:tcPr>
          <w:p>
            <w:pPr>
              <w:spacing w:after="0" w:line="20" w:lineRule="exact"/>
              <w:rPr>
                <w:sz w:val="1"/>
                <w:szCs w:val="1"/>
                <w:color w:val="auto"/>
              </w:rPr>
            </w:pPr>
          </w:p>
        </w:tc>
        <w:tc>
          <w:tcPr>
            <w:tcW w:w="23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386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Management fees, non-leasing:</w:t>
            </w:r>
          </w:p>
        </w:tc>
        <w:tc>
          <w:tcPr>
            <w:tcW w:w="23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860" w:type="dxa"/>
            <w:vAlign w:val="bottom"/>
          </w:tcPr>
          <w:p>
            <w:pPr>
              <w:ind w:left="360"/>
              <w:spacing w:after="0"/>
              <w:rPr>
                <w:sz w:val="20"/>
                <w:szCs w:val="20"/>
                <w:color w:val="auto"/>
              </w:rPr>
            </w:pPr>
            <w:r>
              <w:rPr>
                <w:rFonts w:ascii="Arial" w:cs="Arial" w:eastAsia="Arial" w:hAnsi="Arial"/>
                <w:sz w:val="18"/>
                <w:szCs w:val="18"/>
                <w:color w:val="auto"/>
              </w:rPr>
              <w:t>Bermuda</w:t>
            </w:r>
          </w:p>
        </w:tc>
        <w:tc>
          <w:tcPr>
            <w:tcW w:w="24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40" w:type="dxa"/>
            <w:vAlign w:val="bottom"/>
            <w:gridSpan w:val="2"/>
          </w:tcPr>
          <w:p>
            <w:pPr>
              <w:jc w:val="right"/>
              <w:ind w:right="160"/>
              <w:spacing w:after="0"/>
              <w:rPr>
                <w:sz w:val="20"/>
                <w:szCs w:val="20"/>
                <w:color w:val="auto"/>
              </w:rPr>
            </w:pPr>
            <w:r>
              <w:rPr>
                <w:rFonts w:ascii="Arial" w:cs="Arial" w:eastAsia="Arial" w:hAnsi="Arial"/>
                <w:sz w:val="18"/>
                <w:szCs w:val="18"/>
                <w:color w:val="auto"/>
              </w:rPr>
              <w:t>2,797</w:t>
            </w:r>
          </w:p>
        </w:tc>
        <w:tc>
          <w:tcPr>
            <w:tcW w:w="640" w:type="dxa"/>
            <w:vAlign w:val="bottom"/>
            <w:gridSpan w:val="2"/>
          </w:tcPr>
          <w:p>
            <w:pPr>
              <w:jc w:val="right"/>
              <w:spacing w:after="0"/>
              <w:rPr>
                <w:sz w:val="20"/>
                <w:szCs w:val="20"/>
                <w:color w:val="auto"/>
              </w:rPr>
            </w:pPr>
            <w:r>
              <w:rPr>
                <w:rFonts w:ascii="Arial" w:cs="Arial" w:eastAsia="Arial" w:hAnsi="Arial"/>
                <w:sz w:val="18"/>
                <w:szCs w:val="18"/>
                <w:color w:val="auto"/>
              </w:rPr>
              <w:t>53.1%</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4,576</w:t>
            </w:r>
          </w:p>
        </w:tc>
        <w:tc>
          <w:tcPr>
            <w:tcW w:w="700" w:type="dxa"/>
            <w:vAlign w:val="bottom"/>
            <w:gridSpan w:val="2"/>
          </w:tcPr>
          <w:p>
            <w:pPr>
              <w:jc w:val="right"/>
              <w:ind w:right="80"/>
              <w:spacing w:after="0"/>
              <w:rPr>
                <w:sz w:val="20"/>
                <w:szCs w:val="20"/>
                <w:color w:val="auto"/>
              </w:rPr>
            </w:pPr>
            <w:r>
              <w:rPr>
                <w:rFonts w:ascii="Arial" w:cs="Arial" w:eastAsia="Arial" w:hAnsi="Arial"/>
                <w:sz w:val="18"/>
                <w:szCs w:val="18"/>
                <w:color w:val="auto"/>
              </w:rPr>
              <w:t>60.2%</w:t>
            </w:r>
          </w:p>
        </w:tc>
        <w:tc>
          <w:tcPr>
            <w:tcW w:w="1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4,418</w:t>
            </w: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rPr>
              <w:t>51.8%</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Europe</w:t>
            </w:r>
          </w:p>
        </w:tc>
        <w:tc>
          <w:tcPr>
            <w:tcW w:w="23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2,397</w:t>
            </w: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45.5%</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2,334</w:t>
            </w:r>
          </w:p>
        </w:tc>
        <w:tc>
          <w:tcPr>
            <w:tcW w:w="70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30.8%</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2,089</w:t>
            </w: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24.5%</w:t>
            </w:r>
          </w:p>
        </w:tc>
        <w:tc>
          <w:tcPr>
            <w:tcW w:w="0" w:type="dxa"/>
            <w:vAlign w:val="bottom"/>
          </w:tcPr>
          <w:p>
            <w:pPr>
              <w:spacing w:after="0"/>
              <w:rPr>
                <w:sz w:val="1"/>
                <w:szCs w:val="1"/>
                <w:color w:val="auto"/>
              </w:rPr>
            </w:pPr>
          </w:p>
        </w:tc>
      </w:tr>
      <w:tr>
        <w:trPr>
          <w:trHeight w:val="216"/>
        </w:trPr>
        <w:tc>
          <w:tcPr>
            <w:tcW w:w="3860" w:type="dxa"/>
            <w:vAlign w:val="bottom"/>
          </w:tcPr>
          <w:p>
            <w:pPr>
              <w:ind w:left="360"/>
              <w:spacing w:after="0"/>
              <w:rPr>
                <w:sz w:val="20"/>
                <w:szCs w:val="20"/>
                <w:color w:val="auto"/>
              </w:rPr>
            </w:pPr>
            <w:r>
              <w:rPr>
                <w:rFonts w:ascii="Arial" w:cs="Arial" w:eastAsia="Arial" w:hAnsi="Arial"/>
                <w:sz w:val="18"/>
                <w:szCs w:val="18"/>
                <w:color w:val="auto"/>
              </w:rPr>
              <w:t>Asia</w:t>
            </w:r>
          </w:p>
        </w:tc>
        <w:tc>
          <w:tcPr>
            <w:tcW w:w="23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gridSpan w:val="2"/>
          </w:tcPr>
          <w:p>
            <w:pPr>
              <w:jc w:val="right"/>
              <w:ind w:right="160"/>
              <w:spacing w:after="0"/>
              <w:rPr>
                <w:sz w:val="20"/>
                <w:szCs w:val="20"/>
                <w:color w:val="auto"/>
              </w:rPr>
            </w:pPr>
            <w:r>
              <w:rPr>
                <w:rFonts w:ascii="Arial" w:cs="Arial" w:eastAsia="Arial" w:hAnsi="Arial"/>
                <w:sz w:val="18"/>
                <w:szCs w:val="18"/>
                <w:color w:val="auto"/>
              </w:rPr>
              <w:t>11</w:t>
            </w:r>
          </w:p>
        </w:tc>
        <w:tc>
          <w:tcPr>
            <w:tcW w:w="640" w:type="dxa"/>
            <w:vAlign w:val="bottom"/>
            <w:gridSpan w:val="2"/>
          </w:tcPr>
          <w:p>
            <w:pPr>
              <w:jc w:val="right"/>
              <w:spacing w:after="0"/>
              <w:rPr>
                <w:sz w:val="20"/>
                <w:szCs w:val="20"/>
                <w:color w:val="auto"/>
              </w:rPr>
            </w:pPr>
            <w:r>
              <w:rPr>
                <w:rFonts w:ascii="Arial" w:cs="Arial" w:eastAsia="Arial" w:hAnsi="Arial"/>
                <w:sz w:val="18"/>
                <w:szCs w:val="18"/>
                <w:color w:val="auto"/>
              </w:rPr>
              <w:t>0.2%</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28</w:t>
            </w:r>
          </w:p>
        </w:tc>
        <w:tc>
          <w:tcPr>
            <w:tcW w:w="700" w:type="dxa"/>
            <w:vAlign w:val="bottom"/>
            <w:gridSpan w:val="2"/>
          </w:tcPr>
          <w:p>
            <w:pPr>
              <w:jc w:val="right"/>
              <w:ind w:right="80"/>
              <w:spacing w:after="0"/>
              <w:rPr>
                <w:sz w:val="20"/>
                <w:szCs w:val="20"/>
                <w:color w:val="auto"/>
              </w:rPr>
            </w:pPr>
            <w:r>
              <w:rPr>
                <w:rFonts w:ascii="Arial" w:cs="Arial" w:eastAsia="Arial" w:hAnsi="Arial"/>
                <w:sz w:val="18"/>
                <w:szCs w:val="18"/>
                <w:color w:val="auto"/>
              </w:rPr>
              <w:t>0.4%</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7</w:t>
            </w: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rPr>
              <w:t>0.1%</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North / South America</w:t>
            </w:r>
          </w:p>
        </w:tc>
        <w:tc>
          <w:tcPr>
            <w:tcW w:w="23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9</w:t>
            </w: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0.2%</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342</w:t>
            </w:r>
          </w:p>
        </w:tc>
        <w:tc>
          <w:tcPr>
            <w:tcW w:w="70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4.5%</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1,970</w:t>
            </w: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23.1%</w:t>
            </w:r>
          </w:p>
        </w:tc>
        <w:tc>
          <w:tcPr>
            <w:tcW w:w="0" w:type="dxa"/>
            <w:vAlign w:val="bottom"/>
          </w:tcPr>
          <w:p>
            <w:pPr>
              <w:spacing w:after="0"/>
              <w:rPr>
                <w:sz w:val="1"/>
                <w:szCs w:val="1"/>
                <w:color w:val="auto"/>
              </w:rPr>
            </w:pPr>
          </w:p>
        </w:tc>
      </w:tr>
      <w:tr>
        <w:trPr>
          <w:trHeight w:val="216"/>
        </w:trPr>
        <w:tc>
          <w:tcPr>
            <w:tcW w:w="3860" w:type="dxa"/>
            <w:vAlign w:val="bottom"/>
          </w:tcPr>
          <w:p>
            <w:pPr>
              <w:ind w:left="360"/>
              <w:spacing w:after="0"/>
              <w:rPr>
                <w:sz w:val="20"/>
                <w:szCs w:val="20"/>
                <w:color w:val="auto"/>
              </w:rPr>
            </w:pPr>
            <w:r>
              <w:rPr>
                <w:rFonts w:ascii="Arial" w:cs="Arial" w:eastAsia="Arial" w:hAnsi="Arial"/>
                <w:sz w:val="18"/>
                <w:szCs w:val="18"/>
                <w:color w:val="auto"/>
              </w:rPr>
              <w:t>All other international</w:t>
            </w:r>
          </w:p>
        </w:tc>
        <w:tc>
          <w:tcPr>
            <w:tcW w:w="23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gridSpan w:val="2"/>
          </w:tcPr>
          <w:p>
            <w:pPr>
              <w:jc w:val="right"/>
              <w:ind w:right="160"/>
              <w:spacing w:after="0"/>
              <w:rPr>
                <w:sz w:val="20"/>
                <w:szCs w:val="20"/>
                <w:color w:val="auto"/>
              </w:rPr>
            </w:pPr>
            <w:r>
              <w:rPr>
                <w:rFonts w:ascii="Arial" w:cs="Arial" w:eastAsia="Arial" w:hAnsi="Arial"/>
                <w:sz w:val="18"/>
                <w:szCs w:val="18"/>
                <w:color w:val="auto"/>
              </w:rPr>
              <w:t>57</w:t>
            </w:r>
          </w:p>
        </w:tc>
        <w:tc>
          <w:tcPr>
            <w:tcW w:w="640" w:type="dxa"/>
            <w:vAlign w:val="bottom"/>
            <w:gridSpan w:val="2"/>
          </w:tcPr>
          <w:p>
            <w:pPr>
              <w:jc w:val="right"/>
              <w:spacing w:after="0"/>
              <w:rPr>
                <w:sz w:val="20"/>
                <w:szCs w:val="20"/>
                <w:color w:val="auto"/>
              </w:rPr>
            </w:pPr>
            <w:r>
              <w:rPr>
                <w:rFonts w:ascii="Arial" w:cs="Arial" w:eastAsia="Arial" w:hAnsi="Arial"/>
                <w:sz w:val="18"/>
                <w:szCs w:val="18"/>
                <w:color w:val="auto"/>
              </w:rPr>
              <w:t>1.0%</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310</w:t>
            </w:r>
          </w:p>
        </w:tc>
        <w:tc>
          <w:tcPr>
            <w:tcW w:w="700" w:type="dxa"/>
            <w:vAlign w:val="bottom"/>
            <w:gridSpan w:val="2"/>
          </w:tcPr>
          <w:p>
            <w:pPr>
              <w:jc w:val="right"/>
              <w:ind w:right="80"/>
              <w:spacing w:after="0"/>
              <w:rPr>
                <w:sz w:val="20"/>
                <w:szCs w:val="20"/>
                <w:color w:val="auto"/>
              </w:rPr>
            </w:pPr>
            <w:r>
              <w:rPr>
                <w:rFonts w:ascii="Arial" w:cs="Arial" w:eastAsia="Arial" w:hAnsi="Arial"/>
                <w:sz w:val="18"/>
                <w:szCs w:val="18"/>
                <w:color w:val="auto"/>
              </w:rPr>
              <w:t>4.1%</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45</w:t>
            </w: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rPr>
              <w:t>0.5%</w:t>
            </w:r>
          </w:p>
        </w:tc>
        <w:tc>
          <w:tcPr>
            <w:tcW w:w="0" w:type="dxa"/>
            <w:vAlign w:val="bottom"/>
          </w:tcPr>
          <w:p>
            <w:pPr>
              <w:spacing w:after="0"/>
              <w:rPr>
                <w:sz w:val="1"/>
                <w:szCs w:val="1"/>
                <w:color w:val="auto"/>
              </w:rPr>
            </w:pPr>
          </w:p>
        </w:tc>
      </w:tr>
      <w:tr>
        <w:trPr>
          <w:trHeight w:val="27"/>
        </w:trPr>
        <w:tc>
          <w:tcPr>
            <w:tcW w:w="3860" w:type="dxa"/>
            <w:vAlign w:val="bottom"/>
          </w:tcPr>
          <w:p>
            <w:pPr>
              <w:spacing w:after="0"/>
              <w:rPr>
                <w:sz w:val="2"/>
                <w:szCs w:val="2"/>
                <w:color w:val="auto"/>
              </w:rPr>
            </w:pPr>
          </w:p>
        </w:tc>
        <w:tc>
          <w:tcPr>
            <w:tcW w:w="23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3860" w:type="dxa"/>
            <w:vAlign w:val="bottom"/>
            <w:shd w:val="clear" w:color="auto" w:fill="CCEEFF"/>
          </w:tcPr>
          <w:p>
            <w:pPr>
              <w:spacing w:after="0"/>
              <w:rPr>
                <w:sz w:val="18"/>
                <w:szCs w:val="18"/>
                <w:color w:val="auto"/>
              </w:rPr>
            </w:pPr>
          </w:p>
        </w:tc>
        <w:tc>
          <w:tcPr>
            <w:tcW w:w="2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5,271</w:t>
            </w: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100.0%</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7,590</w:t>
            </w:r>
          </w:p>
        </w:tc>
        <w:tc>
          <w:tcPr>
            <w:tcW w:w="70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w w:val="98"/>
              </w:rPr>
              <w:t>100.0%</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8,529</w:t>
            </w: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8"/>
              </w:rPr>
              <w:t>100.0%</w:t>
            </w:r>
          </w:p>
        </w:tc>
        <w:tc>
          <w:tcPr>
            <w:tcW w:w="0" w:type="dxa"/>
            <w:vAlign w:val="bottom"/>
          </w:tcPr>
          <w:p>
            <w:pPr>
              <w:spacing w:after="0"/>
              <w:rPr>
                <w:sz w:val="1"/>
                <w:szCs w:val="1"/>
                <w:color w:val="auto"/>
              </w:rPr>
            </w:pPr>
          </w:p>
        </w:tc>
      </w:tr>
      <w:tr>
        <w:trPr>
          <w:trHeight w:val="20"/>
        </w:trPr>
        <w:tc>
          <w:tcPr>
            <w:tcW w:w="3860" w:type="dxa"/>
            <w:vAlign w:val="bottom"/>
          </w:tcPr>
          <w:p>
            <w:pPr>
              <w:spacing w:after="0" w:line="20" w:lineRule="exact"/>
              <w:rPr>
                <w:sz w:val="1"/>
                <w:szCs w:val="1"/>
                <w:color w:val="auto"/>
              </w:rPr>
            </w:pPr>
          </w:p>
        </w:tc>
        <w:tc>
          <w:tcPr>
            <w:tcW w:w="23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9"/>
        </w:trPr>
        <w:tc>
          <w:tcPr>
            <w:tcW w:w="3860" w:type="dxa"/>
            <w:vAlign w:val="bottom"/>
          </w:tcPr>
          <w:p>
            <w:pPr>
              <w:spacing w:after="0"/>
              <w:rPr>
                <w:sz w:val="24"/>
                <w:szCs w:val="24"/>
                <w:color w:val="auto"/>
              </w:rPr>
            </w:pPr>
          </w:p>
        </w:tc>
        <w:tc>
          <w:tcPr>
            <w:tcW w:w="2460" w:type="dxa"/>
            <w:vAlign w:val="bottom"/>
            <w:gridSpan w:val="2"/>
          </w:tcPr>
          <w:p>
            <w:pPr>
              <w:jc w:val="right"/>
              <w:ind w:right="567"/>
              <w:spacing w:after="0"/>
              <w:rPr>
                <w:sz w:val="20"/>
                <w:szCs w:val="20"/>
                <w:color w:val="auto"/>
              </w:rPr>
            </w:pPr>
            <w:r>
              <w:rPr>
                <w:rFonts w:ascii="Arial" w:cs="Arial" w:eastAsia="Arial" w:hAnsi="Arial"/>
                <w:sz w:val="18"/>
                <w:szCs w:val="18"/>
                <w:color w:val="auto"/>
              </w:rPr>
              <w:t>F-44</w:t>
            </w:r>
          </w:p>
        </w:tc>
        <w:tc>
          <w:tcPr>
            <w:tcW w:w="5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020"/>
          </w:cols>
          <w:pgMar w:left="440" w:top="274" w:right="439" w:bottom="1440" w:gutter="0" w:footer="0" w:header="0"/>
        </w:sectPr>
      </w:pPr>
    </w:p>
    <w:bookmarkStart w:id="158" w:name="page159"/>
    <w:bookmarkEnd w:id="158"/>
    <w:p>
      <w:pPr>
        <w:ind w:left="4" w:right="80"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The following table represents the geographic allocation of trading container sales proceeds and gain on sale of owned fleet containers, net during the years ended December 31, 2020, 2019 and 2018 based on the location of sale:</w:t>
      </w:r>
    </w:p>
    <w:p>
      <w:pPr>
        <w:spacing w:after="0" w:line="189" w:lineRule="exact"/>
        <w:rPr>
          <w:sz w:val="20"/>
          <w:szCs w:val="20"/>
          <w:color w:val="auto"/>
        </w:rPr>
      </w:pPr>
    </w:p>
    <w:tbl>
      <w:tblPr>
        <w:tblLayout w:type="fixed"/>
        <w:tblInd w:w="4" w:type="dxa"/>
        <w:tblCellMar>
          <w:top w:w="0" w:type="dxa"/>
          <w:left w:w="0" w:type="dxa"/>
          <w:bottom w:w="0" w:type="dxa"/>
          <w:right w:w="0" w:type="dxa"/>
        </w:tblCellMar>
      </w:tblPr>
      <w:tr>
        <w:trPr>
          <w:trHeight w:val="171"/>
        </w:trPr>
        <w:tc>
          <w:tcPr>
            <w:tcW w:w="6500" w:type="dxa"/>
            <w:vAlign w:val="bottom"/>
          </w:tcPr>
          <w:p>
            <w:pPr>
              <w:spacing w:after="0"/>
              <w:rPr>
                <w:sz w:val="14"/>
                <w:szCs w:val="14"/>
                <w:color w:val="auto"/>
              </w:rPr>
            </w:pPr>
          </w:p>
        </w:tc>
        <w:tc>
          <w:tcPr>
            <w:tcW w:w="60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480" w:type="dxa"/>
            <w:vAlign w:val="bottom"/>
            <w:tcBorders>
              <w:bottom w:val="single" w:sz="8" w:color="auto"/>
            </w:tcBorders>
          </w:tcPr>
          <w:p>
            <w:pPr>
              <w:spacing w:after="0"/>
              <w:rPr>
                <w:sz w:val="14"/>
                <w:szCs w:val="14"/>
                <w:color w:val="auto"/>
              </w:rPr>
            </w:pPr>
          </w:p>
        </w:tc>
        <w:tc>
          <w:tcPr>
            <w:tcW w:w="1840" w:type="dxa"/>
            <w:vAlign w:val="bottom"/>
            <w:tcBorders>
              <w:bottom w:val="single" w:sz="8" w:color="auto"/>
            </w:tcBorders>
            <w:gridSpan w:val="6"/>
          </w:tcPr>
          <w:p>
            <w:pPr>
              <w:jc w:val="right"/>
              <w:ind w:right="120"/>
              <w:spacing w:after="0"/>
              <w:rPr>
                <w:sz w:val="20"/>
                <w:szCs w:val="20"/>
                <w:color w:val="auto"/>
              </w:rPr>
            </w:pPr>
            <w:r>
              <w:rPr>
                <w:rFonts w:ascii="Arial" w:cs="Arial" w:eastAsia="Arial" w:hAnsi="Arial"/>
                <w:sz w:val="14"/>
                <w:szCs w:val="14"/>
                <w:b w:val="1"/>
                <w:bCs w:val="1"/>
                <w:color w:val="auto"/>
                <w:w w:val="95"/>
              </w:rPr>
              <w:t>Years ended December 31,</w:t>
            </w:r>
          </w:p>
        </w:tc>
        <w:tc>
          <w:tcPr>
            <w:tcW w:w="60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460" w:type="dxa"/>
            <w:vAlign w:val="bottom"/>
            <w:tcBorders>
              <w:bottom w:val="single" w:sz="8" w:color="auto"/>
            </w:tcBorders>
          </w:tcPr>
          <w:p>
            <w:pPr>
              <w:spacing w:after="0"/>
              <w:rPr>
                <w:sz w:val="14"/>
                <w:szCs w:val="14"/>
                <w:color w:val="auto"/>
              </w:rPr>
            </w:pPr>
          </w:p>
        </w:tc>
        <w:tc>
          <w:tcPr>
            <w:tcW w:w="2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6500" w:type="dxa"/>
            <w:vAlign w:val="bottom"/>
          </w:tcPr>
          <w:p>
            <w:pPr>
              <w:spacing w:after="0"/>
              <w:rPr>
                <w:sz w:val="10"/>
                <w:szCs w:val="10"/>
                <w:color w:val="auto"/>
              </w:rPr>
            </w:pPr>
          </w:p>
        </w:tc>
        <w:tc>
          <w:tcPr>
            <w:tcW w:w="600" w:type="dxa"/>
            <w:vAlign w:val="bottom"/>
            <w:vMerge w:val="restart"/>
          </w:tcPr>
          <w:p>
            <w:pPr>
              <w:jc w:val="right"/>
              <w:ind w:right="72"/>
              <w:spacing w:after="0"/>
              <w:rPr>
                <w:sz w:val="20"/>
                <w:szCs w:val="20"/>
                <w:color w:val="auto"/>
              </w:rPr>
            </w:pPr>
            <w:r>
              <w:rPr>
                <w:rFonts w:ascii="Arial" w:cs="Arial" w:eastAsia="Arial" w:hAnsi="Arial"/>
                <w:sz w:val="14"/>
                <w:szCs w:val="14"/>
                <w:b w:val="1"/>
                <w:bCs w:val="1"/>
                <w:color w:val="auto"/>
              </w:rPr>
              <w:t>2020</w:t>
            </w:r>
          </w:p>
        </w:tc>
        <w:tc>
          <w:tcPr>
            <w:tcW w:w="160" w:type="dxa"/>
            <w:vAlign w:val="bottom"/>
          </w:tcPr>
          <w:p>
            <w:pPr>
              <w:spacing w:after="0"/>
              <w:rPr>
                <w:sz w:val="10"/>
                <w:szCs w:val="10"/>
                <w:color w:val="auto"/>
              </w:rPr>
            </w:pPr>
          </w:p>
        </w:tc>
        <w:tc>
          <w:tcPr>
            <w:tcW w:w="780" w:type="dxa"/>
            <w:vAlign w:val="bottom"/>
            <w:gridSpan w:val="2"/>
          </w:tcPr>
          <w:p>
            <w:pPr>
              <w:jc w:val="right"/>
              <w:ind w:right="248"/>
              <w:spacing w:after="0" w:line="119" w:lineRule="exact"/>
              <w:rPr>
                <w:sz w:val="20"/>
                <w:szCs w:val="20"/>
                <w:color w:val="auto"/>
              </w:rPr>
            </w:pPr>
            <w:r>
              <w:rPr>
                <w:rFonts w:ascii="Arial" w:cs="Arial" w:eastAsia="Arial" w:hAnsi="Arial"/>
                <w:sz w:val="13"/>
                <w:szCs w:val="13"/>
                <w:b w:val="1"/>
                <w:bCs w:val="1"/>
                <w:color w:val="auto"/>
                <w:w w:val="92"/>
              </w:rPr>
              <w:t>Percent</w:t>
            </w:r>
          </w:p>
        </w:tc>
        <w:tc>
          <w:tcPr>
            <w:tcW w:w="100" w:type="dxa"/>
            <w:vAlign w:val="bottom"/>
          </w:tcPr>
          <w:p>
            <w:pPr>
              <w:spacing w:after="0"/>
              <w:rPr>
                <w:sz w:val="10"/>
                <w:szCs w:val="10"/>
                <w:color w:val="auto"/>
              </w:rPr>
            </w:pPr>
          </w:p>
        </w:tc>
        <w:tc>
          <w:tcPr>
            <w:tcW w:w="500" w:type="dxa"/>
            <w:vAlign w:val="bottom"/>
            <w:vMerge w:val="restart"/>
          </w:tcPr>
          <w:p>
            <w:pPr>
              <w:jc w:val="right"/>
              <w:ind w:right="72"/>
              <w:spacing w:after="0"/>
              <w:rPr>
                <w:sz w:val="20"/>
                <w:szCs w:val="20"/>
                <w:color w:val="auto"/>
              </w:rPr>
            </w:pPr>
            <w:r>
              <w:rPr>
                <w:rFonts w:ascii="Arial" w:cs="Arial" w:eastAsia="Arial" w:hAnsi="Arial"/>
                <w:sz w:val="14"/>
                <w:szCs w:val="14"/>
                <w:b w:val="1"/>
                <w:bCs w:val="1"/>
                <w:color w:val="auto"/>
              </w:rPr>
              <w:t>2019</w:t>
            </w:r>
          </w:p>
        </w:tc>
        <w:tc>
          <w:tcPr>
            <w:tcW w:w="160" w:type="dxa"/>
            <w:vAlign w:val="bottom"/>
          </w:tcPr>
          <w:p>
            <w:pPr>
              <w:spacing w:after="0"/>
              <w:rPr>
                <w:sz w:val="10"/>
                <w:szCs w:val="10"/>
                <w:color w:val="auto"/>
              </w:rPr>
            </w:pPr>
          </w:p>
        </w:tc>
        <w:tc>
          <w:tcPr>
            <w:tcW w:w="780" w:type="dxa"/>
            <w:vAlign w:val="bottom"/>
            <w:gridSpan w:val="2"/>
          </w:tcPr>
          <w:p>
            <w:pPr>
              <w:jc w:val="right"/>
              <w:ind w:right="320"/>
              <w:spacing w:after="0" w:line="119" w:lineRule="exact"/>
              <w:rPr>
                <w:sz w:val="20"/>
                <w:szCs w:val="20"/>
                <w:color w:val="auto"/>
              </w:rPr>
            </w:pPr>
            <w:r>
              <w:rPr>
                <w:rFonts w:ascii="Arial" w:cs="Arial" w:eastAsia="Arial" w:hAnsi="Arial"/>
                <w:sz w:val="13"/>
                <w:szCs w:val="13"/>
                <w:b w:val="1"/>
                <w:bCs w:val="1"/>
                <w:color w:val="auto"/>
                <w:w w:val="92"/>
              </w:rPr>
              <w:t>Percent</w:t>
            </w:r>
          </w:p>
        </w:tc>
        <w:tc>
          <w:tcPr>
            <w:tcW w:w="600" w:type="dxa"/>
            <w:vAlign w:val="bottom"/>
            <w:vMerge w:val="restart"/>
          </w:tcPr>
          <w:p>
            <w:pPr>
              <w:jc w:val="right"/>
              <w:ind w:right="72"/>
              <w:spacing w:after="0"/>
              <w:rPr>
                <w:sz w:val="20"/>
                <w:szCs w:val="20"/>
                <w:color w:val="auto"/>
              </w:rPr>
            </w:pPr>
            <w:r>
              <w:rPr>
                <w:rFonts w:ascii="Arial" w:cs="Arial" w:eastAsia="Arial" w:hAnsi="Arial"/>
                <w:sz w:val="14"/>
                <w:szCs w:val="14"/>
                <w:b w:val="1"/>
                <w:bCs w:val="1"/>
                <w:color w:val="auto"/>
              </w:rPr>
              <w:t>2018</w:t>
            </w:r>
          </w:p>
        </w:tc>
        <w:tc>
          <w:tcPr>
            <w:tcW w:w="160" w:type="dxa"/>
            <w:vAlign w:val="bottom"/>
          </w:tcPr>
          <w:p>
            <w:pPr>
              <w:spacing w:after="0"/>
              <w:rPr>
                <w:sz w:val="10"/>
                <w:szCs w:val="10"/>
                <w:color w:val="auto"/>
              </w:rPr>
            </w:pPr>
          </w:p>
        </w:tc>
        <w:tc>
          <w:tcPr>
            <w:tcW w:w="460" w:type="dxa"/>
            <w:vAlign w:val="bottom"/>
          </w:tcPr>
          <w:p>
            <w:pPr>
              <w:spacing w:after="0" w:line="119" w:lineRule="exact"/>
              <w:rPr>
                <w:sz w:val="20"/>
                <w:szCs w:val="20"/>
                <w:color w:val="auto"/>
              </w:rPr>
            </w:pPr>
            <w:r>
              <w:rPr>
                <w:rFonts w:ascii="Arial" w:cs="Arial" w:eastAsia="Arial" w:hAnsi="Arial"/>
                <w:sz w:val="13"/>
                <w:szCs w:val="13"/>
                <w:b w:val="1"/>
                <w:bCs w:val="1"/>
                <w:color w:val="auto"/>
                <w:w w:val="92"/>
              </w:rPr>
              <w:t>Percent</w:t>
            </w:r>
          </w:p>
        </w:tc>
        <w:tc>
          <w:tcPr>
            <w:tcW w:w="2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6500" w:type="dxa"/>
            <w:vAlign w:val="bottom"/>
          </w:tcPr>
          <w:p>
            <w:pPr>
              <w:spacing w:after="0"/>
              <w:rPr>
                <w:sz w:val="14"/>
                <w:szCs w:val="14"/>
                <w:color w:val="auto"/>
              </w:rPr>
            </w:pPr>
          </w:p>
        </w:tc>
        <w:tc>
          <w:tcPr>
            <w:tcW w:w="600" w:type="dxa"/>
            <w:vAlign w:val="bottom"/>
            <w:vMerge w:val="continue"/>
          </w:tcPr>
          <w:p>
            <w:pPr>
              <w:spacing w:after="0"/>
              <w:rPr>
                <w:sz w:val="14"/>
                <w:szCs w:val="14"/>
                <w:color w:val="auto"/>
              </w:rPr>
            </w:pPr>
          </w:p>
        </w:tc>
        <w:tc>
          <w:tcPr>
            <w:tcW w:w="160" w:type="dxa"/>
            <w:vAlign w:val="bottom"/>
          </w:tcPr>
          <w:p>
            <w:pPr>
              <w:spacing w:after="0"/>
              <w:rPr>
                <w:sz w:val="14"/>
                <w:szCs w:val="14"/>
                <w:color w:val="auto"/>
              </w:rPr>
            </w:pPr>
          </w:p>
        </w:tc>
        <w:tc>
          <w:tcPr>
            <w:tcW w:w="780" w:type="dxa"/>
            <w:vAlign w:val="bottom"/>
            <w:gridSpan w:val="2"/>
          </w:tcPr>
          <w:p>
            <w:pPr>
              <w:jc w:val="right"/>
              <w:ind w:right="248"/>
              <w:spacing w:after="0"/>
              <w:rPr>
                <w:sz w:val="20"/>
                <w:szCs w:val="20"/>
                <w:color w:val="auto"/>
              </w:rPr>
            </w:pPr>
            <w:r>
              <w:rPr>
                <w:rFonts w:ascii="Arial" w:cs="Arial" w:eastAsia="Arial" w:hAnsi="Arial"/>
                <w:sz w:val="14"/>
                <w:szCs w:val="14"/>
                <w:b w:val="1"/>
                <w:bCs w:val="1"/>
                <w:color w:val="auto"/>
                <w:w w:val="86"/>
              </w:rPr>
              <w:t>of Total</w:t>
            </w:r>
          </w:p>
        </w:tc>
        <w:tc>
          <w:tcPr>
            <w:tcW w:w="100" w:type="dxa"/>
            <w:vAlign w:val="bottom"/>
          </w:tcPr>
          <w:p>
            <w:pPr>
              <w:spacing w:after="0"/>
              <w:rPr>
                <w:sz w:val="14"/>
                <w:szCs w:val="14"/>
                <w:color w:val="auto"/>
              </w:rPr>
            </w:pPr>
          </w:p>
        </w:tc>
        <w:tc>
          <w:tcPr>
            <w:tcW w:w="500" w:type="dxa"/>
            <w:vAlign w:val="bottom"/>
            <w:vMerge w:val="continue"/>
          </w:tcPr>
          <w:p>
            <w:pPr>
              <w:spacing w:after="0"/>
              <w:rPr>
                <w:sz w:val="14"/>
                <w:szCs w:val="14"/>
                <w:color w:val="auto"/>
              </w:rPr>
            </w:pPr>
          </w:p>
        </w:tc>
        <w:tc>
          <w:tcPr>
            <w:tcW w:w="160" w:type="dxa"/>
            <w:vAlign w:val="bottom"/>
          </w:tcPr>
          <w:p>
            <w:pPr>
              <w:spacing w:after="0"/>
              <w:rPr>
                <w:sz w:val="14"/>
                <w:szCs w:val="14"/>
                <w:color w:val="auto"/>
              </w:rPr>
            </w:pPr>
          </w:p>
        </w:tc>
        <w:tc>
          <w:tcPr>
            <w:tcW w:w="780" w:type="dxa"/>
            <w:vAlign w:val="bottom"/>
            <w:gridSpan w:val="2"/>
          </w:tcPr>
          <w:p>
            <w:pPr>
              <w:jc w:val="right"/>
              <w:ind w:right="320"/>
              <w:spacing w:after="0"/>
              <w:rPr>
                <w:sz w:val="20"/>
                <w:szCs w:val="20"/>
                <w:color w:val="auto"/>
              </w:rPr>
            </w:pPr>
            <w:r>
              <w:rPr>
                <w:rFonts w:ascii="Arial" w:cs="Arial" w:eastAsia="Arial" w:hAnsi="Arial"/>
                <w:sz w:val="14"/>
                <w:szCs w:val="14"/>
                <w:b w:val="1"/>
                <w:bCs w:val="1"/>
                <w:color w:val="auto"/>
                <w:w w:val="86"/>
              </w:rPr>
              <w:t>of Total</w:t>
            </w:r>
          </w:p>
        </w:tc>
        <w:tc>
          <w:tcPr>
            <w:tcW w:w="600" w:type="dxa"/>
            <w:vAlign w:val="bottom"/>
            <w:vMerge w:val="continue"/>
          </w:tcPr>
          <w:p>
            <w:pPr>
              <w:spacing w:after="0"/>
              <w:rPr>
                <w:sz w:val="14"/>
                <w:szCs w:val="14"/>
                <w:color w:val="auto"/>
              </w:rPr>
            </w:pPr>
          </w:p>
        </w:tc>
        <w:tc>
          <w:tcPr>
            <w:tcW w:w="160" w:type="dxa"/>
            <w:vAlign w:val="bottom"/>
          </w:tcPr>
          <w:p>
            <w:pPr>
              <w:spacing w:after="0"/>
              <w:rPr>
                <w:sz w:val="14"/>
                <w:szCs w:val="14"/>
                <w:color w:val="auto"/>
              </w:rPr>
            </w:pPr>
          </w:p>
        </w:tc>
        <w:tc>
          <w:tcPr>
            <w:tcW w:w="680" w:type="dxa"/>
            <w:vAlign w:val="bottom"/>
            <w:gridSpan w:val="2"/>
          </w:tcPr>
          <w:p>
            <w:pPr>
              <w:spacing w:after="0"/>
              <w:rPr>
                <w:sz w:val="20"/>
                <w:szCs w:val="20"/>
                <w:color w:val="auto"/>
              </w:rPr>
            </w:pPr>
            <w:r>
              <w:rPr>
                <w:rFonts w:ascii="Arial" w:cs="Arial" w:eastAsia="Arial" w:hAnsi="Arial"/>
                <w:sz w:val="14"/>
                <w:szCs w:val="14"/>
                <w:b w:val="1"/>
                <w:bCs w:val="1"/>
                <w:color w:val="auto"/>
              </w:rPr>
              <w:t>of Total</w:t>
            </w:r>
          </w:p>
        </w:tc>
        <w:tc>
          <w:tcPr>
            <w:tcW w:w="0" w:type="dxa"/>
            <w:vAlign w:val="bottom"/>
          </w:tcPr>
          <w:p>
            <w:pPr>
              <w:spacing w:after="0"/>
              <w:rPr>
                <w:sz w:val="1"/>
                <w:szCs w:val="1"/>
                <w:color w:val="auto"/>
              </w:rPr>
            </w:pPr>
          </w:p>
        </w:tc>
      </w:tr>
      <w:tr>
        <w:trPr>
          <w:trHeight w:val="196"/>
        </w:trPr>
        <w:tc>
          <w:tcPr>
            <w:tcW w:w="650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Trading container sales proceeds:</w:t>
            </w:r>
          </w:p>
        </w:tc>
        <w:tc>
          <w:tcPr>
            <w:tcW w:w="600" w:type="dxa"/>
            <w:vAlign w:val="bottom"/>
            <w:tcBorders>
              <w:top w:val="single" w:sz="8" w:color="auto"/>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480" w:type="dxa"/>
            <w:vAlign w:val="bottom"/>
            <w:tcBorders>
              <w:top w:val="single" w:sz="8" w:color="auto"/>
            </w:tcBorders>
            <w:shd w:val="clear" w:color="auto" w:fill="CCEEFF"/>
          </w:tcPr>
          <w:p>
            <w:pPr>
              <w:spacing w:after="0"/>
              <w:rPr>
                <w:sz w:val="17"/>
                <w:szCs w:val="17"/>
                <w:color w:val="auto"/>
              </w:rPr>
            </w:pPr>
          </w:p>
        </w:tc>
        <w:tc>
          <w:tcPr>
            <w:tcW w:w="30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500" w:type="dxa"/>
            <w:vAlign w:val="bottom"/>
            <w:tcBorders>
              <w:top w:val="single" w:sz="8" w:color="auto"/>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480" w:type="dxa"/>
            <w:vAlign w:val="bottom"/>
            <w:tcBorders>
              <w:top w:val="single" w:sz="8" w:color="auto"/>
            </w:tcBorders>
            <w:shd w:val="clear" w:color="auto" w:fill="CCEEFF"/>
          </w:tcPr>
          <w:p>
            <w:pPr>
              <w:spacing w:after="0"/>
              <w:rPr>
                <w:sz w:val="17"/>
                <w:szCs w:val="17"/>
                <w:color w:val="auto"/>
              </w:rPr>
            </w:pPr>
          </w:p>
        </w:tc>
        <w:tc>
          <w:tcPr>
            <w:tcW w:w="300" w:type="dxa"/>
            <w:vAlign w:val="bottom"/>
            <w:tcBorders>
              <w:top w:val="single" w:sz="8" w:color="CCEEFF"/>
            </w:tcBorders>
            <w:shd w:val="clear" w:color="auto" w:fill="CCEEFF"/>
          </w:tcPr>
          <w:p>
            <w:pPr>
              <w:spacing w:after="0"/>
              <w:rPr>
                <w:sz w:val="17"/>
                <w:szCs w:val="17"/>
                <w:color w:val="auto"/>
              </w:rPr>
            </w:pPr>
          </w:p>
        </w:tc>
        <w:tc>
          <w:tcPr>
            <w:tcW w:w="600" w:type="dxa"/>
            <w:vAlign w:val="bottom"/>
            <w:tcBorders>
              <w:top w:val="single" w:sz="8" w:color="auto"/>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46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6500" w:type="dxa"/>
            <w:vAlign w:val="bottom"/>
          </w:tcPr>
          <w:p>
            <w:pPr>
              <w:ind w:left="360"/>
              <w:spacing w:after="0"/>
              <w:rPr>
                <w:sz w:val="20"/>
                <w:szCs w:val="20"/>
                <w:color w:val="auto"/>
              </w:rPr>
            </w:pPr>
            <w:r>
              <w:rPr>
                <w:rFonts w:ascii="Arial" w:cs="Arial" w:eastAsia="Arial" w:hAnsi="Arial"/>
                <w:sz w:val="18"/>
                <w:szCs w:val="18"/>
                <w:color w:val="auto"/>
              </w:rPr>
              <w:t>Asia</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w w:val="89"/>
              </w:rPr>
              <w:t>$14,896</w:t>
            </w:r>
          </w:p>
        </w:tc>
        <w:tc>
          <w:tcPr>
            <w:tcW w:w="780" w:type="dxa"/>
            <w:vAlign w:val="bottom"/>
            <w:gridSpan w:val="2"/>
          </w:tcPr>
          <w:p>
            <w:pPr>
              <w:jc w:val="right"/>
              <w:ind w:right="88"/>
              <w:spacing w:after="0"/>
              <w:rPr>
                <w:sz w:val="20"/>
                <w:szCs w:val="20"/>
                <w:color w:val="auto"/>
              </w:rPr>
            </w:pPr>
            <w:r>
              <w:rPr>
                <w:rFonts w:ascii="Arial" w:cs="Arial" w:eastAsia="Arial" w:hAnsi="Arial"/>
                <w:sz w:val="18"/>
                <w:szCs w:val="18"/>
                <w:color w:val="auto"/>
              </w:rPr>
              <w:t>46.6%</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660" w:type="dxa"/>
            <w:vAlign w:val="bottom"/>
            <w:gridSpan w:val="2"/>
          </w:tcPr>
          <w:p>
            <w:pPr>
              <w:jc w:val="right"/>
              <w:ind w:right="160"/>
              <w:spacing w:after="0"/>
              <w:rPr>
                <w:sz w:val="20"/>
                <w:szCs w:val="20"/>
                <w:color w:val="auto"/>
              </w:rPr>
            </w:pPr>
            <w:r>
              <w:rPr>
                <w:rFonts w:ascii="Arial" w:cs="Arial" w:eastAsia="Arial" w:hAnsi="Arial"/>
                <w:sz w:val="18"/>
                <w:szCs w:val="18"/>
                <w:color w:val="auto"/>
                <w:w w:val="87"/>
              </w:rPr>
              <w:t>39,519</w:t>
            </w: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rPr>
              <w:t>67.3%</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w w:val="89"/>
              </w:rPr>
              <w:t>$13,117</w:t>
            </w: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rPr>
              <w:t>67.0%</w:t>
            </w:r>
          </w:p>
        </w:tc>
        <w:tc>
          <w:tcPr>
            <w:tcW w:w="0" w:type="dxa"/>
            <w:vAlign w:val="bottom"/>
          </w:tcPr>
          <w:p>
            <w:pPr>
              <w:spacing w:after="0"/>
              <w:rPr>
                <w:sz w:val="1"/>
                <w:szCs w:val="1"/>
                <w:color w:val="auto"/>
              </w:rPr>
            </w:pPr>
          </w:p>
        </w:tc>
      </w:tr>
      <w:tr>
        <w:trPr>
          <w:trHeight w:val="216"/>
        </w:trPr>
        <w:tc>
          <w:tcPr>
            <w:tcW w:w="65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North / South America</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13,045</w:t>
            </w:r>
          </w:p>
        </w:tc>
        <w:tc>
          <w:tcPr>
            <w:tcW w:w="780" w:type="dxa"/>
            <w:vAlign w:val="bottom"/>
            <w:gridSpan w:val="2"/>
            <w:shd w:val="clear" w:color="auto" w:fill="CCEEFF"/>
          </w:tcPr>
          <w:p>
            <w:pPr>
              <w:jc w:val="right"/>
              <w:ind w:right="88"/>
              <w:spacing w:after="0"/>
              <w:rPr>
                <w:sz w:val="20"/>
                <w:szCs w:val="20"/>
                <w:color w:val="auto"/>
              </w:rPr>
            </w:pPr>
            <w:r>
              <w:rPr>
                <w:rFonts w:ascii="Arial" w:cs="Arial" w:eastAsia="Arial" w:hAnsi="Arial"/>
                <w:sz w:val="18"/>
                <w:szCs w:val="18"/>
                <w:color w:val="auto"/>
              </w:rPr>
              <w:t>40.9%</w:t>
            </w:r>
          </w:p>
        </w:tc>
        <w:tc>
          <w:tcPr>
            <w:tcW w:w="10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87"/>
              </w:rPr>
              <w:t>12,788</w:t>
            </w: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21.8%</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2,893</w:t>
            </w: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14.8%</w:t>
            </w:r>
          </w:p>
        </w:tc>
        <w:tc>
          <w:tcPr>
            <w:tcW w:w="0" w:type="dxa"/>
            <w:vAlign w:val="bottom"/>
          </w:tcPr>
          <w:p>
            <w:pPr>
              <w:spacing w:after="0"/>
              <w:rPr>
                <w:sz w:val="1"/>
                <w:szCs w:val="1"/>
                <w:color w:val="auto"/>
              </w:rPr>
            </w:pPr>
          </w:p>
        </w:tc>
      </w:tr>
      <w:tr>
        <w:trPr>
          <w:trHeight w:val="216"/>
        </w:trPr>
        <w:tc>
          <w:tcPr>
            <w:tcW w:w="6500" w:type="dxa"/>
            <w:vAlign w:val="bottom"/>
          </w:tcPr>
          <w:p>
            <w:pPr>
              <w:ind w:left="360"/>
              <w:spacing w:after="0"/>
              <w:rPr>
                <w:sz w:val="20"/>
                <w:szCs w:val="20"/>
                <w:color w:val="auto"/>
              </w:rPr>
            </w:pPr>
            <w:r>
              <w:rPr>
                <w:rFonts w:ascii="Arial" w:cs="Arial" w:eastAsia="Arial" w:hAnsi="Arial"/>
                <w:sz w:val="18"/>
                <w:szCs w:val="18"/>
                <w:color w:val="auto"/>
              </w:rPr>
              <w:t>Europe</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3,991</w:t>
            </w:r>
          </w:p>
        </w:tc>
        <w:tc>
          <w:tcPr>
            <w:tcW w:w="780" w:type="dxa"/>
            <w:vAlign w:val="bottom"/>
            <w:gridSpan w:val="2"/>
          </w:tcPr>
          <w:p>
            <w:pPr>
              <w:jc w:val="right"/>
              <w:ind w:right="88"/>
              <w:spacing w:after="0"/>
              <w:rPr>
                <w:sz w:val="20"/>
                <w:szCs w:val="20"/>
                <w:color w:val="auto"/>
              </w:rPr>
            </w:pPr>
            <w:r>
              <w:rPr>
                <w:rFonts w:ascii="Arial" w:cs="Arial" w:eastAsia="Arial" w:hAnsi="Arial"/>
                <w:sz w:val="18"/>
                <w:szCs w:val="18"/>
                <w:color w:val="auto"/>
              </w:rPr>
              <w:t>12.5%</w:t>
            </w:r>
          </w:p>
        </w:tc>
        <w:tc>
          <w:tcPr>
            <w:tcW w:w="100" w:type="dxa"/>
            <w:vAlign w:val="bottom"/>
          </w:tcPr>
          <w:p>
            <w:pPr>
              <w:spacing w:after="0"/>
              <w:rPr>
                <w:sz w:val="18"/>
                <w:szCs w:val="18"/>
                <w:color w:val="auto"/>
              </w:rPr>
            </w:pPr>
          </w:p>
        </w:tc>
        <w:tc>
          <w:tcPr>
            <w:tcW w:w="660" w:type="dxa"/>
            <w:vAlign w:val="bottom"/>
            <w:gridSpan w:val="2"/>
          </w:tcPr>
          <w:p>
            <w:pPr>
              <w:jc w:val="right"/>
              <w:ind w:right="160"/>
              <w:spacing w:after="0"/>
              <w:rPr>
                <w:sz w:val="20"/>
                <w:szCs w:val="20"/>
                <w:color w:val="auto"/>
              </w:rPr>
            </w:pPr>
            <w:r>
              <w:rPr>
                <w:rFonts w:ascii="Arial" w:cs="Arial" w:eastAsia="Arial" w:hAnsi="Arial"/>
                <w:sz w:val="18"/>
                <w:szCs w:val="18"/>
                <w:color w:val="auto"/>
              </w:rPr>
              <w:t>6,411</w:t>
            </w: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rPr>
              <w:t>10.9%</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3,487</w:t>
            </w: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rPr>
              <w:t>17.8%</w:t>
            </w:r>
          </w:p>
        </w:tc>
        <w:tc>
          <w:tcPr>
            <w:tcW w:w="0" w:type="dxa"/>
            <w:vAlign w:val="bottom"/>
          </w:tcPr>
          <w:p>
            <w:pPr>
              <w:spacing w:after="0"/>
              <w:rPr>
                <w:sz w:val="1"/>
                <w:szCs w:val="1"/>
                <w:color w:val="auto"/>
              </w:rPr>
            </w:pPr>
          </w:p>
        </w:tc>
      </w:tr>
      <w:tr>
        <w:trPr>
          <w:trHeight w:val="216"/>
        </w:trPr>
        <w:tc>
          <w:tcPr>
            <w:tcW w:w="65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All other international</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w:t>
            </w:r>
          </w:p>
        </w:tc>
        <w:tc>
          <w:tcPr>
            <w:tcW w:w="16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88"/>
              <w:spacing w:after="0"/>
              <w:rPr>
                <w:sz w:val="20"/>
                <w:szCs w:val="20"/>
                <w:color w:val="auto"/>
              </w:rPr>
            </w:pPr>
            <w:r>
              <w:rPr>
                <w:rFonts w:ascii="Arial" w:cs="Arial" w:eastAsia="Arial" w:hAnsi="Arial"/>
                <w:sz w:val="18"/>
                <w:szCs w:val="18"/>
                <w:color w:val="auto"/>
              </w:rPr>
              <w:t>0.0%</w:t>
            </w:r>
          </w:p>
        </w:tc>
        <w:tc>
          <w:tcPr>
            <w:tcW w:w="10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16</w:t>
            </w: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0.0%</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71</w:t>
            </w: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0.4%</w:t>
            </w:r>
          </w:p>
        </w:tc>
        <w:tc>
          <w:tcPr>
            <w:tcW w:w="0" w:type="dxa"/>
            <w:vAlign w:val="bottom"/>
          </w:tcPr>
          <w:p>
            <w:pPr>
              <w:spacing w:after="0"/>
              <w:rPr>
                <w:sz w:val="1"/>
                <w:szCs w:val="1"/>
                <w:color w:val="auto"/>
              </w:rPr>
            </w:pPr>
          </w:p>
        </w:tc>
      </w:tr>
      <w:tr>
        <w:trPr>
          <w:trHeight w:val="20"/>
        </w:trPr>
        <w:tc>
          <w:tcPr>
            <w:tcW w:w="6500" w:type="dxa"/>
            <w:vAlign w:val="bottom"/>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vMerge w:val="restart"/>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vMerge w:val="restart"/>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vMerge w:val="restart"/>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6500" w:type="dxa"/>
            <w:vAlign w:val="bottom"/>
          </w:tcPr>
          <w:p>
            <w:pPr>
              <w:spacing w:after="0"/>
              <w:rPr>
                <w:sz w:val="19"/>
                <w:szCs w:val="19"/>
                <w:color w:val="auto"/>
              </w:rPr>
            </w:pPr>
          </w:p>
        </w:tc>
        <w:tc>
          <w:tcPr>
            <w:tcW w:w="600" w:type="dxa"/>
            <w:vAlign w:val="bottom"/>
          </w:tcPr>
          <w:p>
            <w:pPr>
              <w:jc w:val="right"/>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31,941</w:t>
            </w:r>
          </w:p>
        </w:tc>
        <w:tc>
          <w:tcPr>
            <w:tcW w:w="160" w:type="dxa"/>
            <w:vAlign w:val="bottom"/>
            <w:vMerge w:val="continue"/>
          </w:tcPr>
          <w:p>
            <w:pPr>
              <w:spacing w:after="0"/>
              <w:rPr>
                <w:sz w:val="19"/>
                <w:szCs w:val="19"/>
                <w:color w:val="auto"/>
              </w:rPr>
            </w:pPr>
          </w:p>
        </w:tc>
        <w:tc>
          <w:tcPr>
            <w:tcW w:w="780" w:type="dxa"/>
            <w:vAlign w:val="bottom"/>
            <w:gridSpan w:val="2"/>
          </w:tcPr>
          <w:p>
            <w:pPr>
              <w:jc w:val="right"/>
              <w:ind w:right="88"/>
              <w:spacing w:after="0"/>
              <w:rPr>
                <w:sz w:val="20"/>
                <w:szCs w:val="20"/>
                <w:color w:val="auto"/>
              </w:rPr>
            </w:pPr>
            <w:r>
              <w:rPr>
                <w:rFonts w:ascii="Arial" w:cs="Arial" w:eastAsia="Arial" w:hAnsi="Arial"/>
                <w:sz w:val="18"/>
                <w:szCs w:val="18"/>
                <w:color w:val="auto"/>
                <w:w w:val="98"/>
              </w:rPr>
              <w:t>100.0%</w:t>
            </w:r>
          </w:p>
        </w:tc>
        <w:tc>
          <w:tcPr>
            <w:tcW w:w="100" w:type="dxa"/>
            <w:vAlign w:val="bottom"/>
          </w:tcPr>
          <w:p>
            <w:pPr>
              <w:jc w:val="right"/>
              <w:spacing w:after="0"/>
              <w:rPr>
                <w:sz w:val="20"/>
                <w:szCs w:val="20"/>
                <w:color w:val="auto"/>
              </w:rPr>
            </w:pPr>
            <w:r>
              <w:rPr>
                <w:rFonts w:ascii="Arial" w:cs="Arial" w:eastAsia="Arial" w:hAnsi="Arial"/>
                <w:sz w:val="18"/>
                <w:szCs w:val="18"/>
                <w:u w:val="single" w:color="auto"/>
                <w:color w:val="auto"/>
                <w:w w:val="79"/>
              </w:rPr>
              <w:t>$</w:t>
            </w:r>
          </w:p>
        </w:tc>
        <w:tc>
          <w:tcPr>
            <w:tcW w:w="500" w:type="dxa"/>
            <w:vAlign w:val="bottom"/>
          </w:tcPr>
          <w:p>
            <w:pPr>
              <w:jc w:val="right"/>
              <w:spacing w:after="0"/>
              <w:rPr>
                <w:sz w:val="20"/>
                <w:szCs w:val="20"/>
                <w:color w:val="auto"/>
              </w:rPr>
            </w:pPr>
            <w:r>
              <w:rPr>
                <w:rFonts w:ascii="Arial" w:cs="Arial" w:eastAsia="Arial" w:hAnsi="Arial"/>
                <w:sz w:val="18"/>
                <w:szCs w:val="18"/>
                <w:color w:val="auto"/>
                <w:w w:val="87"/>
              </w:rPr>
              <w:t>58,734</w:t>
            </w:r>
          </w:p>
        </w:tc>
        <w:tc>
          <w:tcPr>
            <w:tcW w:w="160" w:type="dxa"/>
            <w:vAlign w:val="bottom"/>
            <w:vMerge w:val="continue"/>
          </w:tcPr>
          <w:p>
            <w:pPr>
              <w:spacing w:after="0"/>
              <w:rPr>
                <w:sz w:val="19"/>
                <w:szCs w:val="19"/>
                <w:color w:val="auto"/>
              </w:rPr>
            </w:pP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w w:val="98"/>
              </w:rPr>
              <w:t>100.0%</w:t>
            </w:r>
          </w:p>
        </w:tc>
        <w:tc>
          <w:tcPr>
            <w:tcW w:w="600" w:type="dxa"/>
            <w:vAlign w:val="bottom"/>
          </w:tcPr>
          <w:p>
            <w:pPr>
              <w:jc w:val="right"/>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19,568</w:t>
            </w:r>
          </w:p>
        </w:tc>
        <w:tc>
          <w:tcPr>
            <w:tcW w:w="160" w:type="dxa"/>
            <w:vAlign w:val="bottom"/>
            <w:vMerge w:val="continue"/>
          </w:tcPr>
          <w:p>
            <w:pPr>
              <w:spacing w:after="0"/>
              <w:rPr>
                <w:sz w:val="19"/>
                <w:szCs w:val="19"/>
                <w:color w:val="auto"/>
              </w:rPr>
            </w:pP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w w:val="98"/>
              </w:rPr>
              <w:t>100.0%</w:t>
            </w:r>
          </w:p>
        </w:tc>
        <w:tc>
          <w:tcPr>
            <w:tcW w:w="0" w:type="dxa"/>
            <w:vAlign w:val="bottom"/>
          </w:tcPr>
          <w:p>
            <w:pPr>
              <w:spacing w:after="0"/>
              <w:rPr>
                <w:sz w:val="1"/>
                <w:szCs w:val="1"/>
                <w:color w:val="auto"/>
              </w:rPr>
            </w:pPr>
          </w:p>
        </w:tc>
      </w:tr>
      <w:tr>
        <w:trPr>
          <w:trHeight w:val="20"/>
        </w:trPr>
        <w:tc>
          <w:tcPr>
            <w:tcW w:w="650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65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Gain on sale of owned fleet containers, net:</w:t>
            </w:r>
          </w:p>
        </w:tc>
        <w:tc>
          <w:tcPr>
            <w:tcW w:w="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500" w:type="dxa"/>
            <w:vAlign w:val="bottom"/>
          </w:tcPr>
          <w:p>
            <w:pPr>
              <w:ind w:left="360"/>
              <w:spacing w:after="0"/>
              <w:rPr>
                <w:sz w:val="20"/>
                <w:szCs w:val="20"/>
                <w:color w:val="auto"/>
              </w:rPr>
            </w:pPr>
            <w:r>
              <w:rPr>
                <w:rFonts w:ascii="Arial" w:cs="Arial" w:eastAsia="Arial" w:hAnsi="Arial"/>
                <w:sz w:val="18"/>
                <w:szCs w:val="18"/>
                <w:color w:val="auto"/>
              </w:rPr>
              <w:t>Asia</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w w:val="89"/>
              </w:rPr>
              <w:t>$13,082</w:t>
            </w:r>
          </w:p>
        </w:tc>
        <w:tc>
          <w:tcPr>
            <w:tcW w:w="780" w:type="dxa"/>
            <w:vAlign w:val="bottom"/>
            <w:gridSpan w:val="2"/>
          </w:tcPr>
          <w:p>
            <w:pPr>
              <w:jc w:val="right"/>
              <w:ind w:right="88"/>
              <w:spacing w:after="0"/>
              <w:rPr>
                <w:sz w:val="20"/>
                <w:szCs w:val="20"/>
                <w:color w:val="auto"/>
              </w:rPr>
            </w:pPr>
            <w:r>
              <w:rPr>
                <w:rFonts w:ascii="Arial" w:cs="Arial" w:eastAsia="Arial" w:hAnsi="Arial"/>
                <w:sz w:val="18"/>
                <w:szCs w:val="18"/>
                <w:color w:val="auto"/>
              </w:rPr>
              <w:t>48.1%</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660" w:type="dxa"/>
            <w:vAlign w:val="bottom"/>
            <w:gridSpan w:val="2"/>
          </w:tcPr>
          <w:p>
            <w:pPr>
              <w:jc w:val="right"/>
              <w:ind w:right="160"/>
              <w:spacing w:after="0"/>
              <w:rPr>
                <w:sz w:val="20"/>
                <w:szCs w:val="20"/>
                <w:color w:val="auto"/>
              </w:rPr>
            </w:pPr>
            <w:r>
              <w:rPr>
                <w:rFonts w:ascii="Arial" w:cs="Arial" w:eastAsia="Arial" w:hAnsi="Arial"/>
                <w:sz w:val="18"/>
                <w:szCs w:val="18"/>
                <w:color w:val="auto"/>
              </w:rPr>
              <w:t>7,714</w:t>
            </w: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rPr>
              <w:t>36.0%</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w w:val="89"/>
              </w:rPr>
              <w:t>$18,593</w:t>
            </w: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rPr>
              <w:t>51.5%</w:t>
            </w:r>
          </w:p>
        </w:tc>
        <w:tc>
          <w:tcPr>
            <w:tcW w:w="0" w:type="dxa"/>
            <w:vAlign w:val="bottom"/>
          </w:tcPr>
          <w:p>
            <w:pPr>
              <w:spacing w:after="0"/>
              <w:rPr>
                <w:sz w:val="1"/>
                <w:szCs w:val="1"/>
                <w:color w:val="auto"/>
              </w:rPr>
            </w:pPr>
          </w:p>
        </w:tc>
      </w:tr>
      <w:tr>
        <w:trPr>
          <w:trHeight w:val="216"/>
        </w:trPr>
        <w:tc>
          <w:tcPr>
            <w:tcW w:w="65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North / South America</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8,610</w:t>
            </w:r>
          </w:p>
        </w:tc>
        <w:tc>
          <w:tcPr>
            <w:tcW w:w="780" w:type="dxa"/>
            <w:vAlign w:val="bottom"/>
            <w:gridSpan w:val="2"/>
            <w:shd w:val="clear" w:color="auto" w:fill="CCEEFF"/>
          </w:tcPr>
          <w:p>
            <w:pPr>
              <w:jc w:val="right"/>
              <w:ind w:right="88"/>
              <w:spacing w:after="0"/>
              <w:rPr>
                <w:sz w:val="20"/>
                <w:szCs w:val="20"/>
                <w:color w:val="auto"/>
              </w:rPr>
            </w:pPr>
            <w:r>
              <w:rPr>
                <w:rFonts w:ascii="Arial" w:cs="Arial" w:eastAsia="Arial" w:hAnsi="Arial"/>
                <w:sz w:val="18"/>
                <w:szCs w:val="18"/>
                <w:color w:val="auto"/>
              </w:rPr>
              <w:t>31.6%</w:t>
            </w:r>
          </w:p>
        </w:tc>
        <w:tc>
          <w:tcPr>
            <w:tcW w:w="10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6,809</w:t>
            </w: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31.8%</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7,043</w:t>
            </w: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19.5%</w:t>
            </w:r>
          </w:p>
        </w:tc>
        <w:tc>
          <w:tcPr>
            <w:tcW w:w="0" w:type="dxa"/>
            <w:vAlign w:val="bottom"/>
          </w:tcPr>
          <w:p>
            <w:pPr>
              <w:spacing w:after="0"/>
              <w:rPr>
                <w:sz w:val="1"/>
                <w:szCs w:val="1"/>
                <w:color w:val="auto"/>
              </w:rPr>
            </w:pPr>
          </w:p>
        </w:tc>
      </w:tr>
      <w:tr>
        <w:trPr>
          <w:trHeight w:val="216"/>
        </w:trPr>
        <w:tc>
          <w:tcPr>
            <w:tcW w:w="6500" w:type="dxa"/>
            <w:vAlign w:val="bottom"/>
          </w:tcPr>
          <w:p>
            <w:pPr>
              <w:ind w:left="360"/>
              <w:spacing w:after="0"/>
              <w:rPr>
                <w:sz w:val="20"/>
                <w:szCs w:val="20"/>
                <w:color w:val="auto"/>
              </w:rPr>
            </w:pPr>
            <w:r>
              <w:rPr>
                <w:rFonts w:ascii="Arial" w:cs="Arial" w:eastAsia="Arial" w:hAnsi="Arial"/>
                <w:sz w:val="18"/>
                <w:szCs w:val="18"/>
                <w:color w:val="auto"/>
              </w:rPr>
              <w:t>Europe</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5,538</w:t>
            </w:r>
          </w:p>
        </w:tc>
        <w:tc>
          <w:tcPr>
            <w:tcW w:w="780" w:type="dxa"/>
            <w:vAlign w:val="bottom"/>
            <w:gridSpan w:val="2"/>
          </w:tcPr>
          <w:p>
            <w:pPr>
              <w:jc w:val="right"/>
              <w:ind w:right="88"/>
              <w:spacing w:after="0"/>
              <w:rPr>
                <w:sz w:val="20"/>
                <w:szCs w:val="20"/>
                <w:color w:val="auto"/>
              </w:rPr>
            </w:pPr>
            <w:r>
              <w:rPr>
                <w:rFonts w:ascii="Arial" w:cs="Arial" w:eastAsia="Arial" w:hAnsi="Arial"/>
                <w:sz w:val="18"/>
                <w:szCs w:val="18"/>
                <w:color w:val="auto"/>
              </w:rPr>
              <w:t>20.3%</w:t>
            </w:r>
          </w:p>
        </w:tc>
        <w:tc>
          <w:tcPr>
            <w:tcW w:w="100" w:type="dxa"/>
            <w:vAlign w:val="bottom"/>
          </w:tcPr>
          <w:p>
            <w:pPr>
              <w:spacing w:after="0"/>
              <w:rPr>
                <w:sz w:val="18"/>
                <w:szCs w:val="18"/>
                <w:color w:val="auto"/>
              </w:rPr>
            </w:pPr>
          </w:p>
        </w:tc>
        <w:tc>
          <w:tcPr>
            <w:tcW w:w="660" w:type="dxa"/>
            <w:vAlign w:val="bottom"/>
            <w:gridSpan w:val="2"/>
          </w:tcPr>
          <w:p>
            <w:pPr>
              <w:jc w:val="right"/>
              <w:ind w:right="160"/>
              <w:spacing w:after="0"/>
              <w:rPr>
                <w:sz w:val="20"/>
                <w:szCs w:val="20"/>
                <w:color w:val="auto"/>
              </w:rPr>
            </w:pPr>
            <w:r>
              <w:rPr>
                <w:rFonts w:ascii="Arial" w:cs="Arial" w:eastAsia="Arial" w:hAnsi="Arial"/>
                <w:sz w:val="18"/>
                <w:szCs w:val="18"/>
                <w:color w:val="auto"/>
              </w:rPr>
              <w:t>5,577</w:t>
            </w: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rPr>
              <w:t>26.1%</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9,622</w:t>
            </w: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rPr>
              <w:t>26.7%</w:t>
            </w:r>
          </w:p>
        </w:tc>
        <w:tc>
          <w:tcPr>
            <w:tcW w:w="0" w:type="dxa"/>
            <w:vAlign w:val="bottom"/>
          </w:tcPr>
          <w:p>
            <w:pPr>
              <w:spacing w:after="0"/>
              <w:rPr>
                <w:sz w:val="1"/>
                <w:szCs w:val="1"/>
                <w:color w:val="auto"/>
              </w:rPr>
            </w:pPr>
          </w:p>
        </w:tc>
      </w:tr>
      <w:tr>
        <w:trPr>
          <w:trHeight w:val="216"/>
        </w:trPr>
        <w:tc>
          <w:tcPr>
            <w:tcW w:w="65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Bermuda</w:t>
            </w:r>
          </w:p>
        </w:tc>
        <w:tc>
          <w:tcPr>
            <w:tcW w:w="76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328"/>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66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0.0%</w:t>
            </w:r>
          </w:p>
        </w:tc>
        <w:tc>
          <w:tcPr>
            <w:tcW w:w="76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68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6500" w:type="dxa"/>
            <w:vAlign w:val="bottom"/>
          </w:tcPr>
          <w:p>
            <w:pPr>
              <w:ind w:left="360"/>
              <w:spacing w:after="0"/>
              <w:rPr>
                <w:sz w:val="20"/>
                <w:szCs w:val="20"/>
                <w:color w:val="auto"/>
              </w:rPr>
            </w:pPr>
            <w:r>
              <w:rPr>
                <w:rFonts w:ascii="Arial" w:cs="Arial" w:eastAsia="Arial" w:hAnsi="Arial"/>
                <w:sz w:val="18"/>
                <w:szCs w:val="18"/>
                <w:color w:val="auto"/>
              </w:rPr>
              <w:t>All other international</w:t>
            </w:r>
          </w:p>
        </w:tc>
        <w:tc>
          <w:tcPr>
            <w:tcW w:w="600" w:type="dxa"/>
            <w:vAlign w:val="bottom"/>
          </w:tcPr>
          <w:p>
            <w:pPr>
              <w:ind w:left="32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480" w:type="dxa"/>
            <w:vAlign w:val="bottom"/>
          </w:tcPr>
          <w:p>
            <w:pPr>
              <w:jc w:val="right"/>
              <w:ind w:right="13"/>
              <w:spacing w:after="0"/>
              <w:rPr>
                <w:sz w:val="20"/>
                <w:szCs w:val="20"/>
                <w:color w:val="auto"/>
              </w:rPr>
            </w:pPr>
            <w:r>
              <w:rPr>
                <w:rFonts w:ascii="Arial" w:cs="Arial" w:eastAsia="Arial" w:hAnsi="Arial"/>
                <w:sz w:val="18"/>
                <w:szCs w:val="18"/>
                <w:color w:val="auto"/>
              </w:rPr>
              <w:t>—</w:t>
            </w:r>
          </w:p>
        </w:tc>
        <w:tc>
          <w:tcPr>
            <w:tcW w:w="3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rPr>
              <w:t>1,297</w:t>
            </w:r>
          </w:p>
        </w:tc>
        <w:tc>
          <w:tcPr>
            <w:tcW w:w="160" w:type="dxa"/>
            <w:vAlign w:val="bottom"/>
          </w:tcPr>
          <w:p>
            <w:pPr>
              <w:spacing w:after="0"/>
              <w:rPr>
                <w:sz w:val="18"/>
                <w:szCs w:val="18"/>
                <w:color w:val="auto"/>
              </w:rPr>
            </w:pP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rPr>
              <w:t>6.1%</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813</w:t>
            </w: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rPr>
              <w:t>2.3%</w:t>
            </w:r>
          </w:p>
        </w:tc>
        <w:tc>
          <w:tcPr>
            <w:tcW w:w="0" w:type="dxa"/>
            <w:vAlign w:val="bottom"/>
          </w:tcPr>
          <w:p>
            <w:pPr>
              <w:spacing w:after="0"/>
              <w:rPr>
                <w:sz w:val="1"/>
                <w:szCs w:val="1"/>
                <w:color w:val="auto"/>
              </w:rPr>
            </w:pPr>
          </w:p>
        </w:tc>
      </w:tr>
      <w:tr>
        <w:trPr>
          <w:trHeight w:val="27"/>
        </w:trPr>
        <w:tc>
          <w:tcPr>
            <w:tcW w:w="6500" w:type="dxa"/>
            <w:vAlign w:val="bottom"/>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500" w:type="dxa"/>
            <w:vAlign w:val="bottom"/>
            <w:shd w:val="clear" w:color="auto" w:fill="CCEEFF"/>
          </w:tcPr>
          <w:p>
            <w:pPr>
              <w:spacing w:after="0"/>
              <w:rPr>
                <w:sz w:val="18"/>
                <w:szCs w:val="18"/>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27,230</w:t>
            </w:r>
          </w:p>
        </w:tc>
        <w:tc>
          <w:tcPr>
            <w:tcW w:w="16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88"/>
              <w:spacing w:after="0"/>
              <w:rPr>
                <w:sz w:val="20"/>
                <w:szCs w:val="20"/>
                <w:color w:val="auto"/>
              </w:rPr>
            </w:pPr>
            <w:r>
              <w:rPr>
                <w:rFonts w:ascii="Arial" w:cs="Arial" w:eastAsia="Arial" w:hAnsi="Arial"/>
                <w:sz w:val="18"/>
                <w:szCs w:val="18"/>
                <w:color w:val="auto"/>
                <w:w w:val="98"/>
              </w:rPr>
              <w:t>100.0%</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87"/>
              </w:rPr>
              <w:t>21,397</w:t>
            </w: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8"/>
              </w:rPr>
              <w:t>100.0%</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36,071</w:t>
            </w: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8"/>
              </w:rPr>
              <w:t>100.0%</w:t>
            </w:r>
          </w:p>
        </w:tc>
        <w:tc>
          <w:tcPr>
            <w:tcW w:w="0" w:type="dxa"/>
            <w:vAlign w:val="bottom"/>
          </w:tcPr>
          <w:p>
            <w:pPr>
              <w:spacing w:after="0"/>
              <w:rPr>
                <w:sz w:val="1"/>
                <w:szCs w:val="1"/>
                <w:color w:val="auto"/>
              </w:rPr>
            </w:pPr>
          </w:p>
        </w:tc>
      </w:tr>
      <w:tr>
        <w:trPr>
          <w:trHeight w:val="20"/>
        </w:trPr>
        <w:tc>
          <w:tcPr>
            <w:tcW w:w="650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19" w:lineRule="exact"/>
        <w:rPr>
          <w:sz w:val="20"/>
          <w:szCs w:val="20"/>
          <w:color w:val="auto"/>
        </w:rPr>
      </w:pPr>
    </w:p>
    <w:p>
      <w:pPr>
        <w:ind w:left="344" w:hanging="344"/>
        <w:spacing w:after="0"/>
        <w:tabs>
          <w:tab w:leader="none" w:pos="344" w:val="left"/>
        </w:tabs>
        <w:numPr>
          <w:ilvl w:val="0"/>
          <w:numId w:val="132"/>
        </w:numPr>
        <w:rPr>
          <w:rFonts w:ascii="Arial" w:cs="Arial" w:eastAsia="Arial" w:hAnsi="Arial"/>
          <w:sz w:val="18"/>
          <w:szCs w:val="18"/>
          <w:b w:val="1"/>
          <w:bCs w:val="1"/>
          <w:color w:val="auto"/>
        </w:rPr>
      </w:pPr>
      <w:r>
        <w:rPr>
          <w:rFonts w:ascii="Arial" w:cs="Arial" w:eastAsia="Arial" w:hAnsi="Arial"/>
          <w:sz w:val="18"/>
          <w:szCs w:val="18"/>
          <w:b w:val="1"/>
          <w:bCs w:val="1"/>
          <w:color w:val="auto"/>
        </w:rPr>
        <w:t>Commitments and Contingencies</w:t>
      </w:r>
    </w:p>
    <w:p>
      <w:pPr>
        <w:spacing w:after="0" w:line="121" w:lineRule="exact"/>
        <w:rPr>
          <w:rFonts w:ascii="Arial" w:cs="Arial" w:eastAsia="Arial" w:hAnsi="Arial"/>
          <w:sz w:val="18"/>
          <w:szCs w:val="18"/>
          <w:b w:val="1"/>
          <w:bCs w:val="1"/>
          <w:color w:val="auto"/>
        </w:rPr>
      </w:pPr>
    </w:p>
    <w:p>
      <w:pPr>
        <w:ind w:left="484" w:hanging="264"/>
        <w:spacing w:after="0"/>
        <w:tabs>
          <w:tab w:leader="none" w:pos="484" w:val="left"/>
        </w:tabs>
        <w:numPr>
          <w:ilvl w:val="1"/>
          <w:numId w:val="132"/>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Restricted Cash</w:t>
      </w:r>
    </w:p>
    <w:p>
      <w:pPr>
        <w:spacing w:after="0" w:line="117" w:lineRule="exact"/>
        <w:rPr>
          <w:sz w:val="20"/>
          <w:szCs w:val="20"/>
          <w:color w:val="auto"/>
        </w:rPr>
      </w:pPr>
    </w:p>
    <w:p>
      <w:pPr>
        <w:ind w:left="444"/>
        <w:spacing w:after="0"/>
        <w:rPr>
          <w:sz w:val="20"/>
          <w:szCs w:val="20"/>
          <w:color w:val="auto"/>
        </w:rPr>
      </w:pPr>
      <w:r>
        <w:rPr>
          <w:rFonts w:ascii="Arial" w:cs="Arial" w:eastAsia="Arial" w:hAnsi="Arial"/>
          <w:sz w:val="16"/>
          <w:szCs w:val="16"/>
          <w:color w:val="auto"/>
        </w:rPr>
        <w:t>Restricted interest-bearing cash accounts were established by the Company as additional collateral for outstanding borrowings under certain of the</w:t>
      </w:r>
    </w:p>
    <w:p>
      <w:pPr>
        <w:spacing w:after="0" w:line="46" w:lineRule="exact"/>
        <w:rPr>
          <w:sz w:val="20"/>
          <w:szCs w:val="20"/>
          <w:color w:val="auto"/>
        </w:rPr>
      </w:pPr>
    </w:p>
    <w:p>
      <w:pPr>
        <w:ind w:left="4"/>
        <w:spacing w:after="0"/>
        <w:rPr>
          <w:sz w:val="20"/>
          <w:szCs w:val="20"/>
          <w:color w:val="auto"/>
        </w:rPr>
      </w:pPr>
      <w:r>
        <w:rPr>
          <w:rFonts w:ascii="Arial" w:cs="Arial" w:eastAsia="Arial" w:hAnsi="Arial"/>
          <w:sz w:val="18"/>
          <w:szCs w:val="18"/>
          <w:color w:val="auto"/>
        </w:rPr>
        <w:t>Company’s debt facilities. Restricted cash at December 31, 2020 and 2019 consisted of the following:</w:t>
      </w:r>
    </w:p>
    <w:p>
      <w:pPr>
        <w:spacing w:after="0" w:line="229" w:lineRule="exact"/>
        <w:rPr>
          <w:sz w:val="20"/>
          <w:szCs w:val="20"/>
          <w:color w:val="auto"/>
        </w:rPr>
      </w:pPr>
    </w:p>
    <w:tbl>
      <w:tblPr>
        <w:tblLayout w:type="fixed"/>
        <w:tblInd w:w="1324" w:type="dxa"/>
        <w:tblCellMar>
          <w:top w:w="0" w:type="dxa"/>
          <w:left w:w="0" w:type="dxa"/>
          <w:bottom w:w="0" w:type="dxa"/>
          <w:right w:w="0" w:type="dxa"/>
        </w:tblCellMar>
      </w:tblPr>
      <w:tr>
        <w:trPr>
          <w:trHeight w:val="185"/>
        </w:trPr>
        <w:tc>
          <w:tcPr>
            <w:tcW w:w="6740" w:type="dxa"/>
            <w:vAlign w:val="bottom"/>
          </w:tcPr>
          <w:p>
            <w:pPr>
              <w:spacing w:after="0"/>
              <w:rPr>
                <w:sz w:val="16"/>
                <w:szCs w:val="16"/>
                <w:color w:val="auto"/>
              </w:rPr>
            </w:pPr>
          </w:p>
        </w:tc>
        <w:tc>
          <w:tcPr>
            <w:tcW w:w="600" w:type="dxa"/>
            <w:vAlign w:val="bottom"/>
            <w:tcBorders>
              <w:bottom w:val="single" w:sz="8" w:color="auto"/>
            </w:tcBorders>
          </w:tcPr>
          <w:p>
            <w:pPr>
              <w:jc w:val="right"/>
              <w:ind w:right="75"/>
              <w:spacing w:after="0"/>
              <w:rPr>
                <w:sz w:val="20"/>
                <w:szCs w:val="20"/>
                <w:color w:val="auto"/>
              </w:rPr>
            </w:pPr>
            <w:r>
              <w:rPr>
                <w:rFonts w:ascii="Arial" w:cs="Arial" w:eastAsia="Arial" w:hAnsi="Arial"/>
                <w:sz w:val="14"/>
                <w:szCs w:val="14"/>
                <w:b w:val="1"/>
                <w:bCs w:val="1"/>
                <w:color w:val="auto"/>
              </w:rPr>
              <w:t>2020</w:t>
            </w:r>
          </w:p>
        </w:tc>
        <w:tc>
          <w:tcPr>
            <w:tcW w:w="380" w:type="dxa"/>
            <w:vAlign w:val="bottom"/>
          </w:tcPr>
          <w:p>
            <w:pPr>
              <w:spacing w:after="0"/>
              <w:rPr>
                <w:sz w:val="16"/>
                <w:szCs w:val="16"/>
                <w:color w:val="auto"/>
              </w:rPr>
            </w:pPr>
          </w:p>
        </w:tc>
        <w:tc>
          <w:tcPr>
            <w:tcW w:w="600" w:type="dxa"/>
            <w:vAlign w:val="bottom"/>
            <w:tcBorders>
              <w:bottom w:val="single" w:sz="8" w:color="auto"/>
            </w:tcBorders>
          </w:tcPr>
          <w:p>
            <w:pPr>
              <w:jc w:val="right"/>
              <w:ind w:right="75"/>
              <w:spacing w:after="0"/>
              <w:rPr>
                <w:sz w:val="20"/>
                <w:szCs w:val="20"/>
                <w:color w:val="auto"/>
              </w:rPr>
            </w:pPr>
            <w:r>
              <w:rPr>
                <w:rFonts w:ascii="Arial" w:cs="Arial" w:eastAsia="Arial" w:hAnsi="Arial"/>
                <w:sz w:val="14"/>
                <w:szCs w:val="14"/>
                <w:b w:val="1"/>
                <w:bCs w:val="1"/>
                <w:color w:val="auto"/>
              </w:rPr>
              <w:t>2019</w:t>
            </w:r>
          </w:p>
        </w:tc>
        <w:tc>
          <w:tcPr>
            <w:tcW w:w="40" w:type="dxa"/>
            <w:vAlign w:val="bottom"/>
          </w:tcPr>
          <w:p>
            <w:pPr>
              <w:spacing w:after="0"/>
              <w:rPr>
                <w:sz w:val="16"/>
                <w:szCs w:val="16"/>
                <w:color w:val="auto"/>
              </w:rPr>
            </w:pPr>
          </w:p>
        </w:tc>
      </w:tr>
      <w:tr>
        <w:trPr>
          <w:trHeight w:val="223"/>
        </w:trPr>
        <w:tc>
          <w:tcPr>
            <w:tcW w:w="6740" w:type="dxa"/>
            <w:vAlign w:val="bottom"/>
            <w:shd w:val="clear" w:color="auto" w:fill="CCEEFF"/>
          </w:tcPr>
          <w:p>
            <w:pPr>
              <w:spacing w:after="0"/>
              <w:rPr>
                <w:sz w:val="20"/>
                <w:szCs w:val="20"/>
                <w:color w:val="auto"/>
              </w:rPr>
            </w:pPr>
            <w:r>
              <w:rPr>
                <w:rFonts w:ascii="Arial" w:cs="Arial" w:eastAsia="Arial" w:hAnsi="Arial"/>
                <w:sz w:val="18"/>
                <w:szCs w:val="18"/>
                <w:color w:val="auto"/>
              </w:rPr>
              <w:t>Trust accounts</w:t>
            </w:r>
          </w:p>
        </w:tc>
        <w:tc>
          <w:tcPr>
            <w:tcW w:w="9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w w:val="89"/>
              </w:rPr>
              <w:t>$17,054</w:t>
            </w:r>
          </w:p>
        </w:tc>
        <w:tc>
          <w:tcPr>
            <w:tcW w:w="6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89"/>
              </w:rPr>
              <w:t>$12,822</w:t>
            </w:r>
          </w:p>
        </w:tc>
      </w:tr>
      <w:tr>
        <w:trPr>
          <w:trHeight w:val="216"/>
        </w:trPr>
        <w:tc>
          <w:tcPr>
            <w:tcW w:w="6740" w:type="dxa"/>
            <w:vAlign w:val="bottom"/>
          </w:tcPr>
          <w:p>
            <w:pPr>
              <w:spacing w:after="0"/>
              <w:rPr>
                <w:sz w:val="20"/>
                <w:szCs w:val="20"/>
                <w:color w:val="auto"/>
              </w:rPr>
            </w:pPr>
            <w:r>
              <w:rPr>
                <w:rFonts w:ascii="Arial" w:cs="Arial" w:eastAsia="Arial" w:hAnsi="Arial"/>
                <w:sz w:val="18"/>
                <w:szCs w:val="18"/>
                <w:color w:val="auto"/>
              </w:rPr>
              <w:t>Other restricted cash accounts</w:t>
            </w:r>
          </w:p>
        </w:tc>
        <w:tc>
          <w:tcPr>
            <w:tcW w:w="980" w:type="dxa"/>
            <w:vAlign w:val="bottom"/>
            <w:gridSpan w:val="2"/>
          </w:tcPr>
          <w:p>
            <w:pPr>
              <w:jc w:val="right"/>
              <w:ind w:right="380"/>
              <w:spacing w:after="0"/>
              <w:rPr>
                <w:sz w:val="20"/>
                <w:szCs w:val="20"/>
                <w:color w:val="auto"/>
              </w:rPr>
            </w:pPr>
            <w:r>
              <w:rPr>
                <w:rFonts w:ascii="Arial" w:cs="Arial" w:eastAsia="Arial" w:hAnsi="Arial"/>
                <w:sz w:val="18"/>
                <w:szCs w:val="18"/>
                <w:color w:val="auto"/>
              </w:rPr>
              <w:t>57,093</w:t>
            </w:r>
          </w:p>
        </w:tc>
        <w:tc>
          <w:tcPr>
            <w:tcW w:w="640" w:type="dxa"/>
            <w:vAlign w:val="bottom"/>
            <w:gridSpan w:val="2"/>
          </w:tcPr>
          <w:p>
            <w:pPr>
              <w:jc w:val="right"/>
              <w:ind w:right="40"/>
              <w:spacing w:after="0"/>
              <w:rPr>
                <w:sz w:val="20"/>
                <w:szCs w:val="20"/>
                <w:color w:val="auto"/>
              </w:rPr>
            </w:pPr>
            <w:r>
              <w:rPr>
                <w:rFonts w:ascii="Arial" w:cs="Arial" w:eastAsia="Arial" w:hAnsi="Arial"/>
                <w:sz w:val="18"/>
                <w:szCs w:val="18"/>
                <w:color w:val="auto"/>
              </w:rPr>
              <w:t>84,531</w:t>
            </w:r>
          </w:p>
        </w:tc>
      </w:tr>
      <w:tr>
        <w:trPr>
          <w:trHeight w:val="27"/>
        </w:trPr>
        <w:tc>
          <w:tcPr>
            <w:tcW w:w="6740" w:type="dxa"/>
            <w:vAlign w:val="bottom"/>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40" w:type="dxa"/>
            <w:vAlign w:val="bottom"/>
          </w:tcPr>
          <w:p>
            <w:pPr>
              <w:spacing w:after="0"/>
              <w:rPr>
                <w:sz w:val="2"/>
                <w:szCs w:val="2"/>
                <w:color w:val="auto"/>
              </w:rPr>
            </w:pPr>
          </w:p>
        </w:tc>
      </w:tr>
      <w:tr>
        <w:trPr>
          <w:trHeight w:val="216"/>
        </w:trPr>
        <w:tc>
          <w:tcPr>
            <w:tcW w:w="67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 restricted cash</w:t>
            </w:r>
          </w:p>
        </w:tc>
        <w:tc>
          <w:tcPr>
            <w:tcW w:w="9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74,147</w:t>
            </w:r>
          </w:p>
        </w:tc>
        <w:tc>
          <w:tcPr>
            <w:tcW w:w="6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97,353</w:t>
            </w:r>
          </w:p>
        </w:tc>
      </w:tr>
      <w:tr>
        <w:trPr>
          <w:trHeight w:val="20"/>
        </w:trPr>
        <w:tc>
          <w:tcPr>
            <w:tcW w:w="674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pacing w:after="0" w:line="323" w:lineRule="exact"/>
        <w:rPr>
          <w:sz w:val="20"/>
          <w:szCs w:val="20"/>
          <w:color w:val="auto"/>
        </w:rPr>
      </w:pPr>
    </w:p>
    <w:p>
      <w:pPr>
        <w:ind w:left="4"/>
        <w:spacing w:after="0"/>
        <w:rPr>
          <w:sz w:val="20"/>
          <w:szCs w:val="20"/>
          <w:color w:val="auto"/>
        </w:rPr>
      </w:pPr>
      <w:r>
        <w:rPr>
          <w:rFonts w:ascii="Arial" w:cs="Arial" w:eastAsia="Arial" w:hAnsi="Arial"/>
          <w:sz w:val="18"/>
          <w:szCs w:val="18"/>
          <w:i w:val="1"/>
          <w:iCs w:val="1"/>
          <w:color w:val="auto"/>
        </w:rPr>
        <w:t>Trust accounts</w:t>
      </w:r>
    </w:p>
    <w:p>
      <w:pPr>
        <w:spacing w:after="0" w:line="117" w:lineRule="exact"/>
        <w:rPr>
          <w:sz w:val="20"/>
          <w:szCs w:val="20"/>
          <w:color w:val="auto"/>
        </w:rPr>
      </w:pPr>
    </w:p>
    <w:p>
      <w:pPr>
        <w:ind w:left="4" w:right="20" w:firstLine="440"/>
        <w:spacing w:after="0" w:line="301" w:lineRule="auto"/>
        <w:rPr>
          <w:sz w:val="20"/>
          <w:szCs w:val="20"/>
          <w:color w:val="auto"/>
        </w:rPr>
      </w:pPr>
      <w:r>
        <w:rPr>
          <w:rFonts w:ascii="Arial" w:cs="Arial" w:eastAsia="Arial" w:hAnsi="Arial"/>
          <w:sz w:val="16"/>
          <w:szCs w:val="16"/>
          <w:color w:val="auto"/>
        </w:rPr>
        <w:t>The Company maintains certain interest-bearing bank accounts (“Trust Accounts”) pursuant to certain debt agreements for the deposits of net cash proceeds collected from leasing and containers disposition after certain expenses. The cash in the Trust Accounts can only be used to pay the Company’s debt, interest and other certain related expenses. After such payments, any remaining cash in the Trust Accounts is transferred to certain unrestricted bank accounts of the Company and is included in cash and cash equivalents on the consolidated balance sheets.</w:t>
      </w:r>
    </w:p>
    <w:p>
      <w:pPr>
        <w:spacing w:after="0" w:line="265" w:lineRule="exact"/>
        <w:rPr>
          <w:sz w:val="20"/>
          <w:szCs w:val="20"/>
          <w:color w:val="auto"/>
        </w:rPr>
      </w:pPr>
    </w:p>
    <w:p>
      <w:pPr>
        <w:ind w:left="4"/>
        <w:spacing w:after="0"/>
        <w:rPr>
          <w:sz w:val="20"/>
          <w:szCs w:val="20"/>
          <w:color w:val="auto"/>
        </w:rPr>
      </w:pPr>
      <w:r>
        <w:rPr>
          <w:rFonts w:ascii="Arial" w:cs="Arial" w:eastAsia="Arial" w:hAnsi="Arial"/>
          <w:sz w:val="18"/>
          <w:szCs w:val="18"/>
          <w:i w:val="1"/>
          <w:iCs w:val="1"/>
          <w:color w:val="auto"/>
        </w:rPr>
        <w:t>Other restricted cash accounts</w:t>
      </w:r>
    </w:p>
    <w:p>
      <w:pPr>
        <w:spacing w:after="0" w:line="117" w:lineRule="exact"/>
        <w:rPr>
          <w:sz w:val="20"/>
          <w:szCs w:val="20"/>
          <w:color w:val="auto"/>
        </w:rPr>
      </w:pPr>
    </w:p>
    <w:p>
      <w:pPr>
        <w:ind w:left="4" w:right="520" w:firstLine="440"/>
        <w:spacing w:after="0" w:line="277" w:lineRule="auto"/>
        <w:rPr>
          <w:sz w:val="20"/>
          <w:szCs w:val="20"/>
          <w:color w:val="auto"/>
        </w:rPr>
      </w:pPr>
      <w:r>
        <w:rPr>
          <w:rFonts w:ascii="Arial" w:cs="Arial" w:eastAsia="Arial" w:hAnsi="Arial"/>
          <w:sz w:val="18"/>
          <w:szCs w:val="18"/>
          <w:color w:val="auto"/>
        </w:rPr>
        <w:t>The Company established certain interest-bearing bank accounts pursuant to certain debt agreements to maintain an amount equal to certain outstanding debt balance and a projected interest expense for a specified number of months.</w:t>
      </w:r>
    </w:p>
    <w:p>
      <w:pPr>
        <w:spacing w:after="0" w:line="278" w:lineRule="exact"/>
        <w:rPr>
          <w:sz w:val="20"/>
          <w:szCs w:val="20"/>
          <w:color w:val="auto"/>
        </w:rPr>
      </w:pPr>
    </w:p>
    <w:p>
      <w:pPr>
        <w:ind w:left="224"/>
        <w:spacing w:after="0"/>
        <w:rPr>
          <w:sz w:val="20"/>
          <w:szCs w:val="20"/>
          <w:color w:val="auto"/>
        </w:rPr>
      </w:pPr>
      <w:r>
        <w:rPr>
          <w:rFonts w:ascii="Arial" w:cs="Arial" w:eastAsia="Arial" w:hAnsi="Arial"/>
          <w:sz w:val="18"/>
          <w:szCs w:val="18"/>
          <w:b w:val="1"/>
          <w:bCs w:val="1"/>
          <w:i w:val="1"/>
          <w:iCs w:val="1"/>
          <w:color w:val="auto"/>
        </w:rPr>
        <w:t>(b) Container Commitments</w:t>
      </w:r>
    </w:p>
    <w:p>
      <w:pPr>
        <w:spacing w:after="0" w:line="117" w:lineRule="exact"/>
        <w:rPr>
          <w:sz w:val="20"/>
          <w:szCs w:val="20"/>
          <w:color w:val="auto"/>
        </w:rPr>
      </w:pPr>
    </w:p>
    <w:p>
      <w:pPr>
        <w:ind w:left="4" w:right="320" w:firstLine="440"/>
        <w:spacing w:after="0" w:line="263" w:lineRule="auto"/>
        <w:rPr>
          <w:sz w:val="20"/>
          <w:szCs w:val="20"/>
          <w:color w:val="auto"/>
        </w:rPr>
      </w:pPr>
      <w:r>
        <w:rPr>
          <w:rFonts w:ascii="Arial" w:cs="Arial" w:eastAsia="Arial" w:hAnsi="Arial"/>
          <w:sz w:val="18"/>
          <w:szCs w:val="18"/>
          <w:color w:val="auto"/>
        </w:rPr>
        <w:t>At December 31, 2020, the Company had commitments to purchase containers to be delivered subsequent to December 31, 2020 in the total amount of $795,891. The Company also had commitments to purchase or fund containers under a sales-type leaseback financing arrangement with a lessee in the amount of $6,425.</w:t>
      </w:r>
    </w:p>
    <w:p>
      <w:pPr>
        <w:spacing w:after="0" w:line="116"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F-45</w:t>
      </w:r>
    </w:p>
    <w:p>
      <w:pPr>
        <w:sectPr>
          <w:pgSz w:w="11900" w:h="16838" w:orient="portrait"/>
          <w:cols w:equalWidth="0" w:num="1">
            <w:col w:w="11024"/>
          </w:cols>
          <w:pgMar w:left="436" w:top="274" w:right="439" w:bottom="1440" w:gutter="0" w:footer="0" w:header="0"/>
        </w:sectPr>
      </w:pPr>
    </w:p>
    <w:bookmarkStart w:id="159" w:name="page160"/>
    <w:bookmarkEnd w:id="159"/>
    <w:p>
      <w:pPr>
        <w:ind w:left="424" w:hanging="424"/>
        <w:spacing w:after="0"/>
        <w:tabs>
          <w:tab w:leader="none" w:pos="424" w:val="left"/>
        </w:tabs>
        <w:numPr>
          <w:ilvl w:val="0"/>
          <w:numId w:val="133"/>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7174865" cy="38735"/>
                    </a:xfrm>
                    <a:prstGeom prst="rect">
                      <a:avLst/>
                    </a:prstGeom>
                    <a:noFill/>
                  </pic:spPr>
                </pic:pic>
              </a:graphicData>
            </a:graphic>
          </wp:anchor>
        </w:drawing>
        <w:t>Distribution Expense to Managed Fleet Container Investors</w:t>
      </w:r>
    </w:p>
    <w:p>
      <w:pPr>
        <w:spacing w:after="0" w:line="117" w:lineRule="exact"/>
        <w:rPr>
          <w:sz w:val="20"/>
          <w:szCs w:val="20"/>
          <w:color w:val="auto"/>
        </w:rPr>
      </w:pPr>
    </w:p>
    <w:p>
      <w:pPr>
        <w:ind w:left="4" w:right="140" w:firstLine="440"/>
        <w:spacing w:after="0" w:line="342" w:lineRule="auto"/>
        <w:rPr>
          <w:sz w:val="20"/>
          <w:szCs w:val="20"/>
          <w:color w:val="auto"/>
        </w:rPr>
      </w:pPr>
      <w:r>
        <w:rPr>
          <w:rFonts w:ascii="Arial" w:cs="Arial" w:eastAsia="Arial" w:hAnsi="Arial"/>
          <w:sz w:val="16"/>
          <w:szCs w:val="16"/>
          <w:color w:val="auto"/>
        </w:rPr>
        <w:t>The amounts distributed to the Container Investors are variable payments based upon the net operating income for each managed container (see Note 3 “Managed Container Fleet”). There are no future minimum lease payment obligations under the Company’s management agreements.</w:t>
      </w:r>
    </w:p>
    <w:p>
      <w:pPr>
        <w:spacing w:after="0" w:line="228"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(12) Share-Based Compensation</w:t>
      </w:r>
    </w:p>
    <w:p>
      <w:pPr>
        <w:spacing w:after="0" w:line="121" w:lineRule="exact"/>
        <w:rPr>
          <w:sz w:val="20"/>
          <w:szCs w:val="20"/>
          <w:color w:val="auto"/>
        </w:rPr>
      </w:pPr>
    </w:p>
    <w:p>
      <w:pPr>
        <w:ind w:left="4" w:right="20" w:firstLine="440"/>
        <w:spacing w:after="0" w:line="255" w:lineRule="auto"/>
        <w:rPr>
          <w:sz w:val="20"/>
          <w:szCs w:val="20"/>
          <w:color w:val="auto"/>
        </w:rPr>
      </w:pPr>
      <w:r>
        <w:rPr>
          <w:rFonts w:ascii="Arial" w:cs="Arial" w:eastAsia="Arial" w:hAnsi="Arial"/>
          <w:sz w:val="18"/>
          <w:szCs w:val="18"/>
          <w:color w:val="auto"/>
        </w:rPr>
        <w:t>As of December 31, 2020, the Company maintained one active share option and restricted share unit plan, the 2019 Share Incentive Plan (“2019 Plan”). The 2019 Plan provided for the grant of share options, restricted share units, performance restricted share units, restricted shares, share appreciation rights and dividend equivalent rights. The 2019 Plan provided for grants of incentive share options only to the Company’s employees or employees of subsidiary of TGH. Awards other than incentive share options could be granted to the Company’s employees, directors and consultants or the employees, directors and consultants of subsidiaries of TGH. At December 31, 2020, 2,238,360 shares were available for future issuance under the 2019 Plan.</w:t>
      </w:r>
    </w:p>
    <w:p>
      <w:pPr>
        <w:spacing w:after="0" w:line="300" w:lineRule="exact"/>
        <w:rPr>
          <w:sz w:val="20"/>
          <w:szCs w:val="20"/>
          <w:color w:val="auto"/>
        </w:rPr>
      </w:pPr>
    </w:p>
    <w:p>
      <w:pPr>
        <w:ind w:left="4"/>
        <w:spacing w:after="0"/>
        <w:rPr>
          <w:sz w:val="20"/>
          <w:szCs w:val="20"/>
          <w:color w:val="auto"/>
        </w:rPr>
      </w:pPr>
      <w:r>
        <w:rPr>
          <w:rFonts w:ascii="Arial" w:cs="Arial" w:eastAsia="Arial" w:hAnsi="Arial"/>
          <w:sz w:val="18"/>
          <w:szCs w:val="18"/>
          <w:i w:val="1"/>
          <w:iCs w:val="1"/>
          <w:color w:val="auto"/>
        </w:rPr>
        <w:t>Share Options</w:t>
      </w:r>
    </w:p>
    <w:p>
      <w:pPr>
        <w:spacing w:after="0" w:line="117" w:lineRule="exact"/>
        <w:rPr>
          <w:sz w:val="20"/>
          <w:szCs w:val="20"/>
          <w:color w:val="auto"/>
        </w:rPr>
      </w:pPr>
    </w:p>
    <w:p>
      <w:pPr>
        <w:ind w:left="4" w:right="120" w:firstLine="440"/>
        <w:spacing w:after="0" w:line="311" w:lineRule="auto"/>
        <w:rPr>
          <w:sz w:val="20"/>
          <w:szCs w:val="20"/>
          <w:color w:val="auto"/>
        </w:rPr>
      </w:pPr>
      <w:r>
        <w:rPr>
          <w:rFonts w:ascii="Arial" w:cs="Arial" w:eastAsia="Arial" w:hAnsi="Arial"/>
          <w:sz w:val="16"/>
          <w:szCs w:val="16"/>
          <w:color w:val="auto"/>
        </w:rPr>
        <w:t>Share options are granted at exercise prices equal to the fair market value of the shares on the grant date. Each employee’s options vest in increments of 25% per year beginning approximately one year after an option’s grant date. Unless terminated pursuant to certain provisions within the share option plans, including discontinuance of employment with the Company, all unexercised options expire ten years from the date of grant.</w:t>
      </w:r>
    </w:p>
    <w:p>
      <w:pPr>
        <w:spacing w:after="0" w:line="149" w:lineRule="exact"/>
        <w:rPr>
          <w:sz w:val="20"/>
          <w:szCs w:val="20"/>
          <w:color w:val="auto"/>
        </w:rPr>
      </w:pPr>
    </w:p>
    <w:p>
      <w:pPr>
        <w:ind w:left="444"/>
        <w:spacing w:after="0"/>
        <w:rPr>
          <w:sz w:val="20"/>
          <w:szCs w:val="20"/>
          <w:color w:val="auto"/>
        </w:rPr>
      </w:pPr>
      <w:r>
        <w:rPr>
          <w:rFonts w:ascii="Arial" w:cs="Arial" w:eastAsia="Arial" w:hAnsi="Arial"/>
          <w:sz w:val="17"/>
          <w:szCs w:val="17"/>
          <w:color w:val="auto"/>
        </w:rPr>
        <w:t>The following tables summarizes the activity of stock options in the 2019 Plan for the years ended December 31, 2020, 2019, and 2018:</w:t>
      </w:r>
    </w:p>
    <w:p>
      <w:pPr>
        <w:spacing w:after="0" w:line="243" w:lineRule="exact"/>
        <w:rPr>
          <w:sz w:val="20"/>
          <w:szCs w:val="20"/>
          <w:color w:val="auto"/>
        </w:rPr>
      </w:pPr>
    </w:p>
    <w:tbl>
      <w:tblPr>
        <w:tblLayout w:type="fixed"/>
        <w:tblInd w:w="1324" w:type="dxa"/>
        <w:tblCellMar>
          <w:top w:w="0" w:type="dxa"/>
          <w:left w:w="0" w:type="dxa"/>
          <w:bottom w:w="0" w:type="dxa"/>
          <w:right w:w="0" w:type="dxa"/>
        </w:tblCellMar>
      </w:tblPr>
      <w:tr>
        <w:trPr>
          <w:trHeight w:val="161"/>
        </w:trPr>
        <w:tc>
          <w:tcPr>
            <w:tcW w:w="5960" w:type="dxa"/>
            <w:vAlign w:val="bottom"/>
          </w:tcPr>
          <w:p>
            <w:pPr>
              <w:spacing w:after="0"/>
              <w:rPr>
                <w:sz w:val="14"/>
                <w:szCs w:val="14"/>
                <w:color w:val="auto"/>
              </w:rPr>
            </w:pPr>
          </w:p>
        </w:tc>
        <w:tc>
          <w:tcPr>
            <w:tcW w:w="1520" w:type="dxa"/>
            <w:vAlign w:val="bottom"/>
            <w:gridSpan w:val="2"/>
          </w:tcPr>
          <w:p>
            <w:pPr>
              <w:jc w:val="center"/>
              <w:ind w:right="560"/>
              <w:spacing w:after="0"/>
              <w:rPr>
                <w:sz w:val="20"/>
                <w:szCs w:val="20"/>
                <w:color w:val="auto"/>
              </w:rPr>
            </w:pPr>
            <w:r>
              <w:rPr>
                <w:rFonts w:ascii="Arial" w:cs="Arial" w:eastAsia="Arial" w:hAnsi="Arial"/>
                <w:sz w:val="14"/>
                <w:szCs w:val="14"/>
                <w:b w:val="1"/>
                <w:bCs w:val="1"/>
                <w:color w:val="auto"/>
                <w:w w:val="89"/>
              </w:rPr>
              <w:t>Share options</w:t>
            </w:r>
          </w:p>
        </w:tc>
        <w:tc>
          <w:tcPr>
            <w:tcW w:w="100" w:type="dxa"/>
            <w:vAlign w:val="bottom"/>
          </w:tcPr>
          <w:p>
            <w:pPr>
              <w:spacing w:after="0"/>
              <w:rPr>
                <w:sz w:val="14"/>
                <w:szCs w:val="14"/>
                <w:color w:val="auto"/>
              </w:rPr>
            </w:pPr>
          </w:p>
        </w:tc>
        <w:tc>
          <w:tcPr>
            <w:tcW w:w="78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91"/>
              </w:rPr>
              <w:t>Weighted</w:t>
            </w:r>
          </w:p>
        </w:tc>
        <w:tc>
          <w:tcPr>
            <w:tcW w:w="0" w:type="dxa"/>
            <w:vAlign w:val="bottom"/>
          </w:tcPr>
          <w:p>
            <w:pPr>
              <w:spacing w:after="0"/>
              <w:rPr>
                <w:sz w:val="1"/>
                <w:szCs w:val="1"/>
                <w:color w:val="auto"/>
              </w:rPr>
            </w:pPr>
          </w:p>
        </w:tc>
      </w:tr>
      <w:tr>
        <w:trPr>
          <w:trHeight w:val="148"/>
        </w:trPr>
        <w:tc>
          <w:tcPr>
            <w:tcW w:w="5960" w:type="dxa"/>
            <w:vAlign w:val="bottom"/>
          </w:tcPr>
          <w:p>
            <w:pPr>
              <w:spacing w:after="0"/>
              <w:rPr>
                <w:sz w:val="12"/>
                <w:szCs w:val="12"/>
                <w:color w:val="auto"/>
              </w:rPr>
            </w:pPr>
          </w:p>
        </w:tc>
        <w:tc>
          <w:tcPr>
            <w:tcW w:w="1520" w:type="dxa"/>
            <w:vAlign w:val="bottom"/>
            <w:gridSpan w:val="2"/>
          </w:tcPr>
          <w:p>
            <w:pPr>
              <w:jc w:val="center"/>
              <w:ind w:right="560"/>
              <w:spacing w:after="0" w:line="149" w:lineRule="exact"/>
              <w:rPr>
                <w:sz w:val="20"/>
                <w:szCs w:val="20"/>
                <w:color w:val="auto"/>
              </w:rPr>
            </w:pPr>
            <w:r>
              <w:rPr>
                <w:rFonts w:ascii="Arial" w:cs="Arial" w:eastAsia="Arial" w:hAnsi="Arial"/>
                <w:sz w:val="14"/>
                <w:szCs w:val="14"/>
                <w:b w:val="1"/>
                <w:bCs w:val="1"/>
                <w:color w:val="auto"/>
                <w:w w:val="92"/>
              </w:rPr>
              <w:t>(common share</w:t>
            </w:r>
          </w:p>
        </w:tc>
        <w:tc>
          <w:tcPr>
            <w:tcW w:w="100" w:type="dxa"/>
            <w:vAlign w:val="bottom"/>
          </w:tcPr>
          <w:p>
            <w:pPr>
              <w:spacing w:after="0"/>
              <w:rPr>
                <w:sz w:val="12"/>
                <w:szCs w:val="12"/>
                <w:color w:val="auto"/>
              </w:rPr>
            </w:pPr>
          </w:p>
        </w:tc>
        <w:tc>
          <w:tcPr>
            <w:tcW w:w="780" w:type="dxa"/>
            <w:vAlign w:val="bottom"/>
            <w:gridSpan w:val="2"/>
          </w:tcPr>
          <w:p>
            <w:pPr>
              <w:jc w:val="center"/>
              <w:ind w:right="140"/>
              <w:spacing w:after="0" w:line="149" w:lineRule="exact"/>
              <w:rPr>
                <w:sz w:val="20"/>
                <w:szCs w:val="20"/>
                <w:color w:val="auto"/>
              </w:rPr>
            </w:pPr>
            <w:r>
              <w:rPr>
                <w:rFonts w:ascii="Arial" w:cs="Arial" w:eastAsia="Arial" w:hAnsi="Arial"/>
                <w:sz w:val="14"/>
                <w:szCs w:val="14"/>
                <w:b w:val="1"/>
                <w:bCs w:val="1"/>
                <w:color w:val="auto"/>
                <w:w w:val="90"/>
              </w:rPr>
              <w:t>average</w:t>
            </w:r>
          </w:p>
        </w:tc>
        <w:tc>
          <w:tcPr>
            <w:tcW w:w="0" w:type="dxa"/>
            <w:vAlign w:val="bottom"/>
          </w:tcPr>
          <w:p>
            <w:pPr>
              <w:spacing w:after="0"/>
              <w:rPr>
                <w:sz w:val="1"/>
                <w:szCs w:val="1"/>
                <w:color w:val="auto"/>
              </w:rPr>
            </w:pPr>
          </w:p>
        </w:tc>
      </w:tr>
      <w:tr>
        <w:trPr>
          <w:trHeight w:val="171"/>
        </w:trPr>
        <w:tc>
          <w:tcPr>
            <w:tcW w:w="5960" w:type="dxa"/>
            <w:vAlign w:val="bottom"/>
          </w:tcPr>
          <w:p>
            <w:pPr>
              <w:spacing w:after="0"/>
              <w:rPr>
                <w:sz w:val="14"/>
                <w:szCs w:val="14"/>
                <w:color w:val="auto"/>
              </w:rPr>
            </w:pPr>
          </w:p>
        </w:tc>
        <w:tc>
          <w:tcPr>
            <w:tcW w:w="1520" w:type="dxa"/>
            <w:vAlign w:val="bottom"/>
            <w:gridSpan w:val="2"/>
          </w:tcPr>
          <w:p>
            <w:pPr>
              <w:jc w:val="center"/>
              <w:ind w:right="560"/>
              <w:spacing w:after="0"/>
              <w:rPr>
                <w:sz w:val="20"/>
                <w:szCs w:val="20"/>
                <w:color w:val="auto"/>
              </w:rPr>
            </w:pPr>
            <w:r>
              <w:rPr>
                <w:rFonts w:ascii="Arial" w:cs="Arial" w:eastAsia="Arial" w:hAnsi="Arial"/>
                <w:sz w:val="14"/>
                <w:szCs w:val="14"/>
                <w:b w:val="1"/>
                <w:bCs w:val="1"/>
                <w:color w:val="auto"/>
                <w:w w:val="92"/>
              </w:rPr>
              <w:t>equivalents)</w:t>
            </w:r>
          </w:p>
        </w:tc>
        <w:tc>
          <w:tcPr>
            <w:tcW w:w="880" w:type="dxa"/>
            <w:vAlign w:val="bottom"/>
            <w:gridSpan w:val="3"/>
          </w:tcPr>
          <w:p>
            <w:pPr>
              <w:spacing w:after="0"/>
              <w:rPr>
                <w:sz w:val="20"/>
                <w:szCs w:val="20"/>
                <w:color w:val="auto"/>
              </w:rPr>
            </w:pPr>
            <w:r>
              <w:rPr>
                <w:rFonts w:ascii="Arial" w:cs="Arial" w:eastAsia="Arial" w:hAnsi="Arial"/>
                <w:sz w:val="14"/>
                <w:szCs w:val="14"/>
                <w:b w:val="1"/>
                <w:bCs w:val="1"/>
                <w:color w:val="auto"/>
                <w:w w:val="92"/>
              </w:rPr>
              <w:t>exercise price</w:t>
            </w:r>
          </w:p>
        </w:tc>
        <w:tc>
          <w:tcPr>
            <w:tcW w:w="0" w:type="dxa"/>
            <w:vAlign w:val="bottom"/>
          </w:tcPr>
          <w:p>
            <w:pPr>
              <w:spacing w:after="0"/>
              <w:rPr>
                <w:sz w:val="1"/>
                <w:szCs w:val="1"/>
                <w:color w:val="auto"/>
              </w:rPr>
            </w:pPr>
          </w:p>
        </w:tc>
      </w:tr>
      <w:tr>
        <w:trPr>
          <w:trHeight w:val="209"/>
        </w:trPr>
        <w:tc>
          <w:tcPr>
            <w:tcW w:w="5960" w:type="dxa"/>
            <w:vAlign w:val="bottom"/>
            <w:tcBorders>
              <w:top w:val="single" w:sz="8" w:color="CCEEFF"/>
            </w:tcBorders>
            <w:shd w:val="clear" w:color="auto" w:fill="CCEEFF"/>
          </w:tcPr>
          <w:p>
            <w:pPr>
              <w:ind w:left="360"/>
              <w:spacing w:after="0"/>
              <w:rPr>
                <w:sz w:val="20"/>
                <w:szCs w:val="20"/>
                <w:color w:val="auto"/>
              </w:rPr>
            </w:pPr>
            <w:r>
              <w:rPr>
                <w:rFonts w:ascii="Arial" w:cs="Arial" w:eastAsia="Arial" w:hAnsi="Arial"/>
                <w:sz w:val="18"/>
                <w:szCs w:val="18"/>
                <w:color w:val="auto"/>
              </w:rPr>
              <w:t>Balances, December 31, 2017</w:t>
            </w:r>
          </w:p>
        </w:tc>
        <w:tc>
          <w:tcPr>
            <w:tcW w:w="9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1,524,677</w:t>
            </w:r>
          </w:p>
        </w:tc>
        <w:tc>
          <w:tcPr>
            <w:tcW w:w="56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w w:val="79"/>
              </w:rPr>
              <w:t>$</w:t>
            </w:r>
          </w:p>
        </w:tc>
        <w:tc>
          <w:tcPr>
            <w:tcW w:w="7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22.88</w:t>
            </w:r>
          </w:p>
        </w:tc>
        <w:tc>
          <w:tcPr>
            <w:tcW w:w="4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960" w:type="dxa"/>
            <w:vAlign w:val="bottom"/>
          </w:tcPr>
          <w:p>
            <w:pPr>
              <w:spacing w:after="0"/>
              <w:rPr>
                <w:sz w:val="20"/>
                <w:szCs w:val="20"/>
                <w:color w:val="auto"/>
              </w:rPr>
            </w:pPr>
            <w:r>
              <w:rPr>
                <w:rFonts w:ascii="Arial" w:cs="Arial" w:eastAsia="Arial" w:hAnsi="Arial"/>
                <w:sz w:val="18"/>
                <w:szCs w:val="18"/>
                <w:color w:val="auto"/>
              </w:rPr>
              <w:t>Options granted during the period</w:t>
            </w:r>
          </w:p>
        </w:tc>
        <w:tc>
          <w:tcPr>
            <w:tcW w:w="1520" w:type="dxa"/>
            <w:vAlign w:val="bottom"/>
            <w:gridSpan w:val="2"/>
          </w:tcPr>
          <w:p>
            <w:pPr>
              <w:jc w:val="right"/>
              <w:ind w:right="560"/>
              <w:spacing w:after="0"/>
              <w:rPr>
                <w:sz w:val="20"/>
                <w:szCs w:val="20"/>
                <w:color w:val="auto"/>
              </w:rPr>
            </w:pPr>
            <w:r>
              <w:rPr>
                <w:rFonts w:ascii="Arial" w:cs="Arial" w:eastAsia="Arial" w:hAnsi="Arial"/>
                <w:sz w:val="18"/>
                <w:szCs w:val="18"/>
                <w:color w:val="auto"/>
              </w:rPr>
              <w:t>241,500</w:t>
            </w:r>
          </w:p>
        </w:tc>
        <w:tc>
          <w:tcPr>
            <w:tcW w:w="100" w:type="dxa"/>
            <w:vAlign w:val="bottom"/>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tcPr>
          <w:p>
            <w:pPr>
              <w:jc w:val="right"/>
              <w:ind w:right="40"/>
              <w:spacing w:after="0"/>
              <w:rPr>
                <w:sz w:val="20"/>
                <w:szCs w:val="20"/>
                <w:color w:val="auto"/>
              </w:rPr>
            </w:pPr>
            <w:r>
              <w:rPr>
                <w:rFonts w:ascii="Arial" w:cs="Arial" w:eastAsia="Arial" w:hAnsi="Arial"/>
                <w:sz w:val="18"/>
                <w:szCs w:val="18"/>
                <w:color w:val="auto"/>
              </w:rPr>
              <w:t>11.15</w:t>
            </w:r>
          </w:p>
        </w:tc>
        <w:tc>
          <w:tcPr>
            <w:tcW w:w="0" w:type="dxa"/>
            <w:vAlign w:val="bottom"/>
          </w:tcPr>
          <w:p>
            <w:pPr>
              <w:spacing w:after="0"/>
              <w:rPr>
                <w:sz w:val="1"/>
                <w:szCs w:val="1"/>
                <w:color w:val="auto"/>
              </w:rPr>
            </w:pPr>
          </w:p>
        </w:tc>
      </w:tr>
      <w:tr>
        <w:trPr>
          <w:trHeight w:val="216"/>
        </w:trPr>
        <w:tc>
          <w:tcPr>
            <w:tcW w:w="5960" w:type="dxa"/>
            <w:vAlign w:val="bottom"/>
            <w:shd w:val="clear" w:color="auto" w:fill="CCEEFF"/>
          </w:tcPr>
          <w:p>
            <w:pPr>
              <w:spacing w:after="0"/>
              <w:rPr>
                <w:sz w:val="20"/>
                <w:szCs w:val="20"/>
                <w:color w:val="auto"/>
              </w:rPr>
            </w:pPr>
            <w:r>
              <w:rPr>
                <w:rFonts w:ascii="Arial" w:cs="Arial" w:eastAsia="Arial" w:hAnsi="Arial"/>
                <w:sz w:val="18"/>
                <w:szCs w:val="18"/>
                <w:color w:val="auto"/>
              </w:rPr>
              <w:t>Options exercised during the period</w:t>
            </w:r>
          </w:p>
        </w:tc>
        <w:tc>
          <w:tcPr>
            <w:tcW w:w="152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color w:val="auto"/>
              </w:rPr>
              <w:t>(15,259)</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8.49</w:t>
            </w:r>
          </w:p>
        </w:tc>
        <w:tc>
          <w:tcPr>
            <w:tcW w:w="0" w:type="dxa"/>
            <w:vAlign w:val="bottom"/>
          </w:tcPr>
          <w:p>
            <w:pPr>
              <w:spacing w:after="0"/>
              <w:rPr>
                <w:sz w:val="1"/>
                <w:szCs w:val="1"/>
                <w:color w:val="auto"/>
              </w:rPr>
            </w:pPr>
          </w:p>
        </w:tc>
      </w:tr>
      <w:tr>
        <w:trPr>
          <w:trHeight w:val="216"/>
        </w:trPr>
        <w:tc>
          <w:tcPr>
            <w:tcW w:w="5960" w:type="dxa"/>
            <w:vAlign w:val="bottom"/>
          </w:tcPr>
          <w:p>
            <w:pPr>
              <w:spacing w:after="0"/>
              <w:rPr>
                <w:sz w:val="20"/>
                <w:szCs w:val="20"/>
                <w:color w:val="auto"/>
              </w:rPr>
            </w:pPr>
            <w:r>
              <w:rPr>
                <w:rFonts w:ascii="Arial" w:cs="Arial" w:eastAsia="Arial" w:hAnsi="Arial"/>
                <w:sz w:val="18"/>
                <w:szCs w:val="18"/>
                <w:color w:val="auto"/>
              </w:rPr>
              <w:t>Options expired during the period</w:t>
            </w:r>
          </w:p>
        </w:tc>
        <w:tc>
          <w:tcPr>
            <w:tcW w:w="1520" w:type="dxa"/>
            <w:vAlign w:val="bottom"/>
            <w:gridSpan w:val="2"/>
          </w:tcPr>
          <w:p>
            <w:pPr>
              <w:jc w:val="right"/>
              <w:ind w:right="500"/>
              <w:spacing w:after="0"/>
              <w:rPr>
                <w:sz w:val="20"/>
                <w:szCs w:val="20"/>
                <w:color w:val="auto"/>
              </w:rPr>
            </w:pPr>
            <w:r>
              <w:rPr>
                <w:rFonts w:ascii="Arial" w:cs="Arial" w:eastAsia="Arial" w:hAnsi="Arial"/>
                <w:sz w:val="18"/>
                <w:szCs w:val="18"/>
                <w:color w:val="auto"/>
              </w:rPr>
              <w:t>(9,552)</w:t>
            </w:r>
          </w:p>
        </w:tc>
        <w:tc>
          <w:tcPr>
            <w:tcW w:w="100" w:type="dxa"/>
            <w:vAlign w:val="bottom"/>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tcPr>
          <w:p>
            <w:pPr>
              <w:jc w:val="right"/>
              <w:ind w:right="40"/>
              <w:spacing w:after="0"/>
              <w:rPr>
                <w:sz w:val="20"/>
                <w:szCs w:val="20"/>
                <w:color w:val="auto"/>
              </w:rPr>
            </w:pPr>
            <w:r>
              <w:rPr>
                <w:rFonts w:ascii="Arial" w:cs="Arial" w:eastAsia="Arial" w:hAnsi="Arial"/>
                <w:sz w:val="18"/>
                <w:szCs w:val="18"/>
                <w:color w:val="auto"/>
              </w:rPr>
              <w:t>25.77</w:t>
            </w:r>
          </w:p>
        </w:tc>
        <w:tc>
          <w:tcPr>
            <w:tcW w:w="0" w:type="dxa"/>
            <w:vAlign w:val="bottom"/>
          </w:tcPr>
          <w:p>
            <w:pPr>
              <w:spacing w:after="0"/>
              <w:rPr>
                <w:sz w:val="1"/>
                <w:szCs w:val="1"/>
                <w:color w:val="auto"/>
              </w:rPr>
            </w:pPr>
          </w:p>
        </w:tc>
      </w:tr>
      <w:tr>
        <w:trPr>
          <w:trHeight w:val="216"/>
        </w:trPr>
        <w:tc>
          <w:tcPr>
            <w:tcW w:w="5960" w:type="dxa"/>
            <w:vAlign w:val="bottom"/>
            <w:shd w:val="clear" w:color="auto" w:fill="CCEEFF"/>
          </w:tcPr>
          <w:p>
            <w:pPr>
              <w:spacing w:after="0"/>
              <w:rPr>
                <w:sz w:val="20"/>
                <w:szCs w:val="20"/>
                <w:color w:val="auto"/>
              </w:rPr>
            </w:pPr>
            <w:r>
              <w:rPr>
                <w:rFonts w:ascii="Arial" w:cs="Arial" w:eastAsia="Arial" w:hAnsi="Arial"/>
                <w:sz w:val="18"/>
                <w:szCs w:val="18"/>
                <w:color w:val="auto"/>
              </w:rPr>
              <w:t>Options forfeited during the period</w:t>
            </w:r>
          </w:p>
        </w:tc>
        <w:tc>
          <w:tcPr>
            <w:tcW w:w="152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color w:val="auto"/>
              </w:rPr>
              <w:t>(37,458)</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17.61</w:t>
            </w:r>
          </w:p>
        </w:tc>
        <w:tc>
          <w:tcPr>
            <w:tcW w:w="0" w:type="dxa"/>
            <w:vAlign w:val="bottom"/>
          </w:tcPr>
          <w:p>
            <w:pPr>
              <w:spacing w:after="0"/>
              <w:rPr>
                <w:sz w:val="1"/>
                <w:szCs w:val="1"/>
                <w:color w:val="auto"/>
              </w:rPr>
            </w:pPr>
          </w:p>
        </w:tc>
      </w:tr>
      <w:tr>
        <w:trPr>
          <w:trHeight w:val="223"/>
        </w:trPr>
        <w:tc>
          <w:tcPr>
            <w:tcW w:w="5960" w:type="dxa"/>
            <w:vAlign w:val="bottom"/>
          </w:tcPr>
          <w:p>
            <w:pPr>
              <w:ind w:left="360"/>
              <w:spacing w:after="0"/>
              <w:rPr>
                <w:sz w:val="20"/>
                <w:szCs w:val="20"/>
                <w:color w:val="auto"/>
              </w:rPr>
            </w:pPr>
            <w:r>
              <w:rPr>
                <w:rFonts w:ascii="Arial" w:cs="Arial" w:eastAsia="Arial" w:hAnsi="Arial"/>
                <w:sz w:val="18"/>
                <w:szCs w:val="18"/>
                <w:color w:val="auto"/>
              </w:rPr>
              <w:t>Balances, December 31, 2018</w:t>
            </w:r>
          </w:p>
        </w:tc>
        <w:tc>
          <w:tcPr>
            <w:tcW w:w="9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1,703,908</w:t>
            </w:r>
          </w:p>
        </w:tc>
        <w:tc>
          <w:tcPr>
            <w:tcW w:w="560" w:type="dxa"/>
            <w:vAlign w:val="bottom"/>
          </w:tcPr>
          <w:p>
            <w:pPr>
              <w:spacing w:after="0"/>
              <w:rPr>
                <w:sz w:val="19"/>
                <w:szCs w:val="19"/>
                <w:color w:val="auto"/>
              </w:rPr>
            </w:pPr>
          </w:p>
        </w:tc>
        <w:tc>
          <w:tcPr>
            <w:tcW w:w="100" w:type="dxa"/>
            <w:vAlign w:val="bottom"/>
            <w:tcBorders>
              <w:top w:val="single" w:sz="8" w:color="auto"/>
            </w:tcBorders>
          </w:tcPr>
          <w:p>
            <w:pPr>
              <w:spacing w:after="0"/>
              <w:rPr>
                <w:sz w:val="20"/>
                <w:szCs w:val="20"/>
                <w:color w:val="auto"/>
              </w:rPr>
            </w:pPr>
            <w:r>
              <w:rPr>
                <w:rFonts w:ascii="Arial" w:cs="Arial" w:eastAsia="Arial" w:hAnsi="Arial"/>
                <w:sz w:val="18"/>
                <w:szCs w:val="18"/>
                <w:color w:val="auto"/>
                <w:w w:val="79"/>
              </w:rPr>
              <w:t>$</w:t>
            </w:r>
          </w:p>
        </w:tc>
        <w:tc>
          <w:tcPr>
            <w:tcW w:w="7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21.44</w:t>
            </w: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5960" w:type="dxa"/>
            <w:vAlign w:val="bottom"/>
            <w:shd w:val="clear" w:color="auto" w:fill="CCEEFF"/>
          </w:tcPr>
          <w:p>
            <w:pPr>
              <w:spacing w:after="0"/>
              <w:rPr>
                <w:sz w:val="20"/>
                <w:szCs w:val="20"/>
                <w:color w:val="auto"/>
              </w:rPr>
            </w:pPr>
            <w:r>
              <w:rPr>
                <w:rFonts w:ascii="Arial" w:cs="Arial" w:eastAsia="Arial" w:hAnsi="Arial"/>
                <w:sz w:val="18"/>
                <w:szCs w:val="18"/>
                <w:color w:val="auto"/>
              </w:rPr>
              <w:t>Options granted during the period</w:t>
            </w:r>
          </w:p>
        </w:tc>
        <w:tc>
          <w:tcPr>
            <w:tcW w:w="1520" w:type="dxa"/>
            <w:vAlign w:val="bottom"/>
            <w:gridSpan w:val="2"/>
            <w:shd w:val="clear" w:color="auto" w:fill="CCEEFF"/>
          </w:tcPr>
          <w:p>
            <w:pPr>
              <w:jc w:val="right"/>
              <w:ind w:right="560"/>
              <w:spacing w:after="0"/>
              <w:rPr>
                <w:sz w:val="20"/>
                <w:szCs w:val="20"/>
                <w:color w:val="auto"/>
              </w:rPr>
            </w:pPr>
            <w:r>
              <w:rPr>
                <w:rFonts w:ascii="Arial" w:cs="Arial" w:eastAsia="Arial" w:hAnsi="Arial"/>
                <w:sz w:val="18"/>
                <w:szCs w:val="18"/>
                <w:color w:val="auto"/>
              </w:rPr>
              <w:t>250,000</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9.14</w:t>
            </w:r>
          </w:p>
        </w:tc>
        <w:tc>
          <w:tcPr>
            <w:tcW w:w="0" w:type="dxa"/>
            <w:vAlign w:val="bottom"/>
          </w:tcPr>
          <w:p>
            <w:pPr>
              <w:spacing w:after="0"/>
              <w:rPr>
                <w:sz w:val="1"/>
                <w:szCs w:val="1"/>
                <w:color w:val="auto"/>
              </w:rPr>
            </w:pPr>
          </w:p>
        </w:tc>
      </w:tr>
      <w:tr>
        <w:trPr>
          <w:trHeight w:val="216"/>
        </w:trPr>
        <w:tc>
          <w:tcPr>
            <w:tcW w:w="5960" w:type="dxa"/>
            <w:vAlign w:val="bottom"/>
          </w:tcPr>
          <w:p>
            <w:pPr>
              <w:spacing w:after="0"/>
              <w:rPr>
                <w:sz w:val="20"/>
                <w:szCs w:val="20"/>
                <w:color w:val="auto"/>
              </w:rPr>
            </w:pPr>
            <w:r>
              <w:rPr>
                <w:rFonts w:ascii="Arial" w:cs="Arial" w:eastAsia="Arial" w:hAnsi="Arial"/>
                <w:sz w:val="18"/>
                <w:szCs w:val="18"/>
                <w:color w:val="auto"/>
              </w:rPr>
              <w:t>Options exercised during the period</w:t>
            </w:r>
          </w:p>
        </w:tc>
        <w:tc>
          <w:tcPr>
            <w:tcW w:w="1520" w:type="dxa"/>
            <w:vAlign w:val="bottom"/>
            <w:gridSpan w:val="2"/>
          </w:tcPr>
          <w:p>
            <w:pPr>
              <w:jc w:val="right"/>
              <w:ind w:right="500"/>
              <w:spacing w:after="0"/>
              <w:rPr>
                <w:sz w:val="20"/>
                <w:szCs w:val="20"/>
                <w:color w:val="auto"/>
              </w:rPr>
            </w:pPr>
            <w:r>
              <w:rPr>
                <w:rFonts w:ascii="Arial" w:cs="Arial" w:eastAsia="Arial" w:hAnsi="Arial"/>
                <w:sz w:val="18"/>
                <w:szCs w:val="18"/>
                <w:color w:val="auto"/>
              </w:rPr>
              <w:t>(13,014)</w:t>
            </w:r>
          </w:p>
        </w:tc>
        <w:tc>
          <w:tcPr>
            <w:tcW w:w="100" w:type="dxa"/>
            <w:vAlign w:val="bottom"/>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tcPr>
          <w:p>
            <w:pPr>
              <w:jc w:val="right"/>
              <w:ind w:right="40"/>
              <w:spacing w:after="0"/>
              <w:rPr>
                <w:sz w:val="20"/>
                <w:szCs w:val="20"/>
                <w:color w:val="auto"/>
              </w:rPr>
            </w:pPr>
            <w:r>
              <w:rPr>
                <w:rFonts w:ascii="Arial" w:cs="Arial" w:eastAsia="Arial" w:hAnsi="Arial"/>
                <w:sz w:val="18"/>
                <w:szCs w:val="18"/>
                <w:color w:val="auto"/>
              </w:rPr>
              <w:t>9.70</w:t>
            </w:r>
          </w:p>
        </w:tc>
        <w:tc>
          <w:tcPr>
            <w:tcW w:w="0" w:type="dxa"/>
            <w:vAlign w:val="bottom"/>
          </w:tcPr>
          <w:p>
            <w:pPr>
              <w:spacing w:after="0"/>
              <w:rPr>
                <w:sz w:val="1"/>
                <w:szCs w:val="1"/>
                <w:color w:val="auto"/>
              </w:rPr>
            </w:pPr>
          </w:p>
        </w:tc>
      </w:tr>
      <w:tr>
        <w:trPr>
          <w:trHeight w:val="216"/>
        </w:trPr>
        <w:tc>
          <w:tcPr>
            <w:tcW w:w="5960" w:type="dxa"/>
            <w:vAlign w:val="bottom"/>
            <w:shd w:val="clear" w:color="auto" w:fill="CCEEFF"/>
          </w:tcPr>
          <w:p>
            <w:pPr>
              <w:spacing w:after="0"/>
              <w:rPr>
                <w:sz w:val="20"/>
                <w:szCs w:val="20"/>
                <w:color w:val="auto"/>
              </w:rPr>
            </w:pPr>
            <w:r>
              <w:rPr>
                <w:rFonts w:ascii="Arial" w:cs="Arial" w:eastAsia="Arial" w:hAnsi="Arial"/>
                <w:sz w:val="18"/>
                <w:szCs w:val="18"/>
                <w:color w:val="auto"/>
              </w:rPr>
              <w:t>Options expired during the period</w:t>
            </w:r>
          </w:p>
        </w:tc>
        <w:tc>
          <w:tcPr>
            <w:tcW w:w="152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color w:val="auto"/>
              </w:rPr>
              <w:t>(113,917)</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23.73</w:t>
            </w:r>
          </w:p>
        </w:tc>
        <w:tc>
          <w:tcPr>
            <w:tcW w:w="0" w:type="dxa"/>
            <w:vAlign w:val="bottom"/>
          </w:tcPr>
          <w:p>
            <w:pPr>
              <w:spacing w:after="0"/>
              <w:rPr>
                <w:sz w:val="1"/>
                <w:szCs w:val="1"/>
                <w:color w:val="auto"/>
              </w:rPr>
            </w:pPr>
          </w:p>
        </w:tc>
      </w:tr>
      <w:tr>
        <w:trPr>
          <w:trHeight w:val="223"/>
        </w:trPr>
        <w:tc>
          <w:tcPr>
            <w:tcW w:w="5960" w:type="dxa"/>
            <w:vAlign w:val="bottom"/>
          </w:tcPr>
          <w:p>
            <w:pPr>
              <w:spacing w:after="0"/>
              <w:rPr>
                <w:sz w:val="20"/>
                <w:szCs w:val="20"/>
                <w:color w:val="auto"/>
              </w:rPr>
            </w:pPr>
            <w:r>
              <w:rPr>
                <w:rFonts w:ascii="Arial" w:cs="Arial" w:eastAsia="Arial" w:hAnsi="Arial"/>
                <w:sz w:val="18"/>
                <w:szCs w:val="18"/>
                <w:color w:val="auto"/>
              </w:rPr>
              <w:t>Options forfeited during the period</w:t>
            </w:r>
          </w:p>
        </w:tc>
        <w:tc>
          <w:tcPr>
            <w:tcW w:w="1520" w:type="dxa"/>
            <w:vAlign w:val="bottom"/>
            <w:gridSpan w:val="2"/>
          </w:tcPr>
          <w:p>
            <w:pPr>
              <w:jc w:val="right"/>
              <w:ind w:right="500"/>
              <w:spacing w:after="0"/>
              <w:rPr>
                <w:sz w:val="20"/>
                <w:szCs w:val="20"/>
                <w:color w:val="auto"/>
              </w:rPr>
            </w:pPr>
            <w:r>
              <w:rPr>
                <w:rFonts w:ascii="Arial" w:cs="Arial" w:eastAsia="Arial" w:hAnsi="Arial"/>
                <w:sz w:val="18"/>
                <w:szCs w:val="18"/>
                <w:color w:val="auto"/>
              </w:rPr>
              <w:t>(19,312)</w:t>
            </w:r>
          </w:p>
        </w:tc>
        <w:tc>
          <w:tcPr>
            <w:tcW w:w="100" w:type="dxa"/>
            <w:vAlign w:val="bottom"/>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tcPr>
          <w:p>
            <w:pPr>
              <w:jc w:val="right"/>
              <w:ind w:right="40"/>
              <w:spacing w:after="0"/>
              <w:rPr>
                <w:sz w:val="20"/>
                <w:szCs w:val="20"/>
                <w:color w:val="auto"/>
              </w:rPr>
            </w:pPr>
            <w:r>
              <w:rPr>
                <w:rFonts w:ascii="Arial" w:cs="Arial" w:eastAsia="Arial" w:hAnsi="Arial"/>
                <w:sz w:val="18"/>
                <w:szCs w:val="18"/>
                <w:color w:val="auto"/>
              </w:rPr>
              <w:t>14.08</w:t>
            </w:r>
          </w:p>
        </w:tc>
        <w:tc>
          <w:tcPr>
            <w:tcW w:w="0" w:type="dxa"/>
            <w:vAlign w:val="bottom"/>
          </w:tcPr>
          <w:p>
            <w:pPr>
              <w:spacing w:after="0"/>
              <w:rPr>
                <w:sz w:val="1"/>
                <w:szCs w:val="1"/>
                <w:color w:val="auto"/>
              </w:rPr>
            </w:pPr>
          </w:p>
        </w:tc>
      </w:tr>
      <w:tr>
        <w:trPr>
          <w:trHeight w:val="216"/>
        </w:trPr>
        <w:tc>
          <w:tcPr>
            <w:tcW w:w="59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Balances, December 31, 2019</w:t>
            </w:r>
          </w:p>
        </w:tc>
        <w:tc>
          <w:tcPr>
            <w:tcW w:w="9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1,807,665</w:t>
            </w:r>
          </w:p>
        </w:tc>
        <w:tc>
          <w:tcPr>
            <w:tcW w:w="560" w:type="dxa"/>
            <w:vAlign w:val="bottom"/>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w w:val="79"/>
              </w:rPr>
              <w:t>$</w:t>
            </w:r>
          </w:p>
        </w:tc>
        <w:tc>
          <w:tcPr>
            <w:tcW w:w="7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19.76</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960" w:type="dxa"/>
            <w:vAlign w:val="bottom"/>
          </w:tcPr>
          <w:p>
            <w:pPr>
              <w:spacing w:after="0"/>
              <w:rPr>
                <w:sz w:val="20"/>
                <w:szCs w:val="20"/>
                <w:color w:val="auto"/>
              </w:rPr>
            </w:pPr>
            <w:r>
              <w:rPr>
                <w:rFonts w:ascii="Arial" w:cs="Arial" w:eastAsia="Arial" w:hAnsi="Arial"/>
                <w:sz w:val="18"/>
                <w:szCs w:val="18"/>
                <w:color w:val="auto"/>
              </w:rPr>
              <w:t>Options exercised during the period</w:t>
            </w:r>
          </w:p>
        </w:tc>
        <w:tc>
          <w:tcPr>
            <w:tcW w:w="1520" w:type="dxa"/>
            <w:vAlign w:val="bottom"/>
            <w:gridSpan w:val="2"/>
          </w:tcPr>
          <w:p>
            <w:pPr>
              <w:jc w:val="right"/>
              <w:ind w:right="500"/>
              <w:spacing w:after="0"/>
              <w:rPr>
                <w:sz w:val="20"/>
                <w:szCs w:val="20"/>
                <w:color w:val="auto"/>
              </w:rPr>
            </w:pPr>
            <w:r>
              <w:rPr>
                <w:rFonts w:ascii="Arial" w:cs="Arial" w:eastAsia="Arial" w:hAnsi="Arial"/>
                <w:sz w:val="18"/>
                <w:szCs w:val="18"/>
                <w:color w:val="auto"/>
              </w:rPr>
              <w:t>(113,960)</w:t>
            </w:r>
          </w:p>
        </w:tc>
        <w:tc>
          <w:tcPr>
            <w:tcW w:w="100" w:type="dxa"/>
            <w:vAlign w:val="bottom"/>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tcPr>
          <w:p>
            <w:pPr>
              <w:jc w:val="right"/>
              <w:ind w:right="40"/>
              <w:spacing w:after="0"/>
              <w:rPr>
                <w:sz w:val="20"/>
                <w:szCs w:val="20"/>
                <w:color w:val="auto"/>
              </w:rPr>
            </w:pPr>
            <w:r>
              <w:rPr>
                <w:rFonts w:ascii="Arial" w:cs="Arial" w:eastAsia="Arial" w:hAnsi="Arial"/>
                <w:sz w:val="18"/>
                <w:szCs w:val="18"/>
                <w:color w:val="auto"/>
              </w:rPr>
              <w:t>11.36</w:t>
            </w:r>
          </w:p>
        </w:tc>
        <w:tc>
          <w:tcPr>
            <w:tcW w:w="0" w:type="dxa"/>
            <w:vAlign w:val="bottom"/>
          </w:tcPr>
          <w:p>
            <w:pPr>
              <w:spacing w:after="0"/>
              <w:rPr>
                <w:sz w:val="1"/>
                <w:szCs w:val="1"/>
                <w:color w:val="auto"/>
              </w:rPr>
            </w:pPr>
          </w:p>
        </w:tc>
      </w:tr>
      <w:tr>
        <w:trPr>
          <w:trHeight w:val="216"/>
        </w:trPr>
        <w:tc>
          <w:tcPr>
            <w:tcW w:w="5960" w:type="dxa"/>
            <w:vAlign w:val="bottom"/>
            <w:shd w:val="clear" w:color="auto" w:fill="CCEEFF"/>
          </w:tcPr>
          <w:p>
            <w:pPr>
              <w:spacing w:after="0"/>
              <w:rPr>
                <w:sz w:val="20"/>
                <w:szCs w:val="20"/>
                <w:color w:val="auto"/>
              </w:rPr>
            </w:pPr>
            <w:r>
              <w:rPr>
                <w:rFonts w:ascii="Arial" w:cs="Arial" w:eastAsia="Arial" w:hAnsi="Arial"/>
                <w:sz w:val="18"/>
                <w:szCs w:val="18"/>
                <w:color w:val="auto"/>
              </w:rPr>
              <w:t>Options expired during the period</w:t>
            </w:r>
          </w:p>
        </w:tc>
        <w:tc>
          <w:tcPr>
            <w:tcW w:w="152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color w:val="auto"/>
              </w:rPr>
              <w:t>(130,711)</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26.14</w:t>
            </w:r>
          </w:p>
        </w:tc>
        <w:tc>
          <w:tcPr>
            <w:tcW w:w="0" w:type="dxa"/>
            <w:vAlign w:val="bottom"/>
          </w:tcPr>
          <w:p>
            <w:pPr>
              <w:spacing w:after="0"/>
              <w:rPr>
                <w:sz w:val="1"/>
                <w:szCs w:val="1"/>
                <w:color w:val="auto"/>
              </w:rPr>
            </w:pPr>
          </w:p>
        </w:tc>
      </w:tr>
      <w:tr>
        <w:trPr>
          <w:trHeight w:val="223"/>
        </w:trPr>
        <w:tc>
          <w:tcPr>
            <w:tcW w:w="5960" w:type="dxa"/>
            <w:vAlign w:val="bottom"/>
          </w:tcPr>
          <w:p>
            <w:pPr>
              <w:spacing w:after="0"/>
              <w:rPr>
                <w:sz w:val="20"/>
                <w:szCs w:val="20"/>
                <w:color w:val="auto"/>
              </w:rPr>
            </w:pPr>
            <w:r>
              <w:rPr>
                <w:rFonts w:ascii="Arial" w:cs="Arial" w:eastAsia="Arial" w:hAnsi="Arial"/>
                <w:sz w:val="18"/>
                <w:szCs w:val="18"/>
                <w:color w:val="auto"/>
              </w:rPr>
              <w:t>Options forfeited during the period</w:t>
            </w:r>
          </w:p>
        </w:tc>
        <w:tc>
          <w:tcPr>
            <w:tcW w:w="1520" w:type="dxa"/>
            <w:vAlign w:val="bottom"/>
            <w:gridSpan w:val="2"/>
          </w:tcPr>
          <w:p>
            <w:pPr>
              <w:jc w:val="right"/>
              <w:ind w:right="500"/>
              <w:spacing w:after="0"/>
              <w:rPr>
                <w:sz w:val="20"/>
                <w:szCs w:val="20"/>
                <w:color w:val="auto"/>
              </w:rPr>
            </w:pPr>
            <w:r>
              <w:rPr>
                <w:rFonts w:ascii="Arial" w:cs="Arial" w:eastAsia="Arial" w:hAnsi="Arial"/>
                <w:sz w:val="18"/>
                <w:szCs w:val="18"/>
                <w:color w:val="auto"/>
              </w:rPr>
              <w:t>(33,968)</w:t>
            </w:r>
          </w:p>
        </w:tc>
        <w:tc>
          <w:tcPr>
            <w:tcW w:w="100" w:type="dxa"/>
            <w:vAlign w:val="bottom"/>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tcPr>
          <w:p>
            <w:pPr>
              <w:jc w:val="right"/>
              <w:ind w:right="40"/>
              <w:spacing w:after="0"/>
              <w:rPr>
                <w:sz w:val="20"/>
                <w:szCs w:val="20"/>
                <w:color w:val="auto"/>
              </w:rPr>
            </w:pPr>
            <w:r>
              <w:rPr>
                <w:rFonts w:ascii="Arial" w:cs="Arial" w:eastAsia="Arial" w:hAnsi="Arial"/>
                <w:sz w:val="18"/>
                <w:szCs w:val="18"/>
                <w:color w:val="auto"/>
              </w:rPr>
              <w:t>12.40</w:t>
            </w:r>
          </w:p>
        </w:tc>
        <w:tc>
          <w:tcPr>
            <w:tcW w:w="0" w:type="dxa"/>
            <w:vAlign w:val="bottom"/>
          </w:tcPr>
          <w:p>
            <w:pPr>
              <w:spacing w:after="0"/>
              <w:rPr>
                <w:sz w:val="1"/>
                <w:szCs w:val="1"/>
                <w:color w:val="auto"/>
              </w:rPr>
            </w:pPr>
          </w:p>
        </w:tc>
      </w:tr>
      <w:tr>
        <w:trPr>
          <w:trHeight w:val="216"/>
        </w:trPr>
        <w:tc>
          <w:tcPr>
            <w:tcW w:w="59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Balances, December 31, 2020</w:t>
            </w:r>
          </w:p>
        </w:tc>
        <w:tc>
          <w:tcPr>
            <w:tcW w:w="9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1,529,026</w:t>
            </w:r>
          </w:p>
        </w:tc>
        <w:tc>
          <w:tcPr>
            <w:tcW w:w="560" w:type="dxa"/>
            <w:vAlign w:val="bottom"/>
            <w:shd w:val="clear" w:color="auto" w:fill="CCEEFF"/>
          </w:tcPr>
          <w:p>
            <w:pPr>
              <w:spacing w:after="0"/>
              <w:rPr>
                <w:sz w:val="18"/>
                <w:szCs w:val="18"/>
                <w:color w:val="auto"/>
              </w:rPr>
            </w:pPr>
          </w:p>
        </w:tc>
        <w:tc>
          <w:tcPr>
            <w:tcW w:w="100" w:type="dxa"/>
            <w:vAlign w:val="bottom"/>
            <w:tcBorders>
              <w:top w:val="single" w:sz="8" w:color="auto"/>
              <w:bottom w:val="single" w:sz="8" w:color="auto"/>
            </w:tcBorders>
            <w:shd w:val="clear" w:color="auto" w:fill="CCEEFF"/>
          </w:tcPr>
          <w:p>
            <w:pPr>
              <w:spacing w:after="0"/>
              <w:rPr>
                <w:sz w:val="20"/>
                <w:szCs w:val="20"/>
                <w:color w:val="auto"/>
              </w:rPr>
            </w:pPr>
            <w:r>
              <w:rPr>
                <w:rFonts w:ascii="Arial" w:cs="Arial" w:eastAsia="Arial" w:hAnsi="Arial"/>
                <w:sz w:val="18"/>
                <w:szCs w:val="18"/>
                <w:color w:val="auto"/>
                <w:w w:val="79"/>
              </w:rPr>
              <w:t>$</w:t>
            </w:r>
          </w:p>
        </w:tc>
        <w:tc>
          <w:tcPr>
            <w:tcW w:w="7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19.90</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960" w:type="dxa"/>
            <w:vAlign w:val="bottom"/>
            <w:vMerge w:val="restart"/>
          </w:tcPr>
          <w:p>
            <w:pPr>
              <w:spacing w:after="0"/>
              <w:rPr>
                <w:sz w:val="20"/>
                <w:szCs w:val="20"/>
                <w:color w:val="auto"/>
              </w:rPr>
            </w:pPr>
            <w:r>
              <w:rPr>
                <w:rFonts w:ascii="Arial" w:cs="Arial" w:eastAsia="Arial" w:hAnsi="Arial"/>
                <w:sz w:val="18"/>
                <w:szCs w:val="18"/>
                <w:color w:val="auto"/>
              </w:rPr>
              <w:t>Options exercisable at December 31, 2020</w:t>
            </w:r>
          </w:p>
        </w:tc>
        <w:tc>
          <w:tcPr>
            <w:tcW w:w="152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8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960" w:type="dxa"/>
            <w:vAlign w:val="bottom"/>
            <w:vMerge w:val="continue"/>
          </w:tcPr>
          <w:p>
            <w:pPr>
              <w:spacing w:after="0"/>
              <w:rPr>
                <w:sz w:val="18"/>
                <w:szCs w:val="18"/>
                <w:color w:val="auto"/>
              </w:rPr>
            </w:pPr>
          </w:p>
        </w:tc>
        <w:tc>
          <w:tcPr>
            <w:tcW w:w="9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1,189,058</w:t>
            </w:r>
          </w:p>
        </w:tc>
        <w:tc>
          <w:tcPr>
            <w:tcW w:w="560" w:type="dxa"/>
            <w:vAlign w:val="bottom"/>
          </w:tcPr>
          <w:p>
            <w:pPr>
              <w:spacing w:after="0"/>
              <w:rPr>
                <w:sz w:val="18"/>
                <w:szCs w:val="18"/>
                <w:color w:val="auto"/>
              </w:rPr>
            </w:pPr>
          </w:p>
        </w:tc>
        <w:tc>
          <w:tcPr>
            <w:tcW w:w="1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22.21</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960" w:type="dxa"/>
            <w:vAlign w:val="bottom"/>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960" w:type="dxa"/>
            <w:vAlign w:val="bottom"/>
            <w:shd w:val="clear" w:color="auto" w:fill="CCEEFF"/>
          </w:tcPr>
          <w:p>
            <w:pPr>
              <w:spacing w:after="0"/>
              <w:rPr>
                <w:sz w:val="20"/>
                <w:szCs w:val="20"/>
                <w:color w:val="auto"/>
              </w:rPr>
            </w:pPr>
            <w:r>
              <w:rPr>
                <w:rFonts w:ascii="Arial" w:cs="Arial" w:eastAsia="Arial" w:hAnsi="Arial"/>
                <w:sz w:val="18"/>
                <w:szCs w:val="18"/>
                <w:color w:val="auto"/>
              </w:rPr>
              <w:t>Options vested and expected to vest at December 31, 2020</w:t>
            </w:r>
          </w:p>
        </w:tc>
        <w:tc>
          <w:tcPr>
            <w:tcW w:w="1520" w:type="dxa"/>
            <w:vAlign w:val="bottom"/>
            <w:gridSpan w:val="2"/>
            <w:shd w:val="clear" w:color="auto" w:fill="CCEEFF"/>
          </w:tcPr>
          <w:p>
            <w:pPr>
              <w:jc w:val="right"/>
              <w:ind w:right="560"/>
              <w:spacing w:after="0"/>
              <w:rPr>
                <w:sz w:val="20"/>
                <w:szCs w:val="20"/>
                <w:color w:val="auto"/>
              </w:rPr>
            </w:pPr>
            <w:r>
              <w:rPr>
                <w:rFonts w:ascii="Arial" w:cs="Arial" w:eastAsia="Arial" w:hAnsi="Arial"/>
                <w:sz w:val="18"/>
                <w:szCs w:val="18"/>
                <w:color w:val="auto"/>
              </w:rPr>
              <w:t>1,510,274</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20.01</w:t>
            </w:r>
          </w:p>
        </w:tc>
        <w:tc>
          <w:tcPr>
            <w:tcW w:w="0" w:type="dxa"/>
            <w:vAlign w:val="bottom"/>
          </w:tcPr>
          <w:p>
            <w:pPr>
              <w:spacing w:after="0"/>
              <w:rPr>
                <w:sz w:val="1"/>
                <w:szCs w:val="1"/>
                <w:color w:val="auto"/>
              </w:rPr>
            </w:pPr>
          </w:p>
        </w:tc>
      </w:tr>
      <w:tr>
        <w:trPr>
          <w:trHeight w:val="20"/>
        </w:trPr>
        <w:tc>
          <w:tcPr>
            <w:tcW w:w="5960" w:type="dxa"/>
            <w:vAlign w:val="bottom"/>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left="4" w:firstLine="440"/>
        <w:spacing w:after="0" w:line="293" w:lineRule="auto"/>
        <w:rPr>
          <w:sz w:val="20"/>
          <w:szCs w:val="20"/>
          <w:color w:val="auto"/>
        </w:rPr>
      </w:pPr>
      <w:r>
        <w:rPr>
          <w:rFonts w:ascii="Arial" w:cs="Arial" w:eastAsia="Arial" w:hAnsi="Arial"/>
          <w:sz w:val="16"/>
          <w:szCs w:val="16"/>
          <w:color w:val="auto"/>
        </w:rPr>
        <w:t>As of December 31, 2020, $1,674 of total compensation cost related to non-vested share option not yet recognized is expected to be recognized over a weighted average period of 2 years. The aggregate intrinsic value of all options exercisable and outstanding, which represents the total pre-tax intrinsic value, based on the Company’s closing common share price of $19.18 per share as of December 31, 2020 was $4,107. The aggregate intrinsic value is calculated as the difference between the exercise prices of the Company’s share options that were in-the-money and the market value of the common shares that would have been issued if those share options were exercised as of December 31, 2020. The aggregate intrinsic value of all options exercised during 2020, 2019 and 2018, based on the closing share price on the date each option was exercised was $710, $4 and $83, respectively.</w:t>
      </w:r>
    </w:p>
    <w:p>
      <w:pPr>
        <w:spacing w:after="0" w:line="97" w:lineRule="exact"/>
        <w:rPr>
          <w:sz w:val="20"/>
          <w:szCs w:val="20"/>
          <w:color w:val="auto"/>
        </w:rPr>
      </w:pPr>
    </w:p>
    <w:p>
      <w:pPr>
        <w:jc w:val="center"/>
        <w:ind w:right="-83"/>
        <w:spacing w:after="0"/>
        <w:rPr>
          <w:sz w:val="20"/>
          <w:szCs w:val="20"/>
          <w:color w:val="auto"/>
        </w:rPr>
      </w:pPr>
      <w:r>
        <w:rPr>
          <w:rFonts w:ascii="Arial" w:cs="Arial" w:eastAsia="Arial" w:hAnsi="Arial"/>
          <w:sz w:val="18"/>
          <w:szCs w:val="18"/>
          <w:color w:val="auto"/>
        </w:rPr>
        <w:t>F-46</w:t>
      </w:r>
    </w:p>
    <w:p>
      <w:pPr>
        <w:sectPr>
          <w:pgSz w:w="11900" w:h="16838" w:orient="portrait"/>
          <w:cols w:equalWidth="0" w:num="1">
            <w:col w:w="10924"/>
          </w:cols>
          <w:pgMar w:left="436" w:top="274" w:right="539" w:bottom="1440" w:gutter="0" w:footer="0" w:header="0"/>
        </w:sectPr>
      </w:pPr>
    </w:p>
    <w:bookmarkStart w:id="160" w:name="page161"/>
    <w:bookmarkEnd w:id="160"/>
    <w:p>
      <w:pPr>
        <w:ind w:left="4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The following table summarizes information about share options exercisable and outstanding at December 31, 2020:</w:t>
      </w:r>
    </w:p>
    <w:p>
      <w:pPr>
        <w:spacing w:after="0" w:line="244" w:lineRule="exact"/>
        <w:rPr>
          <w:sz w:val="20"/>
          <w:szCs w:val="20"/>
          <w:color w:val="auto"/>
        </w:rPr>
      </w:pPr>
    </w:p>
    <w:tbl>
      <w:tblPr>
        <w:tblLayout w:type="fixed"/>
        <w:tblInd w:w="440" w:type="dxa"/>
        <w:tblCellMar>
          <w:top w:w="0" w:type="dxa"/>
          <w:left w:w="0" w:type="dxa"/>
          <w:bottom w:w="0" w:type="dxa"/>
          <w:right w:w="0" w:type="dxa"/>
        </w:tblCellMar>
      </w:tblPr>
      <w:tr>
        <w:trPr>
          <w:trHeight w:val="171"/>
        </w:trPr>
        <w:tc>
          <w:tcPr>
            <w:tcW w:w="4600" w:type="dxa"/>
            <w:vAlign w:val="bottom"/>
          </w:tcPr>
          <w:p>
            <w:pPr>
              <w:spacing w:after="0"/>
              <w:rPr>
                <w:sz w:val="14"/>
                <w:szCs w:val="14"/>
                <w:color w:val="auto"/>
              </w:rPr>
            </w:pPr>
          </w:p>
        </w:tc>
        <w:tc>
          <w:tcPr>
            <w:tcW w:w="3000" w:type="dxa"/>
            <w:vAlign w:val="bottom"/>
            <w:gridSpan w:val="6"/>
          </w:tcPr>
          <w:p>
            <w:pPr>
              <w:jc w:val="right"/>
              <w:ind w:right="1000"/>
              <w:spacing w:after="0"/>
              <w:rPr>
                <w:sz w:val="20"/>
                <w:szCs w:val="20"/>
                <w:color w:val="auto"/>
              </w:rPr>
            </w:pPr>
            <w:r>
              <w:rPr>
                <w:rFonts w:ascii="Arial" w:cs="Arial" w:eastAsia="Arial" w:hAnsi="Arial"/>
                <w:sz w:val="14"/>
                <w:szCs w:val="14"/>
                <w:b w:val="1"/>
                <w:bCs w:val="1"/>
                <w:color w:val="auto"/>
              </w:rPr>
              <w:t>Share options exercisable</w:t>
            </w:r>
          </w:p>
        </w:tc>
        <w:tc>
          <w:tcPr>
            <w:tcW w:w="2520" w:type="dxa"/>
            <w:vAlign w:val="bottom"/>
            <w:gridSpan w:val="6"/>
          </w:tcPr>
          <w:p>
            <w:pPr>
              <w:ind w:left="440"/>
              <w:spacing w:after="0"/>
              <w:rPr>
                <w:sz w:val="20"/>
                <w:szCs w:val="20"/>
                <w:color w:val="auto"/>
              </w:rPr>
            </w:pPr>
            <w:r>
              <w:rPr>
                <w:rFonts w:ascii="Arial" w:cs="Arial" w:eastAsia="Arial" w:hAnsi="Arial"/>
                <w:sz w:val="14"/>
                <w:szCs w:val="14"/>
                <w:b w:val="1"/>
                <w:bCs w:val="1"/>
                <w:color w:val="auto"/>
              </w:rPr>
              <w:t>Share options outstanding</w:t>
            </w:r>
          </w:p>
        </w:tc>
        <w:tc>
          <w:tcPr>
            <w:tcW w:w="0" w:type="dxa"/>
            <w:vAlign w:val="bottom"/>
          </w:tcPr>
          <w:p>
            <w:pPr>
              <w:spacing w:after="0"/>
              <w:rPr>
                <w:sz w:val="1"/>
                <w:szCs w:val="1"/>
                <w:color w:val="auto"/>
              </w:rPr>
            </w:pPr>
          </w:p>
        </w:tc>
      </w:tr>
      <w:tr>
        <w:trPr>
          <w:trHeight w:val="119"/>
        </w:trPr>
        <w:tc>
          <w:tcPr>
            <w:tcW w:w="4600" w:type="dxa"/>
            <w:vAlign w:val="bottom"/>
          </w:tcPr>
          <w:p>
            <w:pPr>
              <w:spacing w:after="0"/>
              <w:rPr>
                <w:sz w:val="10"/>
                <w:szCs w:val="10"/>
                <w:color w:val="auto"/>
              </w:rPr>
            </w:pPr>
          </w:p>
        </w:tc>
        <w:tc>
          <w:tcPr>
            <w:tcW w:w="1080" w:type="dxa"/>
            <w:vAlign w:val="bottom"/>
            <w:tcBorders>
              <w:top w:val="single" w:sz="8" w:color="auto"/>
            </w:tcBorders>
          </w:tcPr>
          <w:p>
            <w:pPr>
              <w:spacing w:after="0"/>
              <w:rPr>
                <w:sz w:val="10"/>
                <w:szCs w:val="10"/>
                <w:color w:val="auto"/>
              </w:rPr>
            </w:pPr>
          </w:p>
        </w:tc>
        <w:tc>
          <w:tcPr>
            <w:tcW w:w="20" w:type="dxa"/>
            <w:vAlign w:val="bottom"/>
            <w:tcBorders>
              <w:top w:val="single" w:sz="8" w:color="auto"/>
            </w:tcBorders>
          </w:tcPr>
          <w:p>
            <w:pPr>
              <w:spacing w:after="0"/>
              <w:rPr>
                <w:sz w:val="10"/>
                <w:szCs w:val="10"/>
                <w:color w:val="auto"/>
              </w:rPr>
            </w:pPr>
          </w:p>
        </w:tc>
        <w:tc>
          <w:tcPr>
            <w:tcW w:w="520" w:type="dxa"/>
            <w:vAlign w:val="bottom"/>
            <w:tcBorders>
              <w:top w:val="single" w:sz="8" w:color="auto"/>
            </w:tcBorders>
          </w:tcPr>
          <w:p>
            <w:pPr>
              <w:spacing w:after="0"/>
              <w:rPr>
                <w:sz w:val="10"/>
                <w:szCs w:val="10"/>
                <w:color w:val="auto"/>
              </w:rPr>
            </w:pPr>
          </w:p>
        </w:tc>
        <w:tc>
          <w:tcPr>
            <w:tcW w:w="120" w:type="dxa"/>
            <w:vAlign w:val="bottom"/>
            <w:tcBorders>
              <w:top w:val="single" w:sz="8" w:color="auto"/>
            </w:tcBorders>
          </w:tcPr>
          <w:p>
            <w:pPr>
              <w:spacing w:after="0"/>
              <w:rPr>
                <w:sz w:val="10"/>
                <w:szCs w:val="10"/>
                <w:color w:val="auto"/>
              </w:rPr>
            </w:pPr>
          </w:p>
        </w:tc>
        <w:tc>
          <w:tcPr>
            <w:tcW w:w="720" w:type="dxa"/>
            <w:vAlign w:val="bottom"/>
            <w:tcBorders>
              <w:top w:val="single" w:sz="8" w:color="auto"/>
            </w:tcBorders>
          </w:tcPr>
          <w:p>
            <w:pPr>
              <w:jc w:val="right"/>
              <w:ind w:right="33"/>
              <w:spacing w:after="0" w:line="119" w:lineRule="exact"/>
              <w:rPr>
                <w:sz w:val="20"/>
                <w:szCs w:val="20"/>
                <w:color w:val="auto"/>
              </w:rPr>
            </w:pPr>
            <w:r>
              <w:rPr>
                <w:rFonts w:ascii="Arial" w:cs="Arial" w:eastAsia="Arial" w:hAnsi="Arial"/>
                <w:sz w:val="13"/>
                <w:szCs w:val="13"/>
                <w:b w:val="1"/>
                <w:bCs w:val="1"/>
                <w:color w:val="auto"/>
                <w:w w:val="99"/>
              </w:rPr>
              <w:t>Weighted</w:t>
            </w:r>
          </w:p>
        </w:tc>
        <w:tc>
          <w:tcPr>
            <w:tcW w:w="540" w:type="dxa"/>
            <w:vAlign w:val="bottom"/>
          </w:tcPr>
          <w:p>
            <w:pPr>
              <w:spacing w:after="0"/>
              <w:rPr>
                <w:sz w:val="10"/>
                <w:szCs w:val="10"/>
                <w:color w:val="auto"/>
              </w:rPr>
            </w:pPr>
          </w:p>
        </w:tc>
        <w:tc>
          <w:tcPr>
            <w:tcW w:w="1100" w:type="dxa"/>
            <w:vAlign w:val="bottom"/>
            <w:tcBorders>
              <w:top w:val="single" w:sz="8" w:color="auto"/>
            </w:tcBorders>
          </w:tcPr>
          <w:p>
            <w:pPr>
              <w:spacing w:after="0"/>
              <w:rPr>
                <w:sz w:val="10"/>
                <w:szCs w:val="10"/>
                <w:color w:val="auto"/>
              </w:rPr>
            </w:pPr>
          </w:p>
        </w:tc>
        <w:tc>
          <w:tcPr>
            <w:tcW w:w="260" w:type="dxa"/>
            <w:vAlign w:val="bottom"/>
            <w:tcBorders>
              <w:top w:val="single" w:sz="8" w:color="auto"/>
            </w:tcBorders>
          </w:tcPr>
          <w:p>
            <w:pPr>
              <w:spacing w:after="0"/>
              <w:rPr>
                <w:sz w:val="10"/>
                <w:szCs w:val="10"/>
                <w:color w:val="auto"/>
              </w:rPr>
            </w:pPr>
          </w:p>
        </w:tc>
        <w:tc>
          <w:tcPr>
            <w:tcW w:w="280" w:type="dxa"/>
            <w:vAlign w:val="bottom"/>
            <w:tcBorders>
              <w:top w:val="single" w:sz="8" w:color="auto"/>
            </w:tcBorders>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740" w:type="dxa"/>
            <w:vAlign w:val="bottom"/>
            <w:tcBorders>
              <w:top w:val="single" w:sz="8" w:color="auto"/>
            </w:tcBorders>
          </w:tcPr>
          <w:p>
            <w:pPr>
              <w:jc w:val="center"/>
              <w:ind w:right="33"/>
              <w:spacing w:after="0" w:line="119" w:lineRule="exact"/>
              <w:rPr>
                <w:sz w:val="20"/>
                <w:szCs w:val="20"/>
                <w:color w:val="auto"/>
              </w:rPr>
            </w:pPr>
            <w:r>
              <w:rPr>
                <w:rFonts w:ascii="Arial" w:cs="Arial" w:eastAsia="Arial" w:hAnsi="Arial"/>
                <w:sz w:val="13"/>
                <w:szCs w:val="13"/>
                <w:b w:val="1"/>
                <w:bCs w:val="1"/>
                <w:color w:val="auto"/>
                <w:w w:val="99"/>
              </w:rPr>
              <w:t>Weighted</w:t>
            </w:r>
          </w:p>
        </w:tc>
        <w:tc>
          <w:tcPr>
            <w:tcW w:w="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8"/>
        </w:trPr>
        <w:tc>
          <w:tcPr>
            <w:tcW w:w="4600" w:type="dxa"/>
            <w:vAlign w:val="bottom"/>
          </w:tcPr>
          <w:p>
            <w:pPr>
              <w:spacing w:after="0"/>
              <w:rPr>
                <w:sz w:val="12"/>
                <w:szCs w:val="12"/>
                <w:color w:val="auto"/>
              </w:rPr>
            </w:pPr>
          </w:p>
        </w:tc>
        <w:tc>
          <w:tcPr>
            <w:tcW w:w="162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Number of shares</w:t>
            </w:r>
          </w:p>
        </w:tc>
        <w:tc>
          <w:tcPr>
            <w:tcW w:w="120" w:type="dxa"/>
            <w:vAlign w:val="bottom"/>
          </w:tcPr>
          <w:p>
            <w:pPr>
              <w:spacing w:after="0"/>
              <w:rPr>
                <w:sz w:val="12"/>
                <w:szCs w:val="12"/>
                <w:color w:val="auto"/>
              </w:rPr>
            </w:pPr>
          </w:p>
        </w:tc>
        <w:tc>
          <w:tcPr>
            <w:tcW w:w="1260" w:type="dxa"/>
            <w:vAlign w:val="bottom"/>
            <w:gridSpan w:val="2"/>
          </w:tcPr>
          <w:p>
            <w:pPr>
              <w:jc w:val="right"/>
              <w:ind w:right="720"/>
              <w:spacing w:after="0" w:line="149" w:lineRule="exact"/>
              <w:rPr>
                <w:sz w:val="20"/>
                <w:szCs w:val="20"/>
                <w:color w:val="auto"/>
              </w:rPr>
            </w:pPr>
            <w:r>
              <w:rPr>
                <w:rFonts w:ascii="Arial" w:cs="Arial" w:eastAsia="Arial" w:hAnsi="Arial"/>
                <w:sz w:val="14"/>
                <w:szCs w:val="14"/>
                <w:b w:val="1"/>
                <w:bCs w:val="1"/>
                <w:color w:val="auto"/>
                <w:w w:val="98"/>
              </w:rPr>
              <w:t>average</w:t>
            </w:r>
          </w:p>
        </w:tc>
        <w:tc>
          <w:tcPr>
            <w:tcW w:w="136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Number of shares</w:t>
            </w:r>
          </w:p>
        </w:tc>
        <w:tc>
          <w:tcPr>
            <w:tcW w:w="2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gridSpan w:val="2"/>
          </w:tcPr>
          <w:p>
            <w:pPr>
              <w:jc w:val="center"/>
              <w:ind w:right="140"/>
              <w:spacing w:after="0" w:line="149" w:lineRule="exact"/>
              <w:rPr>
                <w:sz w:val="20"/>
                <w:szCs w:val="20"/>
                <w:color w:val="auto"/>
              </w:rPr>
            </w:pPr>
            <w:r>
              <w:rPr>
                <w:rFonts w:ascii="Arial" w:cs="Arial" w:eastAsia="Arial" w:hAnsi="Arial"/>
                <w:sz w:val="14"/>
                <w:szCs w:val="14"/>
                <w:b w:val="1"/>
                <w:bCs w:val="1"/>
                <w:color w:val="auto"/>
                <w:w w:val="90"/>
              </w:rPr>
              <w:t>average</w:t>
            </w:r>
          </w:p>
        </w:tc>
        <w:tc>
          <w:tcPr>
            <w:tcW w:w="0" w:type="dxa"/>
            <w:vAlign w:val="bottom"/>
          </w:tcPr>
          <w:p>
            <w:pPr>
              <w:spacing w:after="0"/>
              <w:rPr>
                <w:sz w:val="1"/>
                <w:szCs w:val="1"/>
                <w:color w:val="auto"/>
              </w:rPr>
            </w:pPr>
          </w:p>
        </w:tc>
      </w:tr>
      <w:tr>
        <w:trPr>
          <w:trHeight w:val="171"/>
        </w:trPr>
        <w:tc>
          <w:tcPr>
            <w:tcW w:w="4600" w:type="dxa"/>
            <w:vAlign w:val="bottom"/>
          </w:tcPr>
          <w:p>
            <w:pPr>
              <w:spacing w:after="0"/>
              <w:rPr>
                <w:sz w:val="14"/>
                <w:szCs w:val="14"/>
                <w:color w:val="auto"/>
              </w:rPr>
            </w:pPr>
          </w:p>
        </w:tc>
        <w:tc>
          <w:tcPr>
            <w:tcW w:w="1620" w:type="dxa"/>
            <w:vAlign w:val="bottom"/>
            <w:gridSpan w:val="3"/>
            <w:vMerge w:val="continue"/>
          </w:tcPr>
          <w:p>
            <w:pPr>
              <w:spacing w:after="0"/>
              <w:rPr>
                <w:sz w:val="14"/>
                <w:szCs w:val="14"/>
                <w:color w:val="auto"/>
              </w:rPr>
            </w:pPr>
          </w:p>
        </w:tc>
        <w:tc>
          <w:tcPr>
            <w:tcW w:w="1380" w:type="dxa"/>
            <w:vAlign w:val="bottom"/>
            <w:gridSpan w:val="3"/>
          </w:tcPr>
          <w:p>
            <w:pPr>
              <w:spacing w:after="0"/>
              <w:rPr>
                <w:sz w:val="20"/>
                <w:szCs w:val="20"/>
                <w:color w:val="auto"/>
              </w:rPr>
            </w:pPr>
            <w:r>
              <w:rPr>
                <w:rFonts w:ascii="Arial" w:cs="Arial" w:eastAsia="Arial" w:hAnsi="Arial"/>
                <w:sz w:val="14"/>
                <w:szCs w:val="14"/>
                <w:b w:val="1"/>
                <w:bCs w:val="1"/>
                <w:color w:val="auto"/>
              </w:rPr>
              <w:t>exercise price</w:t>
            </w:r>
          </w:p>
        </w:tc>
        <w:tc>
          <w:tcPr>
            <w:tcW w:w="1360" w:type="dxa"/>
            <w:vAlign w:val="bottom"/>
            <w:gridSpan w:val="2"/>
            <w:vMerge w:val="continue"/>
          </w:tcPr>
          <w:p>
            <w:pPr>
              <w:spacing w:after="0"/>
              <w:rPr>
                <w:sz w:val="14"/>
                <w:szCs w:val="14"/>
                <w:color w:val="auto"/>
              </w:rPr>
            </w:pPr>
          </w:p>
        </w:tc>
        <w:tc>
          <w:tcPr>
            <w:tcW w:w="280" w:type="dxa"/>
            <w:vAlign w:val="bottom"/>
          </w:tcPr>
          <w:p>
            <w:pPr>
              <w:spacing w:after="0"/>
              <w:rPr>
                <w:sz w:val="14"/>
                <w:szCs w:val="14"/>
                <w:color w:val="auto"/>
              </w:rPr>
            </w:pPr>
          </w:p>
        </w:tc>
        <w:tc>
          <w:tcPr>
            <w:tcW w:w="880" w:type="dxa"/>
            <w:vAlign w:val="bottom"/>
            <w:gridSpan w:val="3"/>
          </w:tcPr>
          <w:p>
            <w:pPr>
              <w:spacing w:after="0"/>
              <w:rPr>
                <w:sz w:val="20"/>
                <w:szCs w:val="20"/>
                <w:color w:val="auto"/>
              </w:rPr>
            </w:pPr>
            <w:r>
              <w:rPr>
                <w:rFonts w:ascii="Arial" w:cs="Arial" w:eastAsia="Arial" w:hAnsi="Arial"/>
                <w:sz w:val="14"/>
                <w:szCs w:val="14"/>
                <w:b w:val="1"/>
                <w:bCs w:val="1"/>
                <w:color w:val="auto"/>
                <w:w w:val="92"/>
              </w:rPr>
              <w:t>exercise price</w:t>
            </w:r>
          </w:p>
        </w:tc>
        <w:tc>
          <w:tcPr>
            <w:tcW w:w="0" w:type="dxa"/>
            <w:vAlign w:val="bottom"/>
          </w:tcPr>
          <w:p>
            <w:pPr>
              <w:spacing w:after="0"/>
              <w:rPr>
                <w:sz w:val="1"/>
                <w:szCs w:val="1"/>
                <w:color w:val="auto"/>
              </w:rPr>
            </w:pPr>
          </w:p>
        </w:tc>
      </w:tr>
      <w:tr>
        <w:trPr>
          <w:trHeight w:val="196"/>
        </w:trPr>
        <w:tc>
          <w:tcPr>
            <w:tcW w:w="460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color w:val="auto"/>
              </w:rPr>
              <w:t>Range of per-share exercise prices:</w:t>
            </w:r>
          </w:p>
        </w:tc>
        <w:tc>
          <w:tcPr>
            <w:tcW w:w="1080" w:type="dxa"/>
            <w:vAlign w:val="bottom"/>
            <w:tcBorders>
              <w:top w:val="single" w:sz="8" w:color="auto"/>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52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720" w:type="dxa"/>
            <w:vAlign w:val="bottom"/>
            <w:tcBorders>
              <w:top w:val="single" w:sz="8" w:color="auto"/>
            </w:tcBorders>
            <w:shd w:val="clear" w:color="auto" w:fill="CCEEFF"/>
          </w:tcPr>
          <w:p>
            <w:pPr>
              <w:spacing w:after="0"/>
              <w:rPr>
                <w:sz w:val="17"/>
                <w:szCs w:val="17"/>
                <w:color w:val="auto"/>
              </w:rPr>
            </w:pPr>
          </w:p>
        </w:tc>
        <w:tc>
          <w:tcPr>
            <w:tcW w:w="540" w:type="dxa"/>
            <w:vAlign w:val="bottom"/>
            <w:tcBorders>
              <w:top w:val="single" w:sz="8" w:color="CCEEFF"/>
            </w:tcBorders>
            <w:shd w:val="clear" w:color="auto" w:fill="CCEEFF"/>
          </w:tcPr>
          <w:p>
            <w:pPr>
              <w:spacing w:after="0"/>
              <w:rPr>
                <w:sz w:val="17"/>
                <w:szCs w:val="17"/>
                <w:color w:val="auto"/>
              </w:rPr>
            </w:pPr>
          </w:p>
        </w:tc>
        <w:tc>
          <w:tcPr>
            <w:tcW w:w="1100" w:type="dxa"/>
            <w:vAlign w:val="bottom"/>
            <w:tcBorders>
              <w:top w:val="single" w:sz="8" w:color="auto"/>
            </w:tcBorders>
            <w:shd w:val="clear" w:color="auto" w:fill="CCEEFF"/>
          </w:tcPr>
          <w:p>
            <w:pPr>
              <w:spacing w:after="0"/>
              <w:rPr>
                <w:sz w:val="17"/>
                <w:szCs w:val="17"/>
                <w:color w:val="auto"/>
              </w:rPr>
            </w:pPr>
          </w:p>
        </w:tc>
        <w:tc>
          <w:tcPr>
            <w:tcW w:w="260" w:type="dxa"/>
            <w:vAlign w:val="bottom"/>
            <w:tcBorders>
              <w:top w:val="single" w:sz="8" w:color="CCEEFF"/>
            </w:tcBorders>
            <w:shd w:val="clear" w:color="auto" w:fill="CCEEFF"/>
          </w:tcPr>
          <w:p>
            <w:pPr>
              <w:spacing w:after="0"/>
              <w:rPr>
                <w:sz w:val="17"/>
                <w:szCs w:val="17"/>
                <w:color w:val="auto"/>
              </w:rPr>
            </w:pPr>
          </w:p>
        </w:tc>
        <w:tc>
          <w:tcPr>
            <w:tcW w:w="28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740" w:type="dxa"/>
            <w:vAlign w:val="bottom"/>
            <w:tcBorders>
              <w:top w:val="single" w:sz="8" w:color="auto"/>
            </w:tcBorders>
            <w:shd w:val="clear" w:color="auto" w:fill="CCEEFF"/>
          </w:tcPr>
          <w:p>
            <w:pPr>
              <w:spacing w:after="0"/>
              <w:rPr>
                <w:sz w:val="17"/>
                <w:szCs w:val="17"/>
                <w:color w:val="auto"/>
              </w:rPr>
            </w:pPr>
          </w:p>
        </w:tc>
        <w:tc>
          <w:tcPr>
            <w:tcW w:w="4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4600" w:type="dxa"/>
            <w:vAlign w:val="bottom"/>
          </w:tcPr>
          <w:p>
            <w:pPr>
              <w:spacing w:after="0"/>
              <w:rPr>
                <w:sz w:val="20"/>
                <w:szCs w:val="20"/>
                <w:color w:val="auto"/>
              </w:rPr>
            </w:pPr>
            <w:r>
              <w:rPr>
                <w:rFonts w:ascii="Arial" w:cs="Arial" w:eastAsia="Arial" w:hAnsi="Arial"/>
                <w:sz w:val="18"/>
                <w:szCs w:val="18"/>
                <w:color w:val="auto"/>
              </w:rPr>
              <w:t>$9.13</w:t>
            </w:r>
          </w:p>
        </w:tc>
        <w:tc>
          <w:tcPr>
            <w:tcW w:w="1620" w:type="dxa"/>
            <w:vAlign w:val="bottom"/>
            <w:gridSpan w:val="3"/>
          </w:tcPr>
          <w:p>
            <w:pPr>
              <w:jc w:val="right"/>
              <w:ind w:right="540"/>
              <w:spacing w:after="0"/>
              <w:rPr>
                <w:sz w:val="20"/>
                <w:szCs w:val="20"/>
                <w:color w:val="auto"/>
              </w:rPr>
            </w:pPr>
            <w:r>
              <w:rPr>
                <w:rFonts w:ascii="Arial" w:cs="Arial" w:eastAsia="Arial" w:hAnsi="Arial"/>
                <w:sz w:val="18"/>
                <w:szCs w:val="18"/>
                <w:color w:val="auto"/>
              </w:rPr>
              <w:t>50,067</w:t>
            </w: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1260" w:type="dxa"/>
            <w:vAlign w:val="bottom"/>
            <w:gridSpan w:val="2"/>
          </w:tcPr>
          <w:p>
            <w:pPr>
              <w:jc w:val="right"/>
              <w:ind w:right="540"/>
              <w:spacing w:after="0"/>
              <w:rPr>
                <w:sz w:val="20"/>
                <w:szCs w:val="20"/>
                <w:color w:val="auto"/>
              </w:rPr>
            </w:pPr>
            <w:r>
              <w:rPr>
                <w:rFonts w:ascii="Arial" w:cs="Arial" w:eastAsia="Arial" w:hAnsi="Arial"/>
                <w:sz w:val="18"/>
                <w:szCs w:val="18"/>
                <w:color w:val="auto"/>
              </w:rPr>
              <w:t>9.13</w:t>
            </w:r>
          </w:p>
        </w:tc>
        <w:tc>
          <w:tcPr>
            <w:tcW w:w="1360" w:type="dxa"/>
            <w:vAlign w:val="bottom"/>
            <w:gridSpan w:val="2"/>
          </w:tcPr>
          <w:p>
            <w:pPr>
              <w:jc w:val="right"/>
              <w:ind w:right="260"/>
              <w:spacing w:after="0"/>
              <w:rPr>
                <w:sz w:val="20"/>
                <w:szCs w:val="20"/>
                <w:color w:val="auto"/>
              </w:rPr>
            </w:pPr>
            <w:r>
              <w:rPr>
                <w:rFonts w:ascii="Arial" w:cs="Arial" w:eastAsia="Arial" w:hAnsi="Arial"/>
                <w:sz w:val="18"/>
                <w:szCs w:val="18"/>
                <w:color w:val="auto"/>
              </w:rPr>
              <w:t>226,874</w:t>
            </w:r>
          </w:p>
        </w:tc>
        <w:tc>
          <w:tcPr>
            <w:tcW w:w="380" w:type="dxa"/>
            <w:vAlign w:val="bottom"/>
            <w:gridSpan w:val="2"/>
          </w:tcPr>
          <w:p>
            <w:pPr>
              <w:ind w:left="280"/>
              <w:spacing w:after="0"/>
              <w:rPr>
                <w:sz w:val="20"/>
                <w:szCs w:val="20"/>
                <w:color w:val="auto"/>
              </w:rPr>
            </w:pPr>
            <w:r>
              <w:rPr>
                <w:rFonts w:ascii="Arial" w:cs="Arial" w:eastAsia="Arial" w:hAnsi="Arial"/>
                <w:sz w:val="18"/>
                <w:szCs w:val="18"/>
                <w:color w:val="auto"/>
                <w:w w:val="79"/>
              </w:rPr>
              <w:t>$</w:t>
            </w:r>
          </w:p>
        </w:tc>
        <w:tc>
          <w:tcPr>
            <w:tcW w:w="780" w:type="dxa"/>
            <w:vAlign w:val="bottom"/>
            <w:gridSpan w:val="2"/>
          </w:tcPr>
          <w:p>
            <w:pPr>
              <w:jc w:val="right"/>
              <w:ind w:right="40"/>
              <w:spacing w:after="0"/>
              <w:rPr>
                <w:sz w:val="20"/>
                <w:szCs w:val="20"/>
                <w:color w:val="auto"/>
              </w:rPr>
            </w:pPr>
            <w:r>
              <w:rPr>
                <w:rFonts w:ascii="Arial" w:cs="Arial" w:eastAsia="Arial" w:hAnsi="Arial"/>
                <w:sz w:val="18"/>
                <w:szCs w:val="18"/>
                <w:color w:val="auto"/>
              </w:rPr>
              <w:t>9.13</w:t>
            </w:r>
          </w:p>
        </w:tc>
        <w:tc>
          <w:tcPr>
            <w:tcW w:w="0" w:type="dxa"/>
            <w:vAlign w:val="bottom"/>
          </w:tcPr>
          <w:p>
            <w:pPr>
              <w:spacing w:after="0"/>
              <w:rPr>
                <w:sz w:val="1"/>
                <w:szCs w:val="1"/>
                <w:color w:val="auto"/>
              </w:rPr>
            </w:pPr>
          </w:p>
        </w:tc>
      </w:tr>
      <w:tr>
        <w:trPr>
          <w:trHeight w:val="216"/>
        </w:trPr>
        <w:tc>
          <w:tcPr>
            <w:tcW w:w="4600" w:type="dxa"/>
            <w:vAlign w:val="bottom"/>
            <w:shd w:val="clear" w:color="auto" w:fill="CCEEFF"/>
          </w:tcPr>
          <w:p>
            <w:pPr>
              <w:spacing w:after="0"/>
              <w:rPr>
                <w:sz w:val="20"/>
                <w:szCs w:val="20"/>
                <w:color w:val="auto"/>
              </w:rPr>
            </w:pPr>
            <w:r>
              <w:rPr>
                <w:rFonts w:ascii="Arial" w:cs="Arial" w:eastAsia="Arial" w:hAnsi="Arial"/>
                <w:sz w:val="18"/>
                <w:szCs w:val="18"/>
                <w:color w:val="auto"/>
              </w:rPr>
              <w:t>$9.46</w:t>
            </w:r>
          </w:p>
        </w:tc>
        <w:tc>
          <w:tcPr>
            <w:tcW w:w="11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2,500</w:t>
            </w:r>
          </w:p>
        </w:tc>
        <w:tc>
          <w:tcPr>
            <w:tcW w:w="5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20"/>
                <w:szCs w:val="20"/>
                <w:color w:val="auto"/>
              </w:rPr>
            </w:pPr>
            <w:r>
              <w:rPr>
                <w:rFonts w:ascii="Arial" w:cs="Arial" w:eastAsia="Arial" w:hAnsi="Arial"/>
                <w:sz w:val="18"/>
                <w:szCs w:val="18"/>
                <w:color w:val="auto"/>
                <w:w w:val="99"/>
              </w:rPr>
              <w:t>$</w:t>
            </w:r>
          </w:p>
        </w:tc>
        <w:tc>
          <w:tcPr>
            <w:tcW w:w="126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9.46</w:t>
            </w:r>
          </w:p>
        </w:tc>
        <w:tc>
          <w:tcPr>
            <w:tcW w:w="13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5,000</w:t>
            </w:r>
          </w:p>
        </w:tc>
        <w:tc>
          <w:tcPr>
            <w:tcW w:w="3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9.46</w:t>
            </w:r>
          </w:p>
        </w:tc>
        <w:tc>
          <w:tcPr>
            <w:tcW w:w="0" w:type="dxa"/>
            <w:vAlign w:val="bottom"/>
          </w:tcPr>
          <w:p>
            <w:pPr>
              <w:spacing w:after="0"/>
              <w:rPr>
                <w:sz w:val="1"/>
                <w:szCs w:val="1"/>
                <w:color w:val="auto"/>
              </w:rPr>
            </w:pPr>
          </w:p>
        </w:tc>
      </w:tr>
      <w:tr>
        <w:trPr>
          <w:trHeight w:val="216"/>
        </w:trPr>
        <w:tc>
          <w:tcPr>
            <w:tcW w:w="4600" w:type="dxa"/>
            <w:vAlign w:val="bottom"/>
          </w:tcPr>
          <w:p>
            <w:pPr>
              <w:spacing w:after="0"/>
              <w:rPr>
                <w:sz w:val="20"/>
                <w:szCs w:val="20"/>
                <w:color w:val="auto"/>
              </w:rPr>
            </w:pPr>
            <w:r>
              <w:rPr>
                <w:rFonts w:ascii="Arial" w:cs="Arial" w:eastAsia="Arial" w:hAnsi="Arial"/>
                <w:sz w:val="18"/>
                <w:szCs w:val="18"/>
                <w:color w:val="auto"/>
              </w:rPr>
              <w:t>$9.70</w:t>
            </w:r>
          </w:p>
        </w:tc>
        <w:tc>
          <w:tcPr>
            <w:tcW w:w="1100" w:type="dxa"/>
            <w:vAlign w:val="bottom"/>
            <w:gridSpan w:val="2"/>
          </w:tcPr>
          <w:p>
            <w:pPr>
              <w:jc w:val="right"/>
              <w:ind w:right="20"/>
              <w:spacing w:after="0"/>
              <w:rPr>
                <w:sz w:val="20"/>
                <w:szCs w:val="20"/>
                <w:color w:val="auto"/>
              </w:rPr>
            </w:pPr>
            <w:r>
              <w:rPr>
                <w:rFonts w:ascii="Arial" w:cs="Arial" w:eastAsia="Arial" w:hAnsi="Arial"/>
                <w:sz w:val="18"/>
                <w:szCs w:val="18"/>
                <w:color w:val="auto"/>
              </w:rPr>
              <w:t>210,359</w:t>
            </w:r>
          </w:p>
        </w:tc>
        <w:tc>
          <w:tcPr>
            <w:tcW w:w="520" w:type="dxa"/>
            <w:vAlign w:val="bottom"/>
          </w:tcPr>
          <w:p>
            <w:pPr>
              <w:spacing w:after="0"/>
              <w:rPr>
                <w:sz w:val="18"/>
                <w:szCs w:val="18"/>
                <w:color w:val="auto"/>
              </w:rPr>
            </w:pP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1260" w:type="dxa"/>
            <w:vAlign w:val="bottom"/>
            <w:gridSpan w:val="2"/>
          </w:tcPr>
          <w:p>
            <w:pPr>
              <w:jc w:val="right"/>
              <w:ind w:right="540"/>
              <w:spacing w:after="0"/>
              <w:rPr>
                <w:sz w:val="20"/>
                <w:szCs w:val="20"/>
                <w:color w:val="auto"/>
              </w:rPr>
            </w:pPr>
            <w:r>
              <w:rPr>
                <w:rFonts w:ascii="Arial" w:cs="Arial" w:eastAsia="Arial" w:hAnsi="Arial"/>
                <w:sz w:val="18"/>
                <w:szCs w:val="18"/>
                <w:color w:val="auto"/>
              </w:rPr>
              <w:t>9.70</w:t>
            </w:r>
          </w:p>
        </w:tc>
        <w:tc>
          <w:tcPr>
            <w:tcW w:w="1360" w:type="dxa"/>
            <w:vAlign w:val="bottom"/>
            <w:gridSpan w:val="2"/>
          </w:tcPr>
          <w:p>
            <w:pPr>
              <w:jc w:val="right"/>
              <w:ind w:right="260"/>
              <w:spacing w:after="0"/>
              <w:rPr>
                <w:sz w:val="20"/>
                <w:szCs w:val="20"/>
                <w:color w:val="auto"/>
              </w:rPr>
            </w:pPr>
            <w:r>
              <w:rPr>
                <w:rFonts w:ascii="Arial" w:cs="Arial" w:eastAsia="Arial" w:hAnsi="Arial"/>
                <w:sz w:val="18"/>
                <w:szCs w:val="18"/>
                <w:color w:val="auto"/>
              </w:rPr>
              <w:t>210,359</w:t>
            </w:r>
          </w:p>
        </w:tc>
        <w:tc>
          <w:tcPr>
            <w:tcW w:w="380" w:type="dxa"/>
            <w:vAlign w:val="bottom"/>
            <w:gridSpan w:val="2"/>
          </w:tcPr>
          <w:p>
            <w:pPr>
              <w:ind w:left="280"/>
              <w:spacing w:after="0"/>
              <w:rPr>
                <w:sz w:val="20"/>
                <w:szCs w:val="20"/>
                <w:color w:val="auto"/>
              </w:rPr>
            </w:pPr>
            <w:r>
              <w:rPr>
                <w:rFonts w:ascii="Arial" w:cs="Arial" w:eastAsia="Arial" w:hAnsi="Arial"/>
                <w:sz w:val="18"/>
                <w:szCs w:val="18"/>
                <w:color w:val="auto"/>
                <w:w w:val="79"/>
              </w:rPr>
              <w:t>$</w:t>
            </w:r>
          </w:p>
        </w:tc>
        <w:tc>
          <w:tcPr>
            <w:tcW w:w="780" w:type="dxa"/>
            <w:vAlign w:val="bottom"/>
            <w:gridSpan w:val="2"/>
          </w:tcPr>
          <w:p>
            <w:pPr>
              <w:jc w:val="right"/>
              <w:ind w:right="40"/>
              <w:spacing w:after="0"/>
              <w:rPr>
                <w:sz w:val="20"/>
                <w:szCs w:val="20"/>
                <w:color w:val="auto"/>
              </w:rPr>
            </w:pPr>
            <w:r>
              <w:rPr>
                <w:rFonts w:ascii="Arial" w:cs="Arial" w:eastAsia="Arial" w:hAnsi="Arial"/>
                <w:sz w:val="18"/>
                <w:szCs w:val="18"/>
                <w:color w:val="auto"/>
              </w:rPr>
              <w:t>9.70</w:t>
            </w:r>
          </w:p>
        </w:tc>
        <w:tc>
          <w:tcPr>
            <w:tcW w:w="0" w:type="dxa"/>
            <w:vAlign w:val="bottom"/>
          </w:tcPr>
          <w:p>
            <w:pPr>
              <w:spacing w:after="0"/>
              <w:rPr>
                <w:sz w:val="1"/>
                <w:szCs w:val="1"/>
                <w:color w:val="auto"/>
              </w:rPr>
            </w:pPr>
          </w:p>
        </w:tc>
      </w:tr>
      <w:tr>
        <w:trPr>
          <w:trHeight w:val="216"/>
        </w:trPr>
        <w:tc>
          <w:tcPr>
            <w:tcW w:w="4600" w:type="dxa"/>
            <w:vAlign w:val="bottom"/>
            <w:shd w:val="clear" w:color="auto" w:fill="CCEEFF"/>
          </w:tcPr>
          <w:p>
            <w:pPr>
              <w:spacing w:after="0"/>
              <w:rPr>
                <w:sz w:val="20"/>
                <w:szCs w:val="20"/>
                <w:color w:val="auto"/>
              </w:rPr>
            </w:pPr>
            <w:r>
              <w:rPr>
                <w:rFonts w:ascii="Arial" w:cs="Arial" w:eastAsia="Arial" w:hAnsi="Arial"/>
                <w:sz w:val="18"/>
                <w:szCs w:val="18"/>
                <w:color w:val="auto"/>
              </w:rPr>
              <w:t>$9.75</w:t>
            </w:r>
          </w:p>
        </w:tc>
        <w:tc>
          <w:tcPr>
            <w:tcW w:w="11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2,813</w:t>
            </w:r>
          </w:p>
        </w:tc>
        <w:tc>
          <w:tcPr>
            <w:tcW w:w="5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20"/>
                <w:szCs w:val="20"/>
                <w:color w:val="auto"/>
              </w:rPr>
            </w:pPr>
            <w:r>
              <w:rPr>
                <w:rFonts w:ascii="Arial" w:cs="Arial" w:eastAsia="Arial" w:hAnsi="Arial"/>
                <w:sz w:val="18"/>
                <w:szCs w:val="18"/>
                <w:color w:val="auto"/>
                <w:w w:val="99"/>
              </w:rPr>
              <w:t>$</w:t>
            </w:r>
          </w:p>
        </w:tc>
        <w:tc>
          <w:tcPr>
            <w:tcW w:w="126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9.75</w:t>
            </w:r>
          </w:p>
        </w:tc>
        <w:tc>
          <w:tcPr>
            <w:tcW w:w="13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3,750</w:t>
            </w:r>
          </w:p>
        </w:tc>
        <w:tc>
          <w:tcPr>
            <w:tcW w:w="3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9.75</w:t>
            </w:r>
          </w:p>
        </w:tc>
        <w:tc>
          <w:tcPr>
            <w:tcW w:w="0" w:type="dxa"/>
            <w:vAlign w:val="bottom"/>
          </w:tcPr>
          <w:p>
            <w:pPr>
              <w:spacing w:after="0"/>
              <w:rPr>
                <w:sz w:val="1"/>
                <w:szCs w:val="1"/>
                <w:color w:val="auto"/>
              </w:rPr>
            </w:pPr>
          </w:p>
        </w:tc>
      </w:tr>
      <w:tr>
        <w:trPr>
          <w:trHeight w:val="216"/>
        </w:trPr>
        <w:tc>
          <w:tcPr>
            <w:tcW w:w="4600" w:type="dxa"/>
            <w:vAlign w:val="bottom"/>
          </w:tcPr>
          <w:p>
            <w:pPr>
              <w:spacing w:after="0"/>
              <w:rPr>
                <w:sz w:val="20"/>
                <w:szCs w:val="20"/>
                <w:color w:val="auto"/>
              </w:rPr>
            </w:pPr>
            <w:r>
              <w:rPr>
                <w:rFonts w:ascii="Arial" w:cs="Arial" w:eastAsia="Arial" w:hAnsi="Arial"/>
                <w:sz w:val="18"/>
                <w:szCs w:val="18"/>
                <w:color w:val="auto"/>
              </w:rPr>
              <w:t>$11.15</w:t>
            </w:r>
          </w:p>
        </w:tc>
        <w:tc>
          <w:tcPr>
            <w:tcW w:w="1620" w:type="dxa"/>
            <w:vAlign w:val="bottom"/>
            <w:gridSpan w:val="3"/>
          </w:tcPr>
          <w:p>
            <w:pPr>
              <w:jc w:val="right"/>
              <w:ind w:right="540"/>
              <w:spacing w:after="0"/>
              <w:rPr>
                <w:sz w:val="20"/>
                <w:szCs w:val="20"/>
                <w:color w:val="auto"/>
              </w:rPr>
            </w:pPr>
            <w:r>
              <w:rPr>
                <w:rFonts w:ascii="Arial" w:cs="Arial" w:eastAsia="Arial" w:hAnsi="Arial"/>
                <w:sz w:val="18"/>
                <w:szCs w:val="18"/>
                <w:color w:val="auto"/>
              </w:rPr>
              <w:t>92,946</w:t>
            </w: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1260" w:type="dxa"/>
            <w:vAlign w:val="bottom"/>
            <w:gridSpan w:val="2"/>
          </w:tcPr>
          <w:p>
            <w:pPr>
              <w:jc w:val="right"/>
              <w:ind w:right="540"/>
              <w:spacing w:after="0"/>
              <w:rPr>
                <w:sz w:val="20"/>
                <w:szCs w:val="20"/>
                <w:color w:val="auto"/>
              </w:rPr>
            </w:pPr>
            <w:r>
              <w:rPr>
                <w:rFonts w:ascii="Arial" w:cs="Arial" w:eastAsia="Arial" w:hAnsi="Arial"/>
                <w:sz w:val="18"/>
                <w:szCs w:val="18"/>
                <w:color w:val="auto"/>
              </w:rPr>
              <w:t>11.15</w:t>
            </w:r>
          </w:p>
        </w:tc>
        <w:tc>
          <w:tcPr>
            <w:tcW w:w="1360" w:type="dxa"/>
            <w:vAlign w:val="bottom"/>
            <w:gridSpan w:val="2"/>
          </w:tcPr>
          <w:p>
            <w:pPr>
              <w:jc w:val="right"/>
              <w:ind w:right="260"/>
              <w:spacing w:after="0"/>
              <w:rPr>
                <w:sz w:val="20"/>
                <w:szCs w:val="20"/>
                <w:color w:val="auto"/>
              </w:rPr>
            </w:pPr>
            <w:r>
              <w:rPr>
                <w:rFonts w:ascii="Arial" w:cs="Arial" w:eastAsia="Arial" w:hAnsi="Arial"/>
                <w:sz w:val="18"/>
                <w:szCs w:val="18"/>
                <w:color w:val="auto"/>
              </w:rPr>
              <w:t>202,560</w:t>
            </w:r>
          </w:p>
        </w:tc>
        <w:tc>
          <w:tcPr>
            <w:tcW w:w="380" w:type="dxa"/>
            <w:vAlign w:val="bottom"/>
            <w:gridSpan w:val="2"/>
          </w:tcPr>
          <w:p>
            <w:pPr>
              <w:ind w:left="280"/>
              <w:spacing w:after="0"/>
              <w:rPr>
                <w:sz w:val="20"/>
                <w:szCs w:val="20"/>
                <w:color w:val="auto"/>
              </w:rPr>
            </w:pPr>
            <w:r>
              <w:rPr>
                <w:rFonts w:ascii="Arial" w:cs="Arial" w:eastAsia="Arial" w:hAnsi="Arial"/>
                <w:sz w:val="18"/>
                <w:szCs w:val="18"/>
                <w:color w:val="auto"/>
                <w:w w:val="79"/>
              </w:rPr>
              <w:t>$</w:t>
            </w:r>
          </w:p>
        </w:tc>
        <w:tc>
          <w:tcPr>
            <w:tcW w:w="780" w:type="dxa"/>
            <w:vAlign w:val="bottom"/>
            <w:gridSpan w:val="2"/>
          </w:tcPr>
          <w:p>
            <w:pPr>
              <w:jc w:val="right"/>
              <w:ind w:right="40"/>
              <w:spacing w:after="0"/>
              <w:rPr>
                <w:sz w:val="20"/>
                <w:szCs w:val="20"/>
                <w:color w:val="auto"/>
              </w:rPr>
            </w:pPr>
            <w:r>
              <w:rPr>
                <w:rFonts w:ascii="Arial" w:cs="Arial" w:eastAsia="Arial" w:hAnsi="Arial"/>
                <w:sz w:val="18"/>
                <w:szCs w:val="18"/>
                <w:color w:val="auto"/>
              </w:rPr>
              <w:t>11.15</w:t>
            </w:r>
          </w:p>
        </w:tc>
        <w:tc>
          <w:tcPr>
            <w:tcW w:w="0" w:type="dxa"/>
            <w:vAlign w:val="bottom"/>
          </w:tcPr>
          <w:p>
            <w:pPr>
              <w:spacing w:after="0"/>
              <w:rPr>
                <w:sz w:val="1"/>
                <w:szCs w:val="1"/>
                <w:color w:val="auto"/>
              </w:rPr>
            </w:pPr>
          </w:p>
        </w:tc>
      </w:tr>
      <w:tr>
        <w:trPr>
          <w:trHeight w:val="216"/>
        </w:trPr>
        <w:tc>
          <w:tcPr>
            <w:tcW w:w="4600" w:type="dxa"/>
            <w:vAlign w:val="bottom"/>
            <w:shd w:val="clear" w:color="auto" w:fill="CCEEFF"/>
          </w:tcPr>
          <w:p>
            <w:pPr>
              <w:spacing w:after="0"/>
              <w:rPr>
                <w:sz w:val="20"/>
                <w:szCs w:val="20"/>
                <w:color w:val="auto"/>
              </w:rPr>
            </w:pPr>
            <w:r>
              <w:rPr>
                <w:rFonts w:ascii="Arial" w:cs="Arial" w:eastAsia="Arial" w:hAnsi="Arial"/>
                <w:sz w:val="18"/>
                <w:szCs w:val="18"/>
                <w:color w:val="auto"/>
              </w:rPr>
              <w:t>$12.23 - $14.17</w:t>
            </w:r>
          </w:p>
        </w:tc>
        <w:tc>
          <w:tcPr>
            <w:tcW w:w="11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158,254</w:t>
            </w:r>
          </w:p>
        </w:tc>
        <w:tc>
          <w:tcPr>
            <w:tcW w:w="5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20"/>
                <w:szCs w:val="20"/>
                <w:color w:val="auto"/>
              </w:rPr>
            </w:pPr>
            <w:r>
              <w:rPr>
                <w:rFonts w:ascii="Arial" w:cs="Arial" w:eastAsia="Arial" w:hAnsi="Arial"/>
                <w:sz w:val="18"/>
                <w:szCs w:val="18"/>
                <w:color w:val="auto"/>
                <w:w w:val="99"/>
              </w:rPr>
              <w:t>$</w:t>
            </w:r>
          </w:p>
        </w:tc>
        <w:tc>
          <w:tcPr>
            <w:tcW w:w="126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14.05</w:t>
            </w:r>
          </w:p>
        </w:tc>
        <w:tc>
          <w:tcPr>
            <w:tcW w:w="13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158,254</w:t>
            </w:r>
          </w:p>
        </w:tc>
        <w:tc>
          <w:tcPr>
            <w:tcW w:w="3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14.05</w:t>
            </w:r>
          </w:p>
        </w:tc>
        <w:tc>
          <w:tcPr>
            <w:tcW w:w="0" w:type="dxa"/>
            <w:vAlign w:val="bottom"/>
          </w:tcPr>
          <w:p>
            <w:pPr>
              <w:spacing w:after="0"/>
              <w:rPr>
                <w:sz w:val="1"/>
                <w:szCs w:val="1"/>
                <w:color w:val="auto"/>
              </w:rPr>
            </w:pPr>
          </w:p>
        </w:tc>
      </w:tr>
      <w:tr>
        <w:trPr>
          <w:trHeight w:val="216"/>
        </w:trPr>
        <w:tc>
          <w:tcPr>
            <w:tcW w:w="4600" w:type="dxa"/>
            <w:vAlign w:val="bottom"/>
          </w:tcPr>
          <w:p>
            <w:pPr>
              <w:spacing w:after="0"/>
              <w:rPr>
                <w:sz w:val="20"/>
                <w:szCs w:val="20"/>
                <w:color w:val="auto"/>
              </w:rPr>
            </w:pPr>
            <w:r>
              <w:rPr>
                <w:rFonts w:ascii="Arial" w:cs="Arial" w:eastAsia="Arial" w:hAnsi="Arial"/>
                <w:sz w:val="18"/>
                <w:szCs w:val="18"/>
                <w:color w:val="auto"/>
              </w:rPr>
              <w:t>$22.95</w:t>
            </w:r>
          </w:p>
        </w:tc>
        <w:tc>
          <w:tcPr>
            <w:tcW w:w="1100" w:type="dxa"/>
            <w:vAlign w:val="bottom"/>
            <w:gridSpan w:val="2"/>
          </w:tcPr>
          <w:p>
            <w:pPr>
              <w:jc w:val="right"/>
              <w:ind w:right="20"/>
              <w:spacing w:after="0"/>
              <w:rPr>
                <w:sz w:val="20"/>
                <w:szCs w:val="20"/>
                <w:color w:val="auto"/>
              </w:rPr>
            </w:pPr>
            <w:r>
              <w:rPr>
                <w:rFonts w:ascii="Arial" w:cs="Arial" w:eastAsia="Arial" w:hAnsi="Arial"/>
                <w:sz w:val="18"/>
                <w:szCs w:val="18"/>
                <w:color w:val="auto"/>
              </w:rPr>
              <w:t>150,391</w:t>
            </w:r>
          </w:p>
        </w:tc>
        <w:tc>
          <w:tcPr>
            <w:tcW w:w="520" w:type="dxa"/>
            <w:vAlign w:val="bottom"/>
          </w:tcPr>
          <w:p>
            <w:pPr>
              <w:spacing w:after="0"/>
              <w:rPr>
                <w:sz w:val="18"/>
                <w:szCs w:val="18"/>
                <w:color w:val="auto"/>
              </w:rPr>
            </w:pP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1260" w:type="dxa"/>
            <w:vAlign w:val="bottom"/>
            <w:gridSpan w:val="2"/>
          </w:tcPr>
          <w:p>
            <w:pPr>
              <w:jc w:val="right"/>
              <w:ind w:right="540"/>
              <w:spacing w:after="0"/>
              <w:rPr>
                <w:sz w:val="20"/>
                <w:szCs w:val="20"/>
                <w:color w:val="auto"/>
              </w:rPr>
            </w:pPr>
            <w:r>
              <w:rPr>
                <w:rFonts w:ascii="Arial" w:cs="Arial" w:eastAsia="Arial" w:hAnsi="Arial"/>
                <w:sz w:val="18"/>
                <w:szCs w:val="18"/>
                <w:color w:val="auto"/>
              </w:rPr>
              <w:t>22.95</w:t>
            </w:r>
          </w:p>
        </w:tc>
        <w:tc>
          <w:tcPr>
            <w:tcW w:w="1360" w:type="dxa"/>
            <w:vAlign w:val="bottom"/>
            <w:gridSpan w:val="2"/>
          </w:tcPr>
          <w:p>
            <w:pPr>
              <w:jc w:val="right"/>
              <w:ind w:right="260"/>
              <w:spacing w:after="0"/>
              <w:rPr>
                <w:sz w:val="20"/>
                <w:szCs w:val="20"/>
                <w:color w:val="auto"/>
              </w:rPr>
            </w:pPr>
            <w:r>
              <w:rPr>
                <w:rFonts w:ascii="Arial" w:cs="Arial" w:eastAsia="Arial" w:hAnsi="Arial"/>
                <w:sz w:val="18"/>
                <w:szCs w:val="18"/>
                <w:color w:val="auto"/>
              </w:rPr>
              <w:t>200,501</w:t>
            </w:r>
          </w:p>
        </w:tc>
        <w:tc>
          <w:tcPr>
            <w:tcW w:w="380" w:type="dxa"/>
            <w:vAlign w:val="bottom"/>
            <w:gridSpan w:val="2"/>
          </w:tcPr>
          <w:p>
            <w:pPr>
              <w:ind w:left="280"/>
              <w:spacing w:after="0"/>
              <w:rPr>
                <w:sz w:val="20"/>
                <w:szCs w:val="20"/>
                <w:color w:val="auto"/>
              </w:rPr>
            </w:pPr>
            <w:r>
              <w:rPr>
                <w:rFonts w:ascii="Arial" w:cs="Arial" w:eastAsia="Arial" w:hAnsi="Arial"/>
                <w:sz w:val="18"/>
                <w:szCs w:val="18"/>
                <w:color w:val="auto"/>
                <w:w w:val="79"/>
              </w:rPr>
              <w:t>$</w:t>
            </w:r>
          </w:p>
        </w:tc>
        <w:tc>
          <w:tcPr>
            <w:tcW w:w="780" w:type="dxa"/>
            <w:vAlign w:val="bottom"/>
            <w:gridSpan w:val="2"/>
          </w:tcPr>
          <w:p>
            <w:pPr>
              <w:jc w:val="right"/>
              <w:ind w:right="40"/>
              <w:spacing w:after="0"/>
              <w:rPr>
                <w:sz w:val="20"/>
                <w:szCs w:val="20"/>
                <w:color w:val="auto"/>
              </w:rPr>
            </w:pPr>
            <w:r>
              <w:rPr>
                <w:rFonts w:ascii="Arial" w:cs="Arial" w:eastAsia="Arial" w:hAnsi="Arial"/>
                <w:sz w:val="18"/>
                <w:szCs w:val="18"/>
                <w:color w:val="auto"/>
              </w:rPr>
              <w:t>22.95</w:t>
            </w:r>
          </w:p>
        </w:tc>
        <w:tc>
          <w:tcPr>
            <w:tcW w:w="0" w:type="dxa"/>
            <w:vAlign w:val="bottom"/>
          </w:tcPr>
          <w:p>
            <w:pPr>
              <w:spacing w:after="0"/>
              <w:rPr>
                <w:sz w:val="1"/>
                <w:szCs w:val="1"/>
                <w:color w:val="auto"/>
              </w:rPr>
            </w:pPr>
          </w:p>
        </w:tc>
      </w:tr>
      <w:tr>
        <w:trPr>
          <w:trHeight w:val="216"/>
        </w:trPr>
        <w:tc>
          <w:tcPr>
            <w:tcW w:w="4600" w:type="dxa"/>
            <w:vAlign w:val="bottom"/>
            <w:shd w:val="clear" w:color="auto" w:fill="CCEEFF"/>
          </w:tcPr>
          <w:p>
            <w:pPr>
              <w:spacing w:after="0"/>
              <w:rPr>
                <w:sz w:val="20"/>
                <w:szCs w:val="20"/>
                <w:color w:val="auto"/>
              </w:rPr>
            </w:pPr>
            <w:r>
              <w:rPr>
                <w:rFonts w:ascii="Arial" w:cs="Arial" w:eastAsia="Arial" w:hAnsi="Arial"/>
                <w:sz w:val="18"/>
                <w:szCs w:val="18"/>
                <w:color w:val="auto"/>
              </w:rPr>
              <w:t>$28.05 - $28.54</w:t>
            </w:r>
          </w:p>
        </w:tc>
        <w:tc>
          <w:tcPr>
            <w:tcW w:w="11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215,514</w:t>
            </w:r>
          </w:p>
        </w:tc>
        <w:tc>
          <w:tcPr>
            <w:tcW w:w="5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20"/>
                <w:szCs w:val="20"/>
                <w:color w:val="auto"/>
              </w:rPr>
            </w:pPr>
            <w:r>
              <w:rPr>
                <w:rFonts w:ascii="Arial" w:cs="Arial" w:eastAsia="Arial" w:hAnsi="Arial"/>
                <w:sz w:val="18"/>
                <w:szCs w:val="18"/>
                <w:color w:val="auto"/>
                <w:w w:val="99"/>
              </w:rPr>
              <w:t>$</w:t>
            </w:r>
          </w:p>
        </w:tc>
        <w:tc>
          <w:tcPr>
            <w:tcW w:w="126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28.27</w:t>
            </w:r>
          </w:p>
        </w:tc>
        <w:tc>
          <w:tcPr>
            <w:tcW w:w="13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215,514</w:t>
            </w:r>
          </w:p>
        </w:tc>
        <w:tc>
          <w:tcPr>
            <w:tcW w:w="3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28.27</w:t>
            </w:r>
          </w:p>
        </w:tc>
        <w:tc>
          <w:tcPr>
            <w:tcW w:w="0" w:type="dxa"/>
            <w:vAlign w:val="bottom"/>
          </w:tcPr>
          <w:p>
            <w:pPr>
              <w:spacing w:after="0"/>
              <w:rPr>
                <w:sz w:val="1"/>
                <w:szCs w:val="1"/>
                <w:color w:val="auto"/>
              </w:rPr>
            </w:pPr>
          </w:p>
        </w:tc>
      </w:tr>
      <w:tr>
        <w:trPr>
          <w:trHeight w:val="216"/>
        </w:trPr>
        <w:tc>
          <w:tcPr>
            <w:tcW w:w="4600" w:type="dxa"/>
            <w:vAlign w:val="bottom"/>
          </w:tcPr>
          <w:p>
            <w:pPr>
              <w:spacing w:after="0"/>
              <w:rPr>
                <w:sz w:val="20"/>
                <w:szCs w:val="20"/>
                <w:color w:val="auto"/>
              </w:rPr>
            </w:pPr>
            <w:r>
              <w:rPr>
                <w:rFonts w:ascii="Arial" w:cs="Arial" w:eastAsia="Arial" w:hAnsi="Arial"/>
                <w:sz w:val="18"/>
                <w:szCs w:val="18"/>
                <w:color w:val="auto"/>
              </w:rPr>
              <w:t>$34.14</w:t>
            </w:r>
          </w:p>
        </w:tc>
        <w:tc>
          <w:tcPr>
            <w:tcW w:w="1100" w:type="dxa"/>
            <w:vAlign w:val="bottom"/>
            <w:gridSpan w:val="2"/>
          </w:tcPr>
          <w:p>
            <w:pPr>
              <w:jc w:val="right"/>
              <w:ind w:right="20"/>
              <w:spacing w:after="0"/>
              <w:rPr>
                <w:sz w:val="20"/>
                <w:szCs w:val="20"/>
                <w:color w:val="auto"/>
              </w:rPr>
            </w:pPr>
            <w:r>
              <w:rPr>
                <w:rFonts w:ascii="Arial" w:cs="Arial" w:eastAsia="Arial" w:hAnsi="Arial"/>
                <w:sz w:val="18"/>
                <w:szCs w:val="18"/>
                <w:color w:val="auto"/>
              </w:rPr>
              <w:t>162,639</w:t>
            </w:r>
          </w:p>
        </w:tc>
        <w:tc>
          <w:tcPr>
            <w:tcW w:w="520" w:type="dxa"/>
            <w:vAlign w:val="bottom"/>
          </w:tcPr>
          <w:p>
            <w:pPr>
              <w:spacing w:after="0"/>
              <w:rPr>
                <w:sz w:val="18"/>
                <w:szCs w:val="18"/>
                <w:color w:val="auto"/>
              </w:rPr>
            </w:pP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1260" w:type="dxa"/>
            <w:vAlign w:val="bottom"/>
            <w:gridSpan w:val="2"/>
          </w:tcPr>
          <w:p>
            <w:pPr>
              <w:jc w:val="right"/>
              <w:ind w:right="540"/>
              <w:spacing w:after="0"/>
              <w:rPr>
                <w:sz w:val="20"/>
                <w:szCs w:val="20"/>
                <w:color w:val="auto"/>
              </w:rPr>
            </w:pPr>
            <w:r>
              <w:rPr>
                <w:rFonts w:ascii="Arial" w:cs="Arial" w:eastAsia="Arial" w:hAnsi="Arial"/>
                <w:sz w:val="18"/>
                <w:szCs w:val="18"/>
                <w:color w:val="auto"/>
              </w:rPr>
              <w:t>34.14</w:t>
            </w:r>
          </w:p>
        </w:tc>
        <w:tc>
          <w:tcPr>
            <w:tcW w:w="1360" w:type="dxa"/>
            <w:vAlign w:val="bottom"/>
            <w:gridSpan w:val="2"/>
          </w:tcPr>
          <w:p>
            <w:pPr>
              <w:jc w:val="right"/>
              <w:ind w:right="260"/>
              <w:spacing w:after="0"/>
              <w:rPr>
                <w:sz w:val="20"/>
                <w:szCs w:val="20"/>
                <w:color w:val="auto"/>
              </w:rPr>
            </w:pPr>
            <w:r>
              <w:rPr>
                <w:rFonts w:ascii="Arial" w:cs="Arial" w:eastAsia="Arial" w:hAnsi="Arial"/>
                <w:sz w:val="18"/>
                <w:szCs w:val="18"/>
                <w:color w:val="auto"/>
              </w:rPr>
              <w:t>162,639</w:t>
            </w:r>
          </w:p>
        </w:tc>
        <w:tc>
          <w:tcPr>
            <w:tcW w:w="380" w:type="dxa"/>
            <w:vAlign w:val="bottom"/>
            <w:gridSpan w:val="2"/>
          </w:tcPr>
          <w:p>
            <w:pPr>
              <w:ind w:left="280"/>
              <w:spacing w:after="0"/>
              <w:rPr>
                <w:sz w:val="20"/>
                <w:szCs w:val="20"/>
                <w:color w:val="auto"/>
              </w:rPr>
            </w:pPr>
            <w:r>
              <w:rPr>
                <w:rFonts w:ascii="Arial" w:cs="Arial" w:eastAsia="Arial" w:hAnsi="Arial"/>
                <w:sz w:val="18"/>
                <w:szCs w:val="18"/>
                <w:color w:val="auto"/>
                <w:w w:val="79"/>
              </w:rPr>
              <w:t>$</w:t>
            </w:r>
          </w:p>
        </w:tc>
        <w:tc>
          <w:tcPr>
            <w:tcW w:w="780" w:type="dxa"/>
            <w:vAlign w:val="bottom"/>
            <w:gridSpan w:val="2"/>
          </w:tcPr>
          <w:p>
            <w:pPr>
              <w:jc w:val="right"/>
              <w:ind w:right="40"/>
              <w:spacing w:after="0"/>
              <w:rPr>
                <w:sz w:val="20"/>
                <w:szCs w:val="20"/>
                <w:color w:val="auto"/>
              </w:rPr>
            </w:pPr>
            <w:r>
              <w:rPr>
                <w:rFonts w:ascii="Arial" w:cs="Arial" w:eastAsia="Arial" w:hAnsi="Arial"/>
                <w:sz w:val="18"/>
                <w:szCs w:val="18"/>
                <w:color w:val="auto"/>
              </w:rPr>
              <w:t>34.14</w:t>
            </w:r>
          </w:p>
        </w:tc>
        <w:tc>
          <w:tcPr>
            <w:tcW w:w="0" w:type="dxa"/>
            <w:vAlign w:val="bottom"/>
          </w:tcPr>
          <w:p>
            <w:pPr>
              <w:spacing w:after="0"/>
              <w:rPr>
                <w:sz w:val="1"/>
                <w:szCs w:val="1"/>
                <w:color w:val="auto"/>
              </w:rPr>
            </w:pPr>
          </w:p>
        </w:tc>
      </w:tr>
      <w:tr>
        <w:trPr>
          <w:trHeight w:val="216"/>
        </w:trPr>
        <w:tc>
          <w:tcPr>
            <w:tcW w:w="4600" w:type="dxa"/>
            <w:vAlign w:val="bottom"/>
            <w:shd w:val="clear" w:color="auto" w:fill="CCEEFF"/>
          </w:tcPr>
          <w:p>
            <w:pPr>
              <w:spacing w:after="0"/>
              <w:rPr>
                <w:sz w:val="20"/>
                <w:szCs w:val="20"/>
                <w:color w:val="auto"/>
              </w:rPr>
            </w:pPr>
            <w:r>
              <w:rPr>
                <w:rFonts w:ascii="Arial" w:cs="Arial" w:eastAsia="Arial" w:hAnsi="Arial"/>
                <w:sz w:val="18"/>
                <w:szCs w:val="18"/>
                <w:color w:val="auto"/>
              </w:rPr>
              <w:t>$38.36</w:t>
            </w:r>
          </w:p>
        </w:tc>
        <w:tc>
          <w:tcPr>
            <w:tcW w:w="11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143,575</w:t>
            </w:r>
          </w:p>
        </w:tc>
        <w:tc>
          <w:tcPr>
            <w:tcW w:w="5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20"/>
                <w:szCs w:val="20"/>
                <w:color w:val="auto"/>
              </w:rPr>
            </w:pPr>
            <w:r>
              <w:rPr>
                <w:rFonts w:ascii="Arial" w:cs="Arial" w:eastAsia="Arial" w:hAnsi="Arial"/>
                <w:sz w:val="18"/>
                <w:szCs w:val="18"/>
                <w:color w:val="auto"/>
                <w:w w:val="99"/>
              </w:rPr>
              <w:t>$</w:t>
            </w:r>
          </w:p>
        </w:tc>
        <w:tc>
          <w:tcPr>
            <w:tcW w:w="126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38.36</w:t>
            </w:r>
          </w:p>
        </w:tc>
        <w:tc>
          <w:tcPr>
            <w:tcW w:w="13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143,575</w:t>
            </w:r>
          </w:p>
        </w:tc>
        <w:tc>
          <w:tcPr>
            <w:tcW w:w="3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38.36</w:t>
            </w:r>
          </w:p>
        </w:tc>
        <w:tc>
          <w:tcPr>
            <w:tcW w:w="0" w:type="dxa"/>
            <w:vAlign w:val="bottom"/>
          </w:tcPr>
          <w:p>
            <w:pPr>
              <w:spacing w:after="0"/>
              <w:rPr>
                <w:sz w:val="1"/>
                <w:szCs w:val="1"/>
                <w:color w:val="auto"/>
              </w:rPr>
            </w:pPr>
          </w:p>
        </w:tc>
      </w:tr>
      <w:tr>
        <w:trPr>
          <w:trHeight w:val="223"/>
        </w:trPr>
        <w:tc>
          <w:tcPr>
            <w:tcW w:w="4600" w:type="dxa"/>
            <w:vAlign w:val="bottom"/>
          </w:tcPr>
          <w:p>
            <w:pPr>
              <w:spacing w:after="0"/>
              <w:rPr>
                <w:sz w:val="19"/>
                <w:szCs w:val="19"/>
                <w:color w:val="auto"/>
              </w:rPr>
            </w:pPr>
          </w:p>
        </w:tc>
        <w:tc>
          <w:tcPr>
            <w:tcW w:w="10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1,189,058</w:t>
            </w:r>
          </w:p>
        </w:tc>
        <w:tc>
          <w:tcPr>
            <w:tcW w:w="20" w:type="dxa"/>
            <w:vAlign w:val="bottom"/>
            <w:tcBorders>
              <w:bottom w:val="single" w:sz="8" w:color="auto"/>
            </w:tcBorders>
          </w:tcPr>
          <w:p>
            <w:pPr>
              <w:spacing w:after="0"/>
              <w:rPr>
                <w:sz w:val="19"/>
                <w:szCs w:val="19"/>
                <w:color w:val="auto"/>
              </w:rPr>
            </w:pPr>
          </w:p>
        </w:tc>
        <w:tc>
          <w:tcPr>
            <w:tcW w:w="520" w:type="dxa"/>
            <w:vAlign w:val="bottom"/>
          </w:tcPr>
          <w:p>
            <w:pPr>
              <w:spacing w:after="0"/>
              <w:rPr>
                <w:sz w:val="19"/>
                <w:szCs w:val="19"/>
                <w:color w:val="auto"/>
              </w:rPr>
            </w:pPr>
          </w:p>
        </w:tc>
        <w:tc>
          <w:tcPr>
            <w:tcW w:w="12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99"/>
              </w:rPr>
              <w:t>$</w:t>
            </w: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22.21</w:t>
            </w:r>
          </w:p>
        </w:tc>
        <w:tc>
          <w:tcPr>
            <w:tcW w:w="540" w:type="dxa"/>
            <w:vAlign w:val="bottom"/>
          </w:tcPr>
          <w:p>
            <w:pPr>
              <w:spacing w:after="0"/>
              <w:rPr>
                <w:sz w:val="19"/>
                <w:szCs w:val="19"/>
                <w:color w:val="auto"/>
              </w:rPr>
            </w:pPr>
          </w:p>
        </w:tc>
        <w:tc>
          <w:tcPr>
            <w:tcW w:w="1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1,529,026</w:t>
            </w:r>
          </w:p>
        </w:tc>
        <w:tc>
          <w:tcPr>
            <w:tcW w:w="26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19.90</w:t>
            </w: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4600" w:type="dxa"/>
            <w:vAlign w:val="bottom"/>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left="440"/>
        <w:spacing w:after="0"/>
        <w:rPr>
          <w:sz w:val="20"/>
          <w:szCs w:val="20"/>
          <w:color w:val="auto"/>
        </w:rPr>
      </w:pPr>
      <w:r>
        <w:rPr>
          <w:rFonts w:ascii="Arial" w:cs="Arial" w:eastAsia="Arial" w:hAnsi="Arial"/>
          <w:sz w:val="16"/>
          <w:szCs w:val="16"/>
          <w:color w:val="auto"/>
        </w:rPr>
        <w:t>The weighted average contractual life of options exercisable and outstanding as of December 31, 2020 was 4.7 years and 4.9 years, respectively.</w:t>
      </w:r>
    </w:p>
    <w:p>
      <w:pPr>
        <w:spacing w:after="0" w:line="248" w:lineRule="exact"/>
        <w:rPr>
          <w:sz w:val="20"/>
          <w:szCs w:val="20"/>
          <w:color w:val="auto"/>
        </w:rPr>
      </w:pPr>
    </w:p>
    <w:p>
      <w:pPr>
        <w:ind w:right="80" w:firstLine="440"/>
        <w:spacing w:after="0" w:line="263" w:lineRule="auto"/>
        <w:rPr>
          <w:sz w:val="20"/>
          <w:szCs w:val="20"/>
          <w:color w:val="auto"/>
        </w:rPr>
      </w:pPr>
      <w:r>
        <w:rPr>
          <w:rFonts w:ascii="Arial" w:cs="Arial" w:eastAsia="Arial" w:hAnsi="Arial"/>
          <w:sz w:val="18"/>
          <w:szCs w:val="18"/>
          <w:color w:val="auto"/>
        </w:rPr>
        <w:t>The Company did not grant any stock options during the year ended December 31, 2020. The estimated weighted average grant date fair value of share options granted during 2019 and 2018 was $4.47 and $5.40 per share, respectively, and was estimated using the Black-Scholes option pricing model for the years ended December 31, 2019 and 2018 with the following assumptions.:</w:t>
      </w:r>
    </w:p>
    <w:p>
      <w:pPr>
        <w:spacing w:after="0" w:line="202" w:lineRule="exact"/>
        <w:rPr>
          <w:sz w:val="20"/>
          <w:szCs w:val="20"/>
          <w:color w:val="auto"/>
        </w:rPr>
      </w:pPr>
    </w:p>
    <w:tbl>
      <w:tblPr>
        <w:tblLayout w:type="fixed"/>
        <w:tblInd w:w="1320" w:type="dxa"/>
        <w:tblCellMar>
          <w:top w:w="0" w:type="dxa"/>
          <w:left w:w="0" w:type="dxa"/>
          <w:bottom w:w="0" w:type="dxa"/>
          <w:right w:w="0" w:type="dxa"/>
        </w:tblCellMar>
      </w:tblPr>
      <w:tr>
        <w:trPr>
          <w:trHeight w:val="171"/>
        </w:trPr>
        <w:tc>
          <w:tcPr>
            <w:tcW w:w="6980" w:type="dxa"/>
            <w:vAlign w:val="bottom"/>
            <w:tcBorders>
              <w:bottom w:val="single" w:sz="8" w:color="CCEEFF"/>
            </w:tcBorders>
          </w:tcPr>
          <w:p>
            <w:pPr>
              <w:spacing w:after="0"/>
              <w:rPr>
                <w:sz w:val="14"/>
                <w:szCs w:val="14"/>
                <w:color w:val="auto"/>
              </w:rPr>
            </w:pP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rPr>
              <w:t>2019</w:t>
            </w:r>
          </w:p>
        </w:tc>
        <w:tc>
          <w:tcPr>
            <w:tcW w:w="420" w:type="dxa"/>
            <w:vAlign w:val="bottom"/>
            <w:tcBorders>
              <w:bottom w:val="single" w:sz="8" w:color="CCEEFF"/>
            </w:tcBorders>
          </w:tcPr>
          <w:p>
            <w:pPr>
              <w:spacing w:after="0"/>
              <w:rPr>
                <w:sz w:val="14"/>
                <w:szCs w:val="14"/>
                <w:color w:val="auto"/>
              </w:rPr>
            </w:pP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rPr>
              <w:t>2018</w:t>
            </w:r>
          </w:p>
        </w:tc>
        <w:tc>
          <w:tcPr>
            <w:tcW w:w="200" w:type="dxa"/>
            <w:vAlign w:val="bottom"/>
            <w:tcBorders>
              <w:bottom w:val="single" w:sz="8" w:color="CCEEFF"/>
            </w:tcBorders>
          </w:tcPr>
          <w:p>
            <w:pPr>
              <w:spacing w:after="0"/>
              <w:rPr>
                <w:sz w:val="14"/>
                <w:szCs w:val="14"/>
                <w:color w:val="auto"/>
              </w:rPr>
            </w:pPr>
          </w:p>
        </w:tc>
      </w:tr>
      <w:tr>
        <w:trPr>
          <w:trHeight w:val="210"/>
        </w:trPr>
        <w:tc>
          <w:tcPr>
            <w:tcW w:w="6980" w:type="dxa"/>
            <w:vAlign w:val="bottom"/>
            <w:shd w:val="clear" w:color="auto" w:fill="CCEEFF"/>
          </w:tcPr>
          <w:p>
            <w:pPr>
              <w:spacing w:after="0"/>
              <w:rPr>
                <w:sz w:val="20"/>
                <w:szCs w:val="20"/>
                <w:color w:val="auto"/>
              </w:rPr>
            </w:pPr>
            <w:r>
              <w:rPr>
                <w:rFonts w:ascii="Arial" w:cs="Arial" w:eastAsia="Arial" w:hAnsi="Arial"/>
                <w:sz w:val="18"/>
                <w:szCs w:val="18"/>
                <w:color w:val="auto"/>
              </w:rPr>
              <w:t>Risk-free interest rates</w:t>
            </w:r>
          </w:p>
        </w:tc>
        <w:tc>
          <w:tcPr>
            <w:tcW w:w="80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1.7%</w:t>
            </w:r>
          </w:p>
        </w:tc>
        <w:tc>
          <w:tcPr>
            <w:tcW w:w="5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2.9%</w:t>
            </w:r>
          </w:p>
        </w:tc>
      </w:tr>
      <w:tr>
        <w:trPr>
          <w:trHeight w:val="216"/>
        </w:trPr>
        <w:tc>
          <w:tcPr>
            <w:tcW w:w="6980" w:type="dxa"/>
            <w:vAlign w:val="bottom"/>
          </w:tcPr>
          <w:p>
            <w:pPr>
              <w:spacing w:after="0"/>
              <w:rPr>
                <w:sz w:val="20"/>
                <w:szCs w:val="20"/>
                <w:color w:val="auto"/>
              </w:rPr>
            </w:pPr>
            <w:r>
              <w:rPr>
                <w:rFonts w:ascii="Arial" w:cs="Arial" w:eastAsia="Arial" w:hAnsi="Arial"/>
                <w:sz w:val="18"/>
                <w:szCs w:val="18"/>
                <w:color w:val="auto"/>
              </w:rPr>
              <w:t>Expected terms (in years)</w:t>
            </w:r>
          </w:p>
        </w:tc>
        <w:tc>
          <w:tcPr>
            <w:tcW w:w="800" w:type="dxa"/>
            <w:vAlign w:val="bottom"/>
            <w:gridSpan w:val="2"/>
          </w:tcPr>
          <w:p>
            <w:pPr>
              <w:jc w:val="right"/>
              <w:ind w:right="420"/>
              <w:spacing w:after="0"/>
              <w:rPr>
                <w:sz w:val="20"/>
                <w:szCs w:val="20"/>
                <w:color w:val="auto"/>
              </w:rPr>
            </w:pPr>
            <w:r>
              <w:rPr>
                <w:rFonts w:ascii="Arial" w:cs="Arial" w:eastAsia="Arial" w:hAnsi="Arial"/>
                <w:sz w:val="18"/>
                <w:szCs w:val="18"/>
                <w:color w:val="auto"/>
              </w:rPr>
              <w:t>5.5</w:t>
            </w:r>
          </w:p>
        </w:tc>
        <w:tc>
          <w:tcPr>
            <w:tcW w:w="580" w:type="dxa"/>
            <w:vAlign w:val="bottom"/>
            <w:gridSpan w:val="2"/>
          </w:tcPr>
          <w:p>
            <w:pPr>
              <w:jc w:val="right"/>
              <w:ind w:right="200"/>
              <w:spacing w:after="0"/>
              <w:rPr>
                <w:sz w:val="20"/>
                <w:szCs w:val="20"/>
                <w:color w:val="auto"/>
              </w:rPr>
            </w:pPr>
            <w:r>
              <w:rPr>
                <w:rFonts w:ascii="Arial" w:cs="Arial" w:eastAsia="Arial" w:hAnsi="Arial"/>
                <w:sz w:val="18"/>
                <w:szCs w:val="18"/>
                <w:color w:val="auto"/>
              </w:rPr>
              <w:t>5.5</w:t>
            </w:r>
          </w:p>
        </w:tc>
      </w:tr>
      <w:tr>
        <w:trPr>
          <w:trHeight w:val="216"/>
        </w:trPr>
        <w:tc>
          <w:tcPr>
            <w:tcW w:w="6980" w:type="dxa"/>
            <w:vAlign w:val="bottom"/>
            <w:shd w:val="clear" w:color="auto" w:fill="CCEEFF"/>
          </w:tcPr>
          <w:p>
            <w:pPr>
              <w:spacing w:after="0"/>
              <w:rPr>
                <w:sz w:val="20"/>
                <w:szCs w:val="20"/>
                <w:color w:val="auto"/>
              </w:rPr>
            </w:pPr>
            <w:r>
              <w:rPr>
                <w:rFonts w:ascii="Arial" w:cs="Arial" w:eastAsia="Arial" w:hAnsi="Arial"/>
                <w:sz w:val="18"/>
                <w:szCs w:val="18"/>
                <w:color w:val="auto"/>
              </w:rPr>
              <w:t>Expected common share price volatilities</w:t>
            </w:r>
          </w:p>
        </w:tc>
        <w:tc>
          <w:tcPr>
            <w:tcW w:w="80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w w:val="97"/>
              </w:rPr>
              <w:t>52.9%</w:t>
            </w:r>
          </w:p>
        </w:tc>
        <w:tc>
          <w:tcPr>
            <w:tcW w:w="5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49.8%</w:t>
            </w:r>
          </w:p>
        </w:tc>
      </w:tr>
      <w:tr>
        <w:trPr>
          <w:trHeight w:val="216"/>
        </w:trPr>
        <w:tc>
          <w:tcPr>
            <w:tcW w:w="6980" w:type="dxa"/>
            <w:vAlign w:val="bottom"/>
          </w:tcPr>
          <w:p>
            <w:pPr>
              <w:spacing w:after="0"/>
              <w:rPr>
                <w:sz w:val="20"/>
                <w:szCs w:val="20"/>
                <w:color w:val="auto"/>
              </w:rPr>
            </w:pPr>
            <w:r>
              <w:rPr>
                <w:rFonts w:ascii="Arial" w:cs="Arial" w:eastAsia="Arial" w:hAnsi="Arial"/>
                <w:sz w:val="18"/>
                <w:szCs w:val="18"/>
                <w:color w:val="auto"/>
              </w:rPr>
              <w:t>Expected dividends</w:t>
            </w:r>
          </w:p>
        </w:tc>
        <w:tc>
          <w:tcPr>
            <w:tcW w:w="800" w:type="dxa"/>
            <w:vAlign w:val="bottom"/>
            <w:gridSpan w:val="2"/>
          </w:tcPr>
          <w:p>
            <w:pPr>
              <w:jc w:val="right"/>
              <w:ind w:right="280"/>
              <w:spacing w:after="0"/>
              <w:rPr>
                <w:sz w:val="20"/>
                <w:szCs w:val="20"/>
                <w:color w:val="auto"/>
              </w:rPr>
            </w:pPr>
            <w:r>
              <w:rPr>
                <w:rFonts w:ascii="Arial" w:cs="Arial" w:eastAsia="Arial" w:hAnsi="Arial"/>
                <w:sz w:val="18"/>
                <w:szCs w:val="18"/>
                <w:color w:val="auto"/>
              </w:rPr>
              <w:t>0.0%</w:t>
            </w:r>
          </w:p>
        </w:tc>
        <w:tc>
          <w:tcPr>
            <w:tcW w:w="580" w:type="dxa"/>
            <w:vAlign w:val="bottom"/>
            <w:gridSpan w:val="2"/>
          </w:tcPr>
          <w:p>
            <w:pPr>
              <w:jc w:val="right"/>
              <w:ind w:right="40"/>
              <w:spacing w:after="0"/>
              <w:rPr>
                <w:sz w:val="20"/>
                <w:szCs w:val="20"/>
                <w:color w:val="auto"/>
              </w:rPr>
            </w:pPr>
            <w:r>
              <w:rPr>
                <w:rFonts w:ascii="Arial" w:cs="Arial" w:eastAsia="Arial" w:hAnsi="Arial"/>
                <w:sz w:val="18"/>
                <w:szCs w:val="18"/>
                <w:color w:val="auto"/>
              </w:rPr>
              <w:t>0.0%</w:t>
            </w:r>
          </w:p>
        </w:tc>
      </w:tr>
      <w:tr>
        <w:trPr>
          <w:trHeight w:val="216"/>
        </w:trPr>
        <w:tc>
          <w:tcPr>
            <w:tcW w:w="6980" w:type="dxa"/>
            <w:vAlign w:val="bottom"/>
            <w:shd w:val="clear" w:color="auto" w:fill="CCEEFF"/>
          </w:tcPr>
          <w:p>
            <w:pPr>
              <w:spacing w:after="0"/>
              <w:rPr>
                <w:sz w:val="20"/>
                <w:szCs w:val="20"/>
                <w:color w:val="auto"/>
              </w:rPr>
            </w:pPr>
            <w:r>
              <w:rPr>
                <w:rFonts w:ascii="Arial" w:cs="Arial" w:eastAsia="Arial" w:hAnsi="Arial"/>
                <w:sz w:val="18"/>
                <w:szCs w:val="18"/>
                <w:color w:val="auto"/>
              </w:rPr>
              <w:t>Expected forfeitures</w:t>
            </w:r>
          </w:p>
        </w:tc>
        <w:tc>
          <w:tcPr>
            <w:tcW w:w="80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3.4%</w:t>
            </w:r>
          </w:p>
        </w:tc>
        <w:tc>
          <w:tcPr>
            <w:tcW w:w="5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4.3%</w:t>
            </w:r>
          </w:p>
        </w:tc>
      </w:tr>
    </w:tbl>
    <w:p>
      <w:pPr>
        <w:spacing w:after="0" w:line="202" w:lineRule="exact"/>
        <w:rPr>
          <w:sz w:val="20"/>
          <w:szCs w:val="20"/>
          <w:color w:val="auto"/>
        </w:rPr>
      </w:pPr>
    </w:p>
    <w:p>
      <w:pPr>
        <w:jc w:val="both"/>
        <w:ind w:firstLine="440"/>
        <w:spacing w:after="0" w:line="259" w:lineRule="auto"/>
        <w:rPr>
          <w:sz w:val="20"/>
          <w:szCs w:val="20"/>
          <w:color w:val="auto"/>
        </w:rPr>
      </w:pPr>
      <w:r>
        <w:rPr>
          <w:rFonts w:ascii="Arial" w:cs="Arial" w:eastAsia="Arial" w:hAnsi="Arial"/>
          <w:sz w:val="18"/>
          <w:szCs w:val="18"/>
          <w:color w:val="auto"/>
        </w:rPr>
        <w:t>The risk-free interest rate is based on the implied yield on a U.S. Treasury zero-coupon issue with a remaining term equal to the expected term of the share option life. The expected term is calculated based on historical exercises. The expected common share price volatility is based on the historical average volatility of the Company’s stock over a period approximating the expected term of the options. The dividend yield reflects the estimated future yield on the date of grant.</w:t>
      </w:r>
    </w:p>
    <w:p>
      <w:pPr>
        <w:spacing w:after="0" w:line="29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Restricted Share Units (“RSU”) and Performance Restricted Share Units (“PSU”)</w:t>
      </w:r>
    </w:p>
    <w:p>
      <w:pPr>
        <w:spacing w:after="0" w:line="117" w:lineRule="exact"/>
        <w:rPr>
          <w:sz w:val="20"/>
          <w:szCs w:val="20"/>
          <w:color w:val="auto"/>
        </w:rPr>
      </w:pPr>
    </w:p>
    <w:p>
      <w:pPr>
        <w:ind w:right="100" w:firstLine="440"/>
        <w:spacing w:after="0" w:line="263" w:lineRule="auto"/>
        <w:rPr>
          <w:sz w:val="20"/>
          <w:szCs w:val="20"/>
          <w:color w:val="auto"/>
        </w:rPr>
      </w:pPr>
      <w:r>
        <w:rPr>
          <w:rFonts w:ascii="Arial" w:cs="Arial" w:eastAsia="Arial" w:hAnsi="Arial"/>
          <w:sz w:val="18"/>
          <w:szCs w:val="18"/>
          <w:color w:val="auto"/>
        </w:rPr>
        <w:t>RSU awards granted to employees prior to 2020 have a vesting period of four years or vest in increments of 25% per year on each anniversary of the grant date. RSU awards granted to employees during 2020 have a vesting period of three years or vest in increments of 33.33% per year on each anniversary of the grant date. RSU awards granted to directors fully vest one year after their grant date.</w:t>
      </w:r>
    </w:p>
    <w:p>
      <w:pPr>
        <w:spacing w:after="0" w:line="184" w:lineRule="exact"/>
        <w:rPr>
          <w:sz w:val="20"/>
          <w:szCs w:val="20"/>
          <w:color w:val="auto"/>
        </w:rPr>
      </w:pPr>
    </w:p>
    <w:p>
      <w:pPr>
        <w:ind w:right="120" w:firstLine="440"/>
        <w:spacing w:after="0" w:line="311" w:lineRule="auto"/>
        <w:rPr>
          <w:sz w:val="20"/>
          <w:szCs w:val="20"/>
          <w:color w:val="auto"/>
        </w:rPr>
      </w:pPr>
      <w:r>
        <w:rPr>
          <w:rFonts w:ascii="Arial" w:cs="Arial" w:eastAsia="Arial" w:hAnsi="Arial"/>
          <w:sz w:val="16"/>
          <w:szCs w:val="16"/>
          <w:color w:val="auto"/>
        </w:rPr>
        <w:t>The Company granted PSU awards to certain executives during the year ended December 31, 2020, which are subject to both service and market vesting conditions. The PSU awards will vest at the end of a 3-year performance cycle if the market conditions are met. The market-based conditions will be satisfied if certain milestones based on the Company’s common stock price or relative total shareholder return (“TSR”) are achieved.</w:t>
      </w:r>
    </w:p>
    <w:p>
      <w:pPr>
        <w:spacing w:after="0" w:line="8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F-47</w:t>
      </w:r>
    </w:p>
    <w:p>
      <w:pPr>
        <w:sectPr>
          <w:pgSz w:w="11900" w:h="16838" w:orient="portrait"/>
          <w:cols w:equalWidth="0" w:num="1">
            <w:col w:w="10980"/>
          </w:cols>
          <w:pgMar w:left="440" w:top="274" w:right="479" w:bottom="1440" w:gutter="0" w:footer="0" w:header="0"/>
        </w:sectPr>
      </w:pPr>
    </w:p>
    <w:bookmarkStart w:id="161" w:name="page162"/>
    <w:bookmarkEnd w:id="161"/>
    <w:p>
      <w:pPr>
        <w:ind w:left="444"/>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The following tables summarizes the activity of RSU and PSU awards under the 2019 Plan for the years ended December 31, 2020, 2019, and</w:t>
      </w:r>
    </w:p>
    <w:p>
      <w:pPr>
        <w:spacing w:after="0" w:line="46" w:lineRule="exact"/>
        <w:rPr>
          <w:sz w:val="20"/>
          <w:szCs w:val="20"/>
          <w:color w:val="auto"/>
        </w:rPr>
      </w:pPr>
    </w:p>
    <w:p>
      <w:pPr>
        <w:ind w:left="4"/>
        <w:spacing w:after="0"/>
        <w:rPr>
          <w:sz w:val="20"/>
          <w:szCs w:val="20"/>
          <w:color w:val="auto"/>
        </w:rPr>
      </w:pPr>
      <w:r>
        <w:rPr>
          <w:rFonts w:ascii="Arial" w:cs="Arial" w:eastAsia="Arial" w:hAnsi="Arial"/>
          <w:sz w:val="18"/>
          <w:szCs w:val="18"/>
          <w:color w:val="auto"/>
        </w:rPr>
        <w:t>2018:</w:t>
      </w:r>
    </w:p>
    <w:p>
      <w:pPr>
        <w:spacing w:after="0" w:line="217" w:lineRule="exact"/>
        <w:rPr>
          <w:sz w:val="20"/>
          <w:szCs w:val="20"/>
          <w:color w:val="auto"/>
        </w:rPr>
      </w:pPr>
    </w:p>
    <w:tbl>
      <w:tblPr>
        <w:tblLayout w:type="fixed"/>
        <w:tblInd w:w="1324" w:type="dxa"/>
        <w:tblCellMar>
          <w:top w:w="0" w:type="dxa"/>
          <w:left w:w="0" w:type="dxa"/>
          <w:bottom w:w="0" w:type="dxa"/>
          <w:right w:w="0" w:type="dxa"/>
        </w:tblCellMar>
      </w:tblPr>
      <w:tr>
        <w:trPr>
          <w:trHeight w:val="161"/>
        </w:trPr>
        <w:tc>
          <w:tcPr>
            <w:tcW w:w="600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20" w:type="dxa"/>
            <w:vAlign w:val="bottom"/>
            <w:gridSpan w:val="2"/>
          </w:tcPr>
          <w:p>
            <w:pPr>
              <w:ind w:left="40"/>
              <w:spacing w:after="0"/>
              <w:rPr>
                <w:sz w:val="20"/>
                <w:szCs w:val="20"/>
                <w:color w:val="auto"/>
              </w:rPr>
            </w:pPr>
            <w:r>
              <w:rPr>
                <w:rFonts w:ascii="Arial" w:cs="Arial" w:eastAsia="Arial" w:hAnsi="Arial"/>
                <w:sz w:val="14"/>
                <w:szCs w:val="14"/>
                <w:b w:val="1"/>
                <w:bCs w:val="1"/>
                <w:color w:val="auto"/>
              </w:rPr>
              <w:t>Weighted</w:t>
            </w:r>
          </w:p>
        </w:tc>
        <w:tc>
          <w:tcPr>
            <w:tcW w:w="0" w:type="dxa"/>
            <w:vAlign w:val="bottom"/>
          </w:tcPr>
          <w:p>
            <w:pPr>
              <w:spacing w:after="0"/>
              <w:rPr>
                <w:sz w:val="1"/>
                <w:szCs w:val="1"/>
                <w:color w:val="auto"/>
              </w:rPr>
            </w:pPr>
          </w:p>
        </w:tc>
      </w:tr>
      <w:tr>
        <w:trPr>
          <w:trHeight w:val="149"/>
        </w:trPr>
        <w:tc>
          <w:tcPr>
            <w:tcW w:w="6000" w:type="dxa"/>
            <w:vAlign w:val="bottom"/>
          </w:tcPr>
          <w:p>
            <w:pPr>
              <w:spacing w:after="0"/>
              <w:rPr>
                <w:sz w:val="12"/>
                <w:szCs w:val="12"/>
                <w:color w:val="auto"/>
              </w:rPr>
            </w:pPr>
          </w:p>
        </w:tc>
        <w:tc>
          <w:tcPr>
            <w:tcW w:w="1420" w:type="dxa"/>
            <w:vAlign w:val="bottom"/>
            <w:gridSpan w:val="3"/>
            <w:vMerge w:val="restart"/>
          </w:tcPr>
          <w:p>
            <w:pPr>
              <w:jc w:val="right"/>
              <w:ind w:right="540"/>
              <w:spacing w:after="0"/>
              <w:rPr>
                <w:sz w:val="20"/>
                <w:szCs w:val="20"/>
                <w:color w:val="auto"/>
              </w:rPr>
            </w:pPr>
            <w:r>
              <w:rPr>
                <w:rFonts w:ascii="Arial" w:cs="Arial" w:eastAsia="Arial" w:hAnsi="Arial"/>
                <w:sz w:val="14"/>
                <w:szCs w:val="14"/>
                <w:b w:val="1"/>
                <w:bCs w:val="1"/>
                <w:color w:val="auto"/>
                <w:w w:val="94"/>
              </w:rPr>
              <w:t>RSU and PSU</w:t>
            </w:r>
          </w:p>
        </w:tc>
        <w:tc>
          <w:tcPr>
            <w:tcW w:w="940" w:type="dxa"/>
            <w:vAlign w:val="bottom"/>
            <w:gridSpan w:val="3"/>
          </w:tcPr>
          <w:p>
            <w:pPr>
              <w:ind w:left="20"/>
              <w:spacing w:after="0" w:line="149" w:lineRule="exact"/>
              <w:rPr>
                <w:sz w:val="20"/>
                <w:szCs w:val="20"/>
                <w:color w:val="auto"/>
              </w:rPr>
            </w:pPr>
            <w:r>
              <w:rPr>
                <w:rFonts w:ascii="Arial" w:cs="Arial" w:eastAsia="Arial" w:hAnsi="Arial"/>
                <w:sz w:val="14"/>
                <w:szCs w:val="14"/>
                <w:b w:val="1"/>
                <w:bCs w:val="1"/>
                <w:color w:val="auto"/>
                <w:w w:val="97"/>
              </w:rPr>
              <w:t>average grant</w:t>
            </w:r>
          </w:p>
        </w:tc>
        <w:tc>
          <w:tcPr>
            <w:tcW w:w="0" w:type="dxa"/>
            <w:vAlign w:val="bottom"/>
          </w:tcPr>
          <w:p>
            <w:pPr>
              <w:spacing w:after="0"/>
              <w:rPr>
                <w:sz w:val="1"/>
                <w:szCs w:val="1"/>
                <w:color w:val="auto"/>
              </w:rPr>
            </w:pPr>
          </w:p>
        </w:tc>
      </w:tr>
      <w:tr>
        <w:trPr>
          <w:trHeight w:val="171"/>
        </w:trPr>
        <w:tc>
          <w:tcPr>
            <w:tcW w:w="6000" w:type="dxa"/>
            <w:vAlign w:val="bottom"/>
          </w:tcPr>
          <w:p>
            <w:pPr>
              <w:spacing w:after="0"/>
              <w:rPr>
                <w:sz w:val="14"/>
                <w:szCs w:val="14"/>
                <w:color w:val="auto"/>
              </w:rPr>
            </w:pPr>
          </w:p>
        </w:tc>
        <w:tc>
          <w:tcPr>
            <w:tcW w:w="1420" w:type="dxa"/>
            <w:vAlign w:val="bottom"/>
            <w:gridSpan w:val="3"/>
            <w:vMerge w:val="continue"/>
          </w:tcPr>
          <w:p>
            <w:pPr>
              <w:spacing w:after="0"/>
              <w:rPr>
                <w:sz w:val="14"/>
                <w:szCs w:val="14"/>
                <w:color w:val="auto"/>
              </w:rPr>
            </w:pPr>
          </w:p>
        </w:tc>
        <w:tc>
          <w:tcPr>
            <w:tcW w:w="940" w:type="dxa"/>
            <w:vAlign w:val="bottom"/>
            <w:gridSpan w:val="3"/>
          </w:tcPr>
          <w:p>
            <w:pPr>
              <w:spacing w:after="0"/>
              <w:rPr>
                <w:sz w:val="20"/>
                <w:szCs w:val="20"/>
                <w:color w:val="auto"/>
              </w:rPr>
            </w:pPr>
            <w:r>
              <w:rPr>
                <w:rFonts w:ascii="Arial" w:cs="Arial" w:eastAsia="Arial" w:hAnsi="Arial"/>
                <w:sz w:val="14"/>
                <w:szCs w:val="14"/>
                <w:b w:val="1"/>
                <w:bCs w:val="1"/>
                <w:color w:val="auto"/>
                <w:w w:val="97"/>
              </w:rPr>
              <w:t>date fair value</w:t>
            </w:r>
          </w:p>
        </w:tc>
        <w:tc>
          <w:tcPr>
            <w:tcW w:w="0" w:type="dxa"/>
            <w:vAlign w:val="bottom"/>
          </w:tcPr>
          <w:p>
            <w:pPr>
              <w:spacing w:after="0"/>
              <w:rPr>
                <w:sz w:val="1"/>
                <w:szCs w:val="1"/>
                <w:color w:val="auto"/>
              </w:rPr>
            </w:pPr>
          </w:p>
        </w:tc>
      </w:tr>
      <w:tr>
        <w:trPr>
          <w:trHeight w:val="209"/>
        </w:trPr>
        <w:tc>
          <w:tcPr>
            <w:tcW w:w="6000" w:type="dxa"/>
            <w:vAlign w:val="bottom"/>
            <w:tcBorders>
              <w:top w:val="single" w:sz="8" w:color="CCEEFF"/>
            </w:tcBorders>
            <w:shd w:val="clear" w:color="auto" w:fill="CCEEFF"/>
          </w:tcPr>
          <w:p>
            <w:pPr>
              <w:ind w:left="360"/>
              <w:spacing w:after="0"/>
              <w:rPr>
                <w:sz w:val="20"/>
                <w:szCs w:val="20"/>
                <w:color w:val="auto"/>
              </w:rPr>
            </w:pPr>
            <w:r>
              <w:rPr>
                <w:rFonts w:ascii="Arial" w:cs="Arial" w:eastAsia="Arial" w:hAnsi="Arial"/>
                <w:sz w:val="18"/>
                <w:szCs w:val="18"/>
                <w:color w:val="auto"/>
              </w:rPr>
              <w:t>Balances, December 31, 2017</w:t>
            </w:r>
          </w:p>
        </w:tc>
        <w:tc>
          <w:tcPr>
            <w:tcW w:w="8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693,048</w:t>
            </w:r>
          </w:p>
        </w:tc>
        <w:tc>
          <w:tcPr>
            <w:tcW w:w="20" w:type="dxa"/>
            <w:vAlign w:val="bottom"/>
            <w:tcBorders>
              <w:top w:val="single" w:sz="8" w:color="CCEEFF"/>
            </w:tcBorders>
            <w:shd w:val="clear" w:color="auto" w:fill="CCEEFF"/>
          </w:tcPr>
          <w:p>
            <w:pPr>
              <w:spacing w:after="0"/>
              <w:rPr>
                <w:sz w:val="18"/>
                <w:szCs w:val="18"/>
                <w:color w:val="auto"/>
              </w:rPr>
            </w:pPr>
          </w:p>
        </w:tc>
        <w:tc>
          <w:tcPr>
            <w:tcW w:w="52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w w:val="99"/>
              </w:rPr>
              <w:t>$</w:t>
            </w:r>
          </w:p>
        </w:tc>
        <w:tc>
          <w:tcPr>
            <w:tcW w:w="7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16.03</w:t>
            </w:r>
          </w:p>
        </w:tc>
        <w:tc>
          <w:tcPr>
            <w:tcW w:w="4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000" w:type="dxa"/>
            <w:vAlign w:val="bottom"/>
          </w:tcPr>
          <w:p>
            <w:pPr>
              <w:spacing w:after="0"/>
              <w:rPr>
                <w:sz w:val="20"/>
                <w:szCs w:val="20"/>
                <w:color w:val="auto"/>
              </w:rPr>
            </w:pPr>
            <w:r>
              <w:rPr>
                <w:rFonts w:ascii="Arial" w:cs="Arial" w:eastAsia="Arial" w:hAnsi="Arial"/>
                <w:sz w:val="18"/>
                <w:szCs w:val="18"/>
                <w:color w:val="auto"/>
              </w:rPr>
              <w:t>Share units granted during the period</w:t>
            </w:r>
          </w:p>
        </w:tc>
        <w:tc>
          <w:tcPr>
            <w:tcW w:w="900" w:type="dxa"/>
            <w:vAlign w:val="bottom"/>
            <w:gridSpan w:val="2"/>
          </w:tcPr>
          <w:p>
            <w:pPr>
              <w:jc w:val="right"/>
              <w:ind w:right="20"/>
              <w:spacing w:after="0"/>
              <w:rPr>
                <w:sz w:val="20"/>
                <w:szCs w:val="20"/>
                <w:color w:val="auto"/>
              </w:rPr>
            </w:pPr>
            <w:r>
              <w:rPr>
                <w:rFonts w:ascii="Arial" w:cs="Arial" w:eastAsia="Arial" w:hAnsi="Arial"/>
                <w:sz w:val="18"/>
                <w:szCs w:val="18"/>
                <w:color w:val="auto"/>
              </w:rPr>
              <w:t>274,845</w:t>
            </w:r>
          </w:p>
        </w:tc>
        <w:tc>
          <w:tcPr>
            <w:tcW w:w="520" w:type="dxa"/>
            <w:vAlign w:val="bottom"/>
          </w:tcPr>
          <w:p>
            <w:pPr>
              <w:spacing w:after="0"/>
              <w:rPr>
                <w:sz w:val="18"/>
                <w:szCs w:val="18"/>
                <w:color w:val="auto"/>
              </w:rPr>
            </w:pP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820" w:type="dxa"/>
            <w:vAlign w:val="bottom"/>
            <w:gridSpan w:val="2"/>
          </w:tcPr>
          <w:p>
            <w:pPr>
              <w:jc w:val="right"/>
              <w:ind w:right="40"/>
              <w:spacing w:after="0"/>
              <w:rPr>
                <w:sz w:val="20"/>
                <w:szCs w:val="20"/>
                <w:color w:val="auto"/>
              </w:rPr>
            </w:pPr>
            <w:r>
              <w:rPr>
                <w:rFonts w:ascii="Arial" w:cs="Arial" w:eastAsia="Arial" w:hAnsi="Arial"/>
                <w:sz w:val="18"/>
                <w:szCs w:val="18"/>
                <w:color w:val="auto"/>
              </w:rPr>
              <w:t>11.92</w:t>
            </w:r>
          </w:p>
        </w:tc>
        <w:tc>
          <w:tcPr>
            <w:tcW w:w="0" w:type="dxa"/>
            <w:vAlign w:val="bottom"/>
          </w:tcPr>
          <w:p>
            <w:pPr>
              <w:spacing w:after="0"/>
              <w:rPr>
                <w:sz w:val="1"/>
                <w:szCs w:val="1"/>
                <w:color w:val="auto"/>
              </w:rPr>
            </w:pPr>
          </w:p>
        </w:tc>
      </w:tr>
      <w:tr>
        <w:trPr>
          <w:trHeight w:val="216"/>
        </w:trPr>
        <w:tc>
          <w:tcPr>
            <w:tcW w:w="6000" w:type="dxa"/>
            <w:vAlign w:val="bottom"/>
            <w:shd w:val="clear" w:color="auto" w:fill="CCEEFF"/>
          </w:tcPr>
          <w:p>
            <w:pPr>
              <w:spacing w:after="0"/>
              <w:rPr>
                <w:sz w:val="20"/>
                <w:szCs w:val="20"/>
                <w:color w:val="auto"/>
              </w:rPr>
            </w:pPr>
            <w:r>
              <w:rPr>
                <w:rFonts w:ascii="Arial" w:cs="Arial" w:eastAsia="Arial" w:hAnsi="Arial"/>
                <w:sz w:val="18"/>
                <w:szCs w:val="18"/>
                <w:color w:val="auto"/>
              </w:rPr>
              <w:t>Share units vested during the period</w:t>
            </w:r>
          </w:p>
        </w:tc>
        <w:tc>
          <w:tcPr>
            <w:tcW w:w="1420" w:type="dxa"/>
            <w:vAlign w:val="bottom"/>
            <w:gridSpan w:val="3"/>
            <w:shd w:val="clear" w:color="auto" w:fill="CCEEFF"/>
          </w:tcPr>
          <w:p>
            <w:pPr>
              <w:jc w:val="right"/>
              <w:ind w:right="480"/>
              <w:spacing w:after="0"/>
              <w:rPr>
                <w:sz w:val="20"/>
                <w:szCs w:val="20"/>
                <w:color w:val="auto"/>
              </w:rPr>
            </w:pPr>
            <w:r>
              <w:rPr>
                <w:rFonts w:ascii="Arial" w:cs="Arial" w:eastAsia="Arial" w:hAnsi="Arial"/>
                <w:sz w:val="18"/>
                <w:szCs w:val="18"/>
                <w:color w:val="auto"/>
              </w:rPr>
              <w:t>(289,685)</w:t>
            </w:r>
          </w:p>
        </w:tc>
        <w:tc>
          <w:tcPr>
            <w:tcW w:w="120" w:type="dxa"/>
            <w:vAlign w:val="bottom"/>
            <w:shd w:val="clear" w:color="auto" w:fill="CCEEFF"/>
          </w:tcPr>
          <w:p>
            <w:pPr>
              <w:spacing w:after="0"/>
              <w:rPr>
                <w:sz w:val="20"/>
                <w:szCs w:val="20"/>
                <w:color w:val="auto"/>
              </w:rPr>
            </w:pPr>
            <w:r>
              <w:rPr>
                <w:rFonts w:ascii="Arial" w:cs="Arial" w:eastAsia="Arial" w:hAnsi="Arial"/>
                <w:sz w:val="18"/>
                <w:szCs w:val="18"/>
                <w:color w:val="auto"/>
                <w:w w:val="99"/>
              </w:rPr>
              <w:t>$</w:t>
            </w: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16.15</w:t>
            </w:r>
          </w:p>
        </w:tc>
        <w:tc>
          <w:tcPr>
            <w:tcW w:w="0" w:type="dxa"/>
            <w:vAlign w:val="bottom"/>
          </w:tcPr>
          <w:p>
            <w:pPr>
              <w:spacing w:after="0"/>
              <w:rPr>
                <w:sz w:val="1"/>
                <w:szCs w:val="1"/>
                <w:color w:val="auto"/>
              </w:rPr>
            </w:pPr>
          </w:p>
        </w:tc>
      </w:tr>
      <w:tr>
        <w:trPr>
          <w:trHeight w:val="223"/>
        </w:trPr>
        <w:tc>
          <w:tcPr>
            <w:tcW w:w="6000" w:type="dxa"/>
            <w:vAlign w:val="bottom"/>
          </w:tcPr>
          <w:p>
            <w:pPr>
              <w:spacing w:after="0"/>
              <w:rPr>
                <w:sz w:val="20"/>
                <w:szCs w:val="20"/>
                <w:color w:val="auto"/>
              </w:rPr>
            </w:pPr>
            <w:r>
              <w:rPr>
                <w:rFonts w:ascii="Arial" w:cs="Arial" w:eastAsia="Arial" w:hAnsi="Arial"/>
                <w:sz w:val="18"/>
                <w:szCs w:val="18"/>
                <w:color w:val="auto"/>
              </w:rPr>
              <w:t>Share units forfeited during the period</w:t>
            </w:r>
          </w:p>
        </w:tc>
        <w:tc>
          <w:tcPr>
            <w:tcW w:w="1420" w:type="dxa"/>
            <w:vAlign w:val="bottom"/>
            <w:gridSpan w:val="3"/>
          </w:tcPr>
          <w:p>
            <w:pPr>
              <w:jc w:val="right"/>
              <w:ind w:right="480"/>
              <w:spacing w:after="0"/>
              <w:rPr>
                <w:sz w:val="20"/>
                <w:szCs w:val="20"/>
                <w:color w:val="auto"/>
              </w:rPr>
            </w:pPr>
            <w:r>
              <w:rPr>
                <w:rFonts w:ascii="Arial" w:cs="Arial" w:eastAsia="Arial" w:hAnsi="Arial"/>
                <w:sz w:val="18"/>
                <w:szCs w:val="18"/>
                <w:color w:val="auto"/>
              </w:rPr>
              <w:t>(37,458)</w:t>
            </w: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820" w:type="dxa"/>
            <w:vAlign w:val="bottom"/>
            <w:gridSpan w:val="2"/>
          </w:tcPr>
          <w:p>
            <w:pPr>
              <w:jc w:val="right"/>
              <w:ind w:right="40"/>
              <w:spacing w:after="0"/>
              <w:rPr>
                <w:sz w:val="20"/>
                <w:szCs w:val="20"/>
                <w:color w:val="auto"/>
              </w:rPr>
            </w:pPr>
            <w:r>
              <w:rPr>
                <w:rFonts w:ascii="Arial" w:cs="Arial" w:eastAsia="Arial" w:hAnsi="Arial"/>
                <w:sz w:val="18"/>
                <w:szCs w:val="18"/>
                <w:color w:val="auto"/>
              </w:rPr>
              <w:t>17.27</w:t>
            </w:r>
          </w:p>
        </w:tc>
        <w:tc>
          <w:tcPr>
            <w:tcW w:w="0" w:type="dxa"/>
            <w:vAlign w:val="bottom"/>
          </w:tcPr>
          <w:p>
            <w:pPr>
              <w:spacing w:after="0"/>
              <w:rPr>
                <w:sz w:val="1"/>
                <w:szCs w:val="1"/>
                <w:color w:val="auto"/>
              </w:rPr>
            </w:pPr>
          </w:p>
        </w:tc>
      </w:tr>
      <w:tr>
        <w:trPr>
          <w:trHeight w:val="216"/>
        </w:trPr>
        <w:tc>
          <w:tcPr>
            <w:tcW w:w="60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Balances, December 31, 2018</w:t>
            </w:r>
          </w:p>
        </w:tc>
        <w:tc>
          <w:tcPr>
            <w:tcW w:w="8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640,750</w:t>
            </w:r>
          </w:p>
        </w:tc>
        <w:tc>
          <w:tcPr>
            <w:tcW w:w="2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w w:val="99"/>
              </w:rPr>
              <w:t>$</w:t>
            </w:r>
          </w:p>
        </w:tc>
        <w:tc>
          <w:tcPr>
            <w:tcW w:w="7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14.20</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000" w:type="dxa"/>
            <w:vAlign w:val="bottom"/>
          </w:tcPr>
          <w:p>
            <w:pPr>
              <w:spacing w:after="0"/>
              <w:rPr>
                <w:sz w:val="20"/>
                <w:szCs w:val="20"/>
                <w:color w:val="auto"/>
              </w:rPr>
            </w:pPr>
            <w:r>
              <w:rPr>
                <w:rFonts w:ascii="Arial" w:cs="Arial" w:eastAsia="Arial" w:hAnsi="Arial"/>
                <w:sz w:val="18"/>
                <w:szCs w:val="18"/>
                <w:color w:val="auto"/>
              </w:rPr>
              <w:t>Share units granted during the period</w:t>
            </w:r>
          </w:p>
        </w:tc>
        <w:tc>
          <w:tcPr>
            <w:tcW w:w="900" w:type="dxa"/>
            <w:vAlign w:val="bottom"/>
            <w:gridSpan w:val="2"/>
          </w:tcPr>
          <w:p>
            <w:pPr>
              <w:jc w:val="right"/>
              <w:ind w:right="20"/>
              <w:spacing w:after="0"/>
              <w:rPr>
                <w:sz w:val="20"/>
                <w:szCs w:val="20"/>
                <w:color w:val="auto"/>
              </w:rPr>
            </w:pPr>
            <w:r>
              <w:rPr>
                <w:rFonts w:ascii="Arial" w:cs="Arial" w:eastAsia="Arial" w:hAnsi="Arial"/>
                <w:sz w:val="18"/>
                <w:szCs w:val="18"/>
                <w:color w:val="auto"/>
              </w:rPr>
              <w:t>309,192</w:t>
            </w:r>
          </w:p>
        </w:tc>
        <w:tc>
          <w:tcPr>
            <w:tcW w:w="520" w:type="dxa"/>
            <w:vAlign w:val="bottom"/>
          </w:tcPr>
          <w:p>
            <w:pPr>
              <w:spacing w:after="0"/>
              <w:rPr>
                <w:sz w:val="18"/>
                <w:szCs w:val="18"/>
                <w:color w:val="auto"/>
              </w:rPr>
            </w:pP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820" w:type="dxa"/>
            <w:vAlign w:val="bottom"/>
            <w:gridSpan w:val="2"/>
          </w:tcPr>
          <w:p>
            <w:pPr>
              <w:jc w:val="right"/>
              <w:ind w:right="40"/>
              <w:spacing w:after="0"/>
              <w:rPr>
                <w:sz w:val="20"/>
                <w:szCs w:val="20"/>
                <w:color w:val="auto"/>
              </w:rPr>
            </w:pPr>
            <w:r>
              <w:rPr>
                <w:rFonts w:ascii="Arial" w:cs="Arial" w:eastAsia="Arial" w:hAnsi="Arial"/>
                <w:sz w:val="18"/>
                <w:szCs w:val="18"/>
                <w:color w:val="auto"/>
              </w:rPr>
              <w:t>9.20</w:t>
            </w:r>
          </w:p>
        </w:tc>
        <w:tc>
          <w:tcPr>
            <w:tcW w:w="0" w:type="dxa"/>
            <w:vAlign w:val="bottom"/>
          </w:tcPr>
          <w:p>
            <w:pPr>
              <w:spacing w:after="0"/>
              <w:rPr>
                <w:sz w:val="1"/>
                <w:szCs w:val="1"/>
                <w:color w:val="auto"/>
              </w:rPr>
            </w:pPr>
          </w:p>
        </w:tc>
      </w:tr>
      <w:tr>
        <w:trPr>
          <w:trHeight w:val="216"/>
        </w:trPr>
        <w:tc>
          <w:tcPr>
            <w:tcW w:w="6000" w:type="dxa"/>
            <w:vAlign w:val="bottom"/>
            <w:shd w:val="clear" w:color="auto" w:fill="CCEEFF"/>
          </w:tcPr>
          <w:p>
            <w:pPr>
              <w:spacing w:after="0"/>
              <w:rPr>
                <w:sz w:val="20"/>
                <w:szCs w:val="20"/>
                <w:color w:val="auto"/>
              </w:rPr>
            </w:pPr>
            <w:r>
              <w:rPr>
                <w:rFonts w:ascii="Arial" w:cs="Arial" w:eastAsia="Arial" w:hAnsi="Arial"/>
                <w:sz w:val="18"/>
                <w:szCs w:val="18"/>
                <w:color w:val="auto"/>
              </w:rPr>
              <w:t>Share units vested during the period</w:t>
            </w:r>
          </w:p>
        </w:tc>
        <w:tc>
          <w:tcPr>
            <w:tcW w:w="1420" w:type="dxa"/>
            <w:vAlign w:val="bottom"/>
            <w:gridSpan w:val="3"/>
            <w:shd w:val="clear" w:color="auto" w:fill="CCEEFF"/>
          </w:tcPr>
          <w:p>
            <w:pPr>
              <w:jc w:val="right"/>
              <w:ind w:right="480"/>
              <w:spacing w:after="0"/>
              <w:rPr>
                <w:sz w:val="20"/>
                <w:szCs w:val="20"/>
                <w:color w:val="auto"/>
              </w:rPr>
            </w:pPr>
            <w:r>
              <w:rPr>
                <w:rFonts w:ascii="Arial" w:cs="Arial" w:eastAsia="Arial" w:hAnsi="Arial"/>
                <w:sz w:val="18"/>
                <w:szCs w:val="18"/>
                <w:color w:val="auto"/>
              </w:rPr>
              <w:t>(281,377)</w:t>
            </w:r>
          </w:p>
        </w:tc>
        <w:tc>
          <w:tcPr>
            <w:tcW w:w="120" w:type="dxa"/>
            <w:vAlign w:val="bottom"/>
            <w:shd w:val="clear" w:color="auto" w:fill="CCEEFF"/>
          </w:tcPr>
          <w:p>
            <w:pPr>
              <w:spacing w:after="0"/>
              <w:rPr>
                <w:sz w:val="20"/>
                <w:szCs w:val="20"/>
                <w:color w:val="auto"/>
              </w:rPr>
            </w:pPr>
            <w:r>
              <w:rPr>
                <w:rFonts w:ascii="Arial" w:cs="Arial" w:eastAsia="Arial" w:hAnsi="Arial"/>
                <w:sz w:val="18"/>
                <w:szCs w:val="18"/>
                <w:color w:val="auto"/>
                <w:w w:val="99"/>
              </w:rPr>
              <w:t>$</w:t>
            </w: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13.97</w:t>
            </w:r>
          </w:p>
        </w:tc>
        <w:tc>
          <w:tcPr>
            <w:tcW w:w="0" w:type="dxa"/>
            <w:vAlign w:val="bottom"/>
          </w:tcPr>
          <w:p>
            <w:pPr>
              <w:spacing w:after="0"/>
              <w:rPr>
                <w:sz w:val="1"/>
                <w:szCs w:val="1"/>
                <w:color w:val="auto"/>
              </w:rPr>
            </w:pPr>
          </w:p>
        </w:tc>
      </w:tr>
      <w:tr>
        <w:trPr>
          <w:trHeight w:val="223"/>
        </w:trPr>
        <w:tc>
          <w:tcPr>
            <w:tcW w:w="6000" w:type="dxa"/>
            <w:vAlign w:val="bottom"/>
          </w:tcPr>
          <w:p>
            <w:pPr>
              <w:spacing w:after="0"/>
              <w:rPr>
                <w:sz w:val="20"/>
                <w:szCs w:val="20"/>
                <w:color w:val="auto"/>
              </w:rPr>
            </w:pPr>
            <w:r>
              <w:rPr>
                <w:rFonts w:ascii="Arial" w:cs="Arial" w:eastAsia="Arial" w:hAnsi="Arial"/>
                <w:sz w:val="18"/>
                <w:szCs w:val="18"/>
                <w:color w:val="auto"/>
              </w:rPr>
              <w:t>Share units forfeited during the period</w:t>
            </w:r>
          </w:p>
        </w:tc>
        <w:tc>
          <w:tcPr>
            <w:tcW w:w="1420" w:type="dxa"/>
            <w:vAlign w:val="bottom"/>
            <w:gridSpan w:val="3"/>
          </w:tcPr>
          <w:p>
            <w:pPr>
              <w:jc w:val="right"/>
              <w:ind w:right="480"/>
              <w:spacing w:after="0"/>
              <w:rPr>
                <w:sz w:val="20"/>
                <w:szCs w:val="20"/>
                <w:color w:val="auto"/>
              </w:rPr>
            </w:pPr>
            <w:r>
              <w:rPr>
                <w:rFonts w:ascii="Arial" w:cs="Arial" w:eastAsia="Arial" w:hAnsi="Arial"/>
                <w:sz w:val="18"/>
                <w:szCs w:val="18"/>
                <w:color w:val="auto"/>
              </w:rPr>
              <w:t>(10,945)</w:t>
            </w: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820" w:type="dxa"/>
            <w:vAlign w:val="bottom"/>
            <w:gridSpan w:val="2"/>
          </w:tcPr>
          <w:p>
            <w:pPr>
              <w:jc w:val="right"/>
              <w:ind w:right="40"/>
              <w:spacing w:after="0"/>
              <w:rPr>
                <w:sz w:val="20"/>
                <w:szCs w:val="20"/>
                <w:color w:val="auto"/>
              </w:rPr>
            </w:pPr>
            <w:r>
              <w:rPr>
                <w:rFonts w:ascii="Arial" w:cs="Arial" w:eastAsia="Arial" w:hAnsi="Arial"/>
                <w:sz w:val="18"/>
                <w:szCs w:val="18"/>
                <w:color w:val="auto"/>
              </w:rPr>
              <w:t>14.32</w:t>
            </w:r>
          </w:p>
        </w:tc>
        <w:tc>
          <w:tcPr>
            <w:tcW w:w="0" w:type="dxa"/>
            <w:vAlign w:val="bottom"/>
          </w:tcPr>
          <w:p>
            <w:pPr>
              <w:spacing w:after="0"/>
              <w:rPr>
                <w:sz w:val="1"/>
                <w:szCs w:val="1"/>
                <w:color w:val="auto"/>
              </w:rPr>
            </w:pPr>
          </w:p>
        </w:tc>
      </w:tr>
      <w:tr>
        <w:trPr>
          <w:trHeight w:val="216"/>
        </w:trPr>
        <w:tc>
          <w:tcPr>
            <w:tcW w:w="60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Balances, December 31, 2019</w:t>
            </w:r>
          </w:p>
        </w:tc>
        <w:tc>
          <w:tcPr>
            <w:tcW w:w="8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657,620</w:t>
            </w:r>
          </w:p>
        </w:tc>
        <w:tc>
          <w:tcPr>
            <w:tcW w:w="2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w w:val="99"/>
              </w:rPr>
              <w:t>$</w:t>
            </w:r>
          </w:p>
        </w:tc>
        <w:tc>
          <w:tcPr>
            <w:tcW w:w="7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11.95</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000" w:type="dxa"/>
            <w:vAlign w:val="bottom"/>
          </w:tcPr>
          <w:p>
            <w:pPr>
              <w:spacing w:after="0"/>
              <w:rPr>
                <w:sz w:val="20"/>
                <w:szCs w:val="20"/>
                <w:color w:val="auto"/>
              </w:rPr>
            </w:pPr>
            <w:r>
              <w:rPr>
                <w:rFonts w:ascii="Arial" w:cs="Arial" w:eastAsia="Arial" w:hAnsi="Arial"/>
                <w:sz w:val="18"/>
                <w:szCs w:val="18"/>
                <w:color w:val="auto"/>
              </w:rPr>
              <w:t>Share units granted during the period (1)</w:t>
            </w:r>
          </w:p>
        </w:tc>
        <w:tc>
          <w:tcPr>
            <w:tcW w:w="900" w:type="dxa"/>
            <w:vAlign w:val="bottom"/>
            <w:gridSpan w:val="2"/>
          </w:tcPr>
          <w:p>
            <w:pPr>
              <w:jc w:val="right"/>
              <w:ind w:right="20"/>
              <w:spacing w:after="0"/>
              <w:rPr>
                <w:sz w:val="20"/>
                <w:szCs w:val="20"/>
                <w:color w:val="auto"/>
              </w:rPr>
            </w:pPr>
            <w:r>
              <w:rPr>
                <w:rFonts w:ascii="Arial" w:cs="Arial" w:eastAsia="Arial" w:hAnsi="Arial"/>
                <w:sz w:val="18"/>
                <w:szCs w:val="18"/>
                <w:color w:val="auto"/>
              </w:rPr>
              <w:t>384,428</w:t>
            </w:r>
          </w:p>
        </w:tc>
        <w:tc>
          <w:tcPr>
            <w:tcW w:w="520" w:type="dxa"/>
            <w:vAlign w:val="bottom"/>
          </w:tcPr>
          <w:p>
            <w:pPr>
              <w:spacing w:after="0"/>
              <w:rPr>
                <w:sz w:val="18"/>
                <w:szCs w:val="18"/>
                <w:color w:val="auto"/>
              </w:rPr>
            </w:pP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820" w:type="dxa"/>
            <w:vAlign w:val="bottom"/>
            <w:gridSpan w:val="2"/>
          </w:tcPr>
          <w:p>
            <w:pPr>
              <w:jc w:val="right"/>
              <w:ind w:right="40"/>
              <w:spacing w:after="0"/>
              <w:rPr>
                <w:sz w:val="20"/>
                <w:szCs w:val="20"/>
                <w:color w:val="auto"/>
              </w:rPr>
            </w:pPr>
            <w:r>
              <w:rPr>
                <w:rFonts w:ascii="Arial" w:cs="Arial" w:eastAsia="Arial" w:hAnsi="Arial"/>
                <w:sz w:val="18"/>
                <w:szCs w:val="18"/>
                <w:color w:val="auto"/>
              </w:rPr>
              <w:t>16.96</w:t>
            </w:r>
          </w:p>
        </w:tc>
        <w:tc>
          <w:tcPr>
            <w:tcW w:w="0" w:type="dxa"/>
            <w:vAlign w:val="bottom"/>
          </w:tcPr>
          <w:p>
            <w:pPr>
              <w:spacing w:after="0"/>
              <w:rPr>
                <w:sz w:val="1"/>
                <w:szCs w:val="1"/>
                <w:color w:val="auto"/>
              </w:rPr>
            </w:pPr>
          </w:p>
        </w:tc>
      </w:tr>
      <w:tr>
        <w:trPr>
          <w:trHeight w:val="216"/>
        </w:trPr>
        <w:tc>
          <w:tcPr>
            <w:tcW w:w="6000" w:type="dxa"/>
            <w:vAlign w:val="bottom"/>
            <w:shd w:val="clear" w:color="auto" w:fill="CCEEFF"/>
          </w:tcPr>
          <w:p>
            <w:pPr>
              <w:spacing w:after="0"/>
              <w:rPr>
                <w:sz w:val="20"/>
                <w:szCs w:val="20"/>
                <w:color w:val="auto"/>
              </w:rPr>
            </w:pPr>
            <w:r>
              <w:rPr>
                <w:rFonts w:ascii="Arial" w:cs="Arial" w:eastAsia="Arial" w:hAnsi="Arial"/>
                <w:sz w:val="18"/>
                <w:szCs w:val="18"/>
                <w:color w:val="auto"/>
              </w:rPr>
              <w:t>Share units vested during the period</w:t>
            </w:r>
          </w:p>
        </w:tc>
        <w:tc>
          <w:tcPr>
            <w:tcW w:w="1420" w:type="dxa"/>
            <w:vAlign w:val="bottom"/>
            <w:gridSpan w:val="3"/>
            <w:shd w:val="clear" w:color="auto" w:fill="CCEEFF"/>
          </w:tcPr>
          <w:p>
            <w:pPr>
              <w:jc w:val="right"/>
              <w:ind w:right="480"/>
              <w:spacing w:after="0"/>
              <w:rPr>
                <w:sz w:val="20"/>
                <w:szCs w:val="20"/>
                <w:color w:val="auto"/>
              </w:rPr>
            </w:pPr>
            <w:r>
              <w:rPr>
                <w:rFonts w:ascii="Arial" w:cs="Arial" w:eastAsia="Arial" w:hAnsi="Arial"/>
                <w:sz w:val="18"/>
                <w:szCs w:val="18"/>
                <w:color w:val="auto"/>
              </w:rPr>
              <w:t>(300,404)</w:t>
            </w:r>
          </w:p>
        </w:tc>
        <w:tc>
          <w:tcPr>
            <w:tcW w:w="120" w:type="dxa"/>
            <w:vAlign w:val="bottom"/>
            <w:shd w:val="clear" w:color="auto" w:fill="CCEEFF"/>
          </w:tcPr>
          <w:p>
            <w:pPr>
              <w:spacing w:after="0"/>
              <w:rPr>
                <w:sz w:val="20"/>
                <w:szCs w:val="20"/>
                <w:color w:val="auto"/>
              </w:rPr>
            </w:pPr>
            <w:r>
              <w:rPr>
                <w:rFonts w:ascii="Arial" w:cs="Arial" w:eastAsia="Arial" w:hAnsi="Arial"/>
                <w:sz w:val="18"/>
                <w:szCs w:val="18"/>
                <w:color w:val="auto"/>
                <w:w w:val="99"/>
              </w:rPr>
              <w:t>$</w:t>
            </w: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12.08</w:t>
            </w:r>
          </w:p>
        </w:tc>
        <w:tc>
          <w:tcPr>
            <w:tcW w:w="0" w:type="dxa"/>
            <w:vAlign w:val="bottom"/>
          </w:tcPr>
          <w:p>
            <w:pPr>
              <w:spacing w:after="0"/>
              <w:rPr>
                <w:sz w:val="1"/>
                <w:szCs w:val="1"/>
                <w:color w:val="auto"/>
              </w:rPr>
            </w:pPr>
          </w:p>
        </w:tc>
      </w:tr>
      <w:tr>
        <w:trPr>
          <w:trHeight w:val="223"/>
        </w:trPr>
        <w:tc>
          <w:tcPr>
            <w:tcW w:w="6000" w:type="dxa"/>
            <w:vAlign w:val="bottom"/>
          </w:tcPr>
          <w:p>
            <w:pPr>
              <w:spacing w:after="0"/>
              <w:rPr>
                <w:sz w:val="20"/>
                <w:szCs w:val="20"/>
                <w:color w:val="auto"/>
              </w:rPr>
            </w:pPr>
            <w:r>
              <w:rPr>
                <w:rFonts w:ascii="Arial" w:cs="Arial" w:eastAsia="Arial" w:hAnsi="Arial"/>
                <w:sz w:val="18"/>
                <w:szCs w:val="18"/>
                <w:color w:val="auto"/>
              </w:rPr>
              <w:t>Share units forfeited during the period</w:t>
            </w:r>
          </w:p>
        </w:tc>
        <w:tc>
          <w:tcPr>
            <w:tcW w:w="1420" w:type="dxa"/>
            <w:vAlign w:val="bottom"/>
            <w:gridSpan w:val="3"/>
          </w:tcPr>
          <w:p>
            <w:pPr>
              <w:jc w:val="right"/>
              <w:ind w:right="480"/>
              <w:spacing w:after="0"/>
              <w:rPr>
                <w:sz w:val="20"/>
                <w:szCs w:val="20"/>
                <w:color w:val="auto"/>
              </w:rPr>
            </w:pPr>
            <w:r>
              <w:rPr>
                <w:rFonts w:ascii="Arial" w:cs="Arial" w:eastAsia="Arial" w:hAnsi="Arial"/>
                <w:sz w:val="18"/>
                <w:szCs w:val="18"/>
                <w:color w:val="auto"/>
              </w:rPr>
              <w:t>(19,743)</w:t>
            </w: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820" w:type="dxa"/>
            <w:vAlign w:val="bottom"/>
            <w:gridSpan w:val="2"/>
          </w:tcPr>
          <w:p>
            <w:pPr>
              <w:jc w:val="right"/>
              <w:ind w:right="40"/>
              <w:spacing w:after="0"/>
              <w:rPr>
                <w:sz w:val="20"/>
                <w:szCs w:val="20"/>
                <w:color w:val="auto"/>
              </w:rPr>
            </w:pPr>
            <w:r>
              <w:rPr>
                <w:rFonts w:ascii="Arial" w:cs="Arial" w:eastAsia="Arial" w:hAnsi="Arial"/>
                <w:sz w:val="18"/>
                <w:szCs w:val="18"/>
                <w:color w:val="auto"/>
              </w:rPr>
              <w:t>12.62</w:t>
            </w:r>
          </w:p>
        </w:tc>
        <w:tc>
          <w:tcPr>
            <w:tcW w:w="0" w:type="dxa"/>
            <w:vAlign w:val="bottom"/>
          </w:tcPr>
          <w:p>
            <w:pPr>
              <w:spacing w:after="0"/>
              <w:rPr>
                <w:sz w:val="1"/>
                <w:szCs w:val="1"/>
                <w:color w:val="auto"/>
              </w:rPr>
            </w:pPr>
          </w:p>
        </w:tc>
      </w:tr>
      <w:tr>
        <w:trPr>
          <w:trHeight w:val="216"/>
        </w:trPr>
        <w:tc>
          <w:tcPr>
            <w:tcW w:w="60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Balances, December 31, 2020</w:t>
            </w:r>
          </w:p>
        </w:tc>
        <w:tc>
          <w:tcPr>
            <w:tcW w:w="8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721,901</w:t>
            </w:r>
          </w:p>
        </w:tc>
        <w:tc>
          <w:tcPr>
            <w:tcW w:w="2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20" w:type="dxa"/>
            <w:vAlign w:val="bottom"/>
            <w:tcBorders>
              <w:top w:val="single" w:sz="8" w:color="auto"/>
              <w:bottom w:val="single" w:sz="8" w:color="auto"/>
            </w:tcBorders>
            <w:shd w:val="clear" w:color="auto" w:fill="CCEEFF"/>
          </w:tcPr>
          <w:p>
            <w:pPr>
              <w:spacing w:after="0"/>
              <w:rPr>
                <w:sz w:val="20"/>
                <w:szCs w:val="20"/>
                <w:color w:val="auto"/>
              </w:rPr>
            </w:pPr>
            <w:r>
              <w:rPr>
                <w:rFonts w:ascii="Arial" w:cs="Arial" w:eastAsia="Arial" w:hAnsi="Arial"/>
                <w:sz w:val="18"/>
                <w:szCs w:val="18"/>
                <w:color w:val="auto"/>
                <w:w w:val="99"/>
              </w:rPr>
              <w:t>$</w:t>
            </w:r>
          </w:p>
        </w:tc>
        <w:tc>
          <w:tcPr>
            <w:tcW w:w="7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14.55</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6000" w:type="dxa"/>
            <w:vAlign w:val="bottom"/>
            <w:vMerge w:val="restart"/>
          </w:tcPr>
          <w:p>
            <w:pPr>
              <w:spacing w:after="0"/>
              <w:rPr>
                <w:sz w:val="20"/>
                <w:szCs w:val="20"/>
                <w:color w:val="auto"/>
              </w:rPr>
            </w:pPr>
            <w:r>
              <w:rPr>
                <w:rFonts w:ascii="Arial" w:cs="Arial" w:eastAsia="Arial" w:hAnsi="Arial"/>
                <w:sz w:val="18"/>
                <w:szCs w:val="18"/>
                <w:color w:val="auto"/>
              </w:rPr>
              <w:t>Share units outstanding and expected to vest at December 31, 2020</w:t>
            </w:r>
          </w:p>
        </w:tc>
        <w:tc>
          <w:tcPr>
            <w:tcW w:w="900" w:type="dxa"/>
            <w:vAlign w:val="bottom"/>
            <w:gridSpan w:val="2"/>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2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6000" w:type="dxa"/>
            <w:vAlign w:val="bottom"/>
            <w:vMerge w:val="continue"/>
          </w:tcPr>
          <w:p>
            <w:pPr>
              <w:spacing w:after="0"/>
              <w:rPr>
                <w:sz w:val="18"/>
                <w:szCs w:val="18"/>
                <w:color w:val="auto"/>
              </w:rPr>
            </w:pP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677,055</w:t>
            </w:r>
          </w:p>
        </w:tc>
        <w:tc>
          <w:tcPr>
            <w:tcW w:w="20" w:type="dxa"/>
            <w:vAlign w:val="bottom"/>
            <w:tcBorders>
              <w:bottom w:val="single" w:sz="8" w:color="auto"/>
            </w:tcBorders>
          </w:tcPr>
          <w:p>
            <w:pPr>
              <w:spacing w:after="0"/>
              <w:rPr>
                <w:sz w:val="18"/>
                <w:szCs w:val="18"/>
                <w:color w:val="auto"/>
              </w:rPr>
            </w:pPr>
          </w:p>
        </w:tc>
        <w:tc>
          <w:tcPr>
            <w:tcW w:w="520" w:type="dxa"/>
            <w:vAlign w:val="bottom"/>
          </w:tcPr>
          <w:p>
            <w:pPr>
              <w:spacing w:after="0"/>
              <w:rPr>
                <w:sz w:val="18"/>
                <w:szCs w:val="18"/>
                <w:color w:val="auto"/>
              </w:rPr>
            </w:pPr>
          </w:p>
        </w:tc>
        <w:tc>
          <w:tcPr>
            <w:tcW w:w="12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99"/>
              </w:rPr>
              <w:t>$</w:t>
            </w: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14.48</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6000" w:type="dxa"/>
            <w:vAlign w:val="bottom"/>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42" w:lineRule="exact"/>
        <w:rPr>
          <w:sz w:val="20"/>
          <w:szCs w:val="20"/>
          <w:color w:val="auto"/>
        </w:rPr>
      </w:pPr>
    </w:p>
    <w:p>
      <w:pPr>
        <w:ind w:left="424" w:right="120" w:hanging="424"/>
        <w:spacing w:after="0" w:line="301" w:lineRule="auto"/>
        <w:tabs>
          <w:tab w:leader="none" w:pos="424" w:val="left"/>
        </w:tabs>
        <w:numPr>
          <w:ilvl w:val="0"/>
          <w:numId w:val="134"/>
        </w:numPr>
        <w:rPr>
          <w:rFonts w:ascii="Arial" w:cs="Arial" w:eastAsia="Arial" w:hAnsi="Arial"/>
          <w:sz w:val="16"/>
          <w:szCs w:val="16"/>
          <w:color w:val="auto"/>
        </w:rPr>
      </w:pPr>
      <w:r>
        <w:rPr>
          <w:rFonts w:ascii="Arial" w:cs="Arial" w:eastAsia="Arial" w:hAnsi="Arial"/>
          <w:sz w:val="16"/>
          <w:szCs w:val="16"/>
          <w:color w:val="auto"/>
        </w:rPr>
        <w:t>Share units granted during the year ended December 31, 2020 includes 183,560 shares of PSU awards with a grant date fair value of $22.06 per share. On the settlement date for each measurement period of market-based awards, grantees may receive shares equal to 0% to 200% of the awards granted depending upon the achievement of certain market criteria based on the Company’s TSR relative to the peer group during the three-year performance period. There were no PSU awards granted during the years ended December 31, 2019 and 2018.</w:t>
      </w:r>
    </w:p>
    <w:p>
      <w:pPr>
        <w:spacing w:after="0" w:line="157" w:lineRule="exact"/>
        <w:rPr>
          <w:sz w:val="20"/>
          <w:szCs w:val="20"/>
          <w:color w:val="auto"/>
        </w:rPr>
      </w:pPr>
    </w:p>
    <w:p>
      <w:pPr>
        <w:ind w:left="4" w:right="320" w:firstLine="440"/>
        <w:spacing w:after="0" w:line="259" w:lineRule="auto"/>
        <w:rPr>
          <w:sz w:val="20"/>
          <w:szCs w:val="20"/>
          <w:color w:val="auto"/>
        </w:rPr>
      </w:pPr>
      <w:r>
        <w:rPr>
          <w:rFonts w:ascii="Arial" w:cs="Arial" w:eastAsia="Arial" w:hAnsi="Arial"/>
          <w:sz w:val="18"/>
          <w:szCs w:val="18"/>
          <w:color w:val="auto"/>
        </w:rPr>
        <w:t>As of December 31, 2020, $8,833 of total compensation cost related to non-vested time-based RSU and market-based PSU awards not yet recognized is expected to be recognized over a weighted average period of 2 years. The grant date fair value of the market-based PSU awards is recognized as expense ratably over the vesting period and is not adjusted in future periods for the success or failure to achieve the specified market condition.</w:t>
      </w:r>
    </w:p>
    <w:p>
      <w:pPr>
        <w:spacing w:after="0" w:line="187" w:lineRule="exact"/>
        <w:rPr>
          <w:sz w:val="20"/>
          <w:szCs w:val="20"/>
          <w:color w:val="auto"/>
        </w:rPr>
      </w:pPr>
    </w:p>
    <w:p>
      <w:pPr>
        <w:ind w:left="4" w:right="100" w:firstLine="440"/>
        <w:spacing w:after="0" w:line="263" w:lineRule="auto"/>
        <w:rPr>
          <w:sz w:val="20"/>
          <w:szCs w:val="20"/>
          <w:color w:val="auto"/>
        </w:rPr>
      </w:pPr>
      <w:r>
        <w:rPr>
          <w:rFonts w:ascii="Arial" w:cs="Arial" w:eastAsia="Arial" w:hAnsi="Arial"/>
          <w:sz w:val="18"/>
          <w:szCs w:val="18"/>
          <w:color w:val="auto"/>
        </w:rPr>
        <w:t>There were no PSU awards granted during the years ended December 31, 2019 and 2018. The fair value of PSU awards granted during the year ended December 31, 2020 was determined using the Monte Carlo simulation valuation model that incorporated multiple valuation assumptions, including the probability of achieving the specified market condition and the following assumptions.:</w:t>
      </w:r>
    </w:p>
    <w:p>
      <w:pPr>
        <w:spacing w:after="0" w:line="202" w:lineRule="exact"/>
        <w:rPr>
          <w:sz w:val="20"/>
          <w:szCs w:val="20"/>
          <w:color w:val="auto"/>
        </w:rPr>
      </w:pPr>
    </w:p>
    <w:tbl>
      <w:tblPr>
        <w:tblLayout w:type="fixed"/>
        <w:tblInd w:w="1764" w:type="dxa"/>
        <w:tblCellMar>
          <w:top w:w="0" w:type="dxa"/>
          <w:left w:w="0" w:type="dxa"/>
          <w:bottom w:w="0" w:type="dxa"/>
          <w:right w:w="0" w:type="dxa"/>
        </w:tblCellMar>
      </w:tblPr>
      <w:tr>
        <w:trPr>
          <w:trHeight w:val="171"/>
        </w:trPr>
        <w:tc>
          <w:tcPr>
            <w:tcW w:w="6900" w:type="dxa"/>
            <w:vAlign w:val="bottom"/>
            <w:tcBorders>
              <w:bottom w:val="single" w:sz="8" w:color="CCEEFF"/>
            </w:tcBorders>
          </w:tcPr>
          <w:p>
            <w:pPr>
              <w:spacing w:after="0"/>
              <w:rPr>
                <w:sz w:val="14"/>
                <w:szCs w:val="14"/>
                <w:color w:val="auto"/>
              </w:rPr>
            </w:pP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rPr>
              <w:t>2020</w:t>
            </w:r>
          </w:p>
        </w:tc>
        <w:tc>
          <w:tcPr>
            <w:tcW w:w="200" w:type="dxa"/>
            <w:vAlign w:val="bottom"/>
            <w:tcBorders>
              <w:bottom w:val="single" w:sz="8" w:color="CCEEFF"/>
            </w:tcBorders>
          </w:tcPr>
          <w:p>
            <w:pPr>
              <w:spacing w:after="0"/>
              <w:rPr>
                <w:sz w:val="14"/>
                <w:szCs w:val="14"/>
                <w:color w:val="auto"/>
              </w:rPr>
            </w:pPr>
          </w:p>
        </w:tc>
      </w:tr>
      <w:tr>
        <w:trPr>
          <w:trHeight w:val="210"/>
        </w:trPr>
        <w:tc>
          <w:tcPr>
            <w:tcW w:w="6900" w:type="dxa"/>
            <w:vAlign w:val="bottom"/>
            <w:shd w:val="clear" w:color="auto" w:fill="CCEEFF"/>
          </w:tcPr>
          <w:p>
            <w:pPr>
              <w:spacing w:after="0"/>
              <w:rPr>
                <w:sz w:val="20"/>
                <w:szCs w:val="20"/>
                <w:color w:val="auto"/>
              </w:rPr>
            </w:pPr>
            <w:r>
              <w:rPr>
                <w:rFonts w:ascii="Arial" w:cs="Arial" w:eastAsia="Arial" w:hAnsi="Arial"/>
                <w:sz w:val="18"/>
                <w:szCs w:val="18"/>
                <w:color w:val="auto"/>
              </w:rPr>
              <w:t>Risk-free interest rates</w:t>
            </w:r>
          </w:p>
        </w:tc>
        <w:tc>
          <w:tcPr>
            <w:tcW w:w="5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0.16%</w:t>
            </w:r>
          </w:p>
        </w:tc>
      </w:tr>
      <w:tr>
        <w:trPr>
          <w:trHeight w:val="216"/>
        </w:trPr>
        <w:tc>
          <w:tcPr>
            <w:tcW w:w="6900" w:type="dxa"/>
            <w:vAlign w:val="bottom"/>
          </w:tcPr>
          <w:p>
            <w:pPr>
              <w:spacing w:after="0"/>
              <w:rPr>
                <w:sz w:val="20"/>
                <w:szCs w:val="20"/>
                <w:color w:val="auto"/>
              </w:rPr>
            </w:pPr>
            <w:r>
              <w:rPr>
                <w:rFonts w:ascii="Arial" w:cs="Arial" w:eastAsia="Arial" w:hAnsi="Arial"/>
                <w:sz w:val="18"/>
                <w:szCs w:val="18"/>
                <w:color w:val="auto"/>
              </w:rPr>
              <w:t>Expected common share price volatilities</w:t>
            </w:r>
          </w:p>
        </w:tc>
        <w:tc>
          <w:tcPr>
            <w:tcW w:w="580" w:type="dxa"/>
            <w:vAlign w:val="bottom"/>
            <w:gridSpan w:val="2"/>
          </w:tcPr>
          <w:p>
            <w:pPr>
              <w:jc w:val="right"/>
              <w:ind w:right="40"/>
              <w:spacing w:after="0"/>
              <w:rPr>
                <w:sz w:val="20"/>
                <w:szCs w:val="20"/>
                <w:color w:val="auto"/>
              </w:rPr>
            </w:pPr>
            <w:r>
              <w:rPr>
                <w:rFonts w:ascii="Arial" w:cs="Arial" w:eastAsia="Arial" w:hAnsi="Arial"/>
                <w:sz w:val="18"/>
                <w:szCs w:val="18"/>
                <w:color w:val="auto"/>
              </w:rPr>
              <w:t>57.4%</w:t>
            </w:r>
          </w:p>
        </w:tc>
      </w:tr>
      <w:tr>
        <w:trPr>
          <w:trHeight w:val="216"/>
        </w:trPr>
        <w:tc>
          <w:tcPr>
            <w:tcW w:w="6900" w:type="dxa"/>
            <w:vAlign w:val="bottom"/>
            <w:shd w:val="clear" w:color="auto" w:fill="CCEEFF"/>
          </w:tcPr>
          <w:p>
            <w:pPr>
              <w:spacing w:after="0"/>
              <w:rPr>
                <w:sz w:val="20"/>
                <w:szCs w:val="20"/>
                <w:color w:val="auto"/>
              </w:rPr>
            </w:pPr>
            <w:r>
              <w:rPr>
                <w:rFonts w:ascii="Arial" w:cs="Arial" w:eastAsia="Arial" w:hAnsi="Arial"/>
                <w:sz w:val="18"/>
                <w:szCs w:val="18"/>
                <w:color w:val="auto"/>
              </w:rPr>
              <w:t>Expected dividends</w:t>
            </w:r>
          </w:p>
        </w:tc>
        <w:tc>
          <w:tcPr>
            <w:tcW w:w="5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0.0%</w:t>
            </w:r>
          </w:p>
        </w:tc>
      </w:tr>
    </w:tbl>
    <w:p>
      <w:pPr>
        <w:spacing w:after="0" w:line="306"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(13) Share Repurchase Program</w:t>
      </w:r>
    </w:p>
    <w:p>
      <w:pPr>
        <w:spacing w:after="0" w:line="121" w:lineRule="exact"/>
        <w:rPr>
          <w:sz w:val="20"/>
          <w:szCs w:val="20"/>
          <w:color w:val="auto"/>
        </w:rPr>
      </w:pPr>
    </w:p>
    <w:p>
      <w:pPr>
        <w:ind w:left="4" w:firstLine="440"/>
        <w:spacing w:after="0" w:line="255" w:lineRule="auto"/>
        <w:rPr>
          <w:sz w:val="20"/>
          <w:szCs w:val="20"/>
          <w:color w:val="auto"/>
        </w:rPr>
      </w:pPr>
      <w:r>
        <w:rPr>
          <w:rFonts w:ascii="Arial" w:cs="Arial" w:eastAsia="Arial" w:hAnsi="Arial"/>
          <w:sz w:val="18"/>
          <w:szCs w:val="18"/>
          <w:color w:val="auto"/>
        </w:rPr>
        <w:t>In August 2019, the Company’s board of directors approved a share repurchase program to repurchase up to $25,000 of the Company’s common shares, in March 2020 the board of directors approved an increase by another $25,000 to this program and in September 2020 the program was further increased by $50,000. Under the program, the Company may purchase its common shares from time to time in the open market, in privately negotiated transactions or such other manner as will comply with applicable laws and regulations. The authorization did not obligate the Company to acquire a specific number of shares during any period, but it may be modified, suspended or terminated at any time at the discretion of the Company’s board of directors.</w:t>
      </w:r>
    </w:p>
    <w:p>
      <w:pPr>
        <w:spacing w:after="0" w:line="125" w:lineRule="exact"/>
        <w:rPr>
          <w:sz w:val="20"/>
          <w:szCs w:val="20"/>
          <w:color w:val="auto"/>
        </w:rPr>
      </w:pPr>
    </w:p>
    <w:p>
      <w:pPr>
        <w:jc w:val="center"/>
        <w:ind w:right="-143"/>
        <w:spacing w:after="0"/>
        <w:rPr>
          <w:sz w:val="20"/>
          <w:szCs w:val="20"/>
          <w:color w:val="auto"/>
        </w:rPr>
      </w:pPr>
      <w:r>
        <w:rPr>
          <w:rFonts w:ascii="Arial" w:cs="Arial" w:eastAsia="Arial" w:hAnsi="Arial"/>
          <w:sz w:val="18"/>
          <w:szCs w:val="18"/>
          <w:color w:val="auto"/>
        </w:rPr>
        <w:t>F-48</w:t>
      </w:r>
    </w:p>
    <w:p>
      <w:pPr>
        <w:sectPr>
          <w:pgSz w:w="11900" w:h="16838" w:orient="portrait"/>
          <w:cols w:equalWidth="0" w:num="1">
            <w:col w:w="10884"/>
          </w:cols>
          <w:pgMar w:left="436" w:top="274" w:right="579" w:bottom="1440" w:gutter="0" w:footer="0" w:header="0"/>
        </w:sectPr>
      </w:pPr>
    </w:p>
    <w:bookmarkStart w:id="162" w:name="page163"/>
    <w:bookmarkEnd w:id="162"/>
    <w:p>
      <w:pPr>
        <w:ind w:right="500" w:firstLine="44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During the year ended December 31, 2019, the Company repurchased 878,637 shares at an average price of $9.75 and for a total amount of $8,597, including commission paid. During the year ended December 31, 2020, the Company repurchased 6,736,493 shares at an average price of $10.17 for a total amount of $68,493, including commissions paid. As of December 31, 2020, approximately $23,202 remained available for repurchases under the share repurchase program.</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(14) Subsequent Event</w:t>
      </w:r>
    </w:p>
    <w:p>
      <w:pPr>
        <w:spacing w:after="0" w:line="121" w:lineRule="exact"/>
        <w:rPr>
          <w:sz w:val="20"/>
          <w:szCs w:val="20"/>
          <w:color w:val="auto"/>
        </w:rPr>
      </w:pPr>
    </w:p>
    <w:p>
      <w:pPr>
        <w:jc w:val="both"/>
        <w:ind w:right="40" w:firstLine="440"/>
        <w:spacing w:after="0" w:line="263" w:lineRule="auto"/>
        <w:rPr>
          <w:sz w:val="20"/>
          <w:szCs w:val="20"/>
          <w:color w:val="auto"/>
        </w:rPr>
      </w:pPr>
      <w:r>
        <w:rPr>
          <w:rFonts w:ascii="Arial" w:cs="Arial" w:eastAsia="Arial" w:hAnsi="Arial"/>
          <w:sz w:val="18"/>
          <w:szCs w:val="18"/>
          <w:color w:val="auto"/>
        </w:rPr>
        <w:t>On January 19, 2021, the Company completed the acquisition of 49.9% of the common shares of TAP Funding from TAP Ltd. for a total purchase price consideration of $21,500. Following the acquisition, the Company owns 100% of TAP Funding and became a wholly-owned subsidiary of the. On February 10, 2021, the Company fully paid and terminated its TAP Funding Revolving Credit Facility.</w:t>
      </w:r>
    </w:p>
    <w:p>
      <w:pPr>
        <w:spacing w:after="0" w:line="184" w:lineRule="exact"/>
        <w:rPr>
          <w:sz w:val="20"/>
          <w:szCs w:val="20"/>
          <w:color w:val="auto"/>
        </w:rPr>
      </w:pPr>
    </w:p>
    <w:p>
      <w:pPr>
        <w:ind w:firstLine="440"/>
        <w:spacing w:after="0" w:line="255" w:lineRule="auto"/>
        <w:rPr>
          <w:sz w:val="20"/>
          <w:szCs w:val="20"/>
          <w:color w:val="auto"/>
        </w:rPr>
      </w:pPr>
      <w:r>
        <w:rPr>
          <w:rFonts w:ascii="Arial" w:cs="Arial" w:eastAsia="Arial" w:hAnsi="Arial"/>
          <w:sz w:val="18"/>
          <w:szCs w:val="18"/>
          <w:color w:val="auto"/>
        </w:rPr>
        <w:t>On February 10, 2021, TMCL VII issued $523,500 of aggregate Class A and $26,500 of aggregate Class B Series 2021-1 Fixed Rate Asset Backed Notes (“the TMCL VII 2021-1 Bonds”) to qualified institutional investors pursuant to Rule 144A under the Securities Act and to non-U.S. persons in accordance with Regulation S promulgated under the Securities Act. The TMCL VII 2021-1 Bonds totaling $550,000 represent partially amortizing notes payable over an expected payment term of 7.5 years. Proceeds from the TMCL VII 2021-1 Bonds were primarily used to pay down the Company’s revolving credit facilities to create additional borrowing capacity for future container investments. The TMCL VII 2021-1 Bonds are secured by a pledge of TMCL VII’s assets.</w:t>
      </w:r>
    </w:p>
    <w:p>
      <w:pPr>
        <w:spacing w:after="0" w:line="192" w:lineRule="exact"/>
        <w:rPr>
          <w:sz w:val="20"/>
          <w:szCs w:val="20"/>
          <w:color w:val="auto"/>
        </w:rPr>
      </w:pPr>
    </w:p>
    <w:p>
      <w:pPr>
        <w:jc w:val="both"/>
        <w:ind w:right="220" w:firstLine="440"/>
        <w:spacing w:after="0" w:line="311" w:lineRule="auto"/>
        <w:rPr>
          <w:sz w:val="20"/>
          <w:szCs w:val="20"/>
          <w:color w:val="auto"/>
        </w:rPr>
      </w:pPr>
      <w:r>
        <w:rPr>
          <w:rFonts w:ascii="Arial" w:cs="Arial" w:eastAsia="Arial" w:hAnsi="Arial"/>
          <w:sz w:val="16"/>
          <w:szCs w:val="16"/>
          <w:color w:val="auto"/>
        </w:rPr>
        <w:t>On February 19, 2021, TL completed a $70,270 seven-year term loan with a group of financial institutions that represents a partially amortizing term loan based on defined repayment schedules until February 2028. Interest on the outstanding amount due under this term loan is based on a fixed rate of 2.65% per annum, payable monthly in arrears. Proceeds from this term loan were used to pay down TL’s revolving credit facility.</w:t>
      </w:r>
    </w:p>
    <w:p>
      <w:pPr>
        <w:spacing w:after="0" w:line="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F-49</w:t>
      </w:r>
    </w:p>
    <w:p>
      <w:pPr>
        <w:sectPr>
          <w:pgSz w:w="11900" w:h="16838" w:orient="portrait"/>
          <w:cols w:equalWidth="0" w:num="1">
            <w:col w:w="11000"/>
          </w:cols>
          <w:pgMar w:left="440" w:top="274" w:right="459" w:bottom="1440" w:gutter="0" w:footer="0" w:header="0"/>
        </w:sectPr>
      </w:pPr>
    </w:p>
    <w:bookmarkStart w:id="163" w:name="page164"/>
    <w:bookmarkEnd w:id="163"/>
    <w:p>
      <w:pPr>
        <w:jc w:val="center"/>
        <w:ind w:right="2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TEXTAINER GROUP HOLDINGS LIMITED AND SUBSIDIARIES</w:t>
      </w:r>
    </w:p>
    <w:p>
      <w:pPr>
        <w:spacing w:after="0" w:line="27"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SCHEDULE I - CONDENSED STATEMENTS OF COMPREHENSIVE INCOME</w:t>
      </w:r>
    </w:p>
    <w:p>
      <w:pPr>
        <w:spacing w:after="0" w:line="9"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Parent Company Information</w:t>
      </w:r>
    </w:p>
    <w:p>
      <w:pPr>
        <w:spacing w:after="0" w:line="9"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Years Ended December 31, 2020, 2019 and 2018</w:t>
      </w:r>
    </w:p>
    <w:p>
      <w:pPr>
        <w:spacing w:after="0" w:line="9"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(All currency expressed in United States dollars in thousands)</w:t>
      </w:r>
    </w:p>
    <w:p>
      <w:pPr>
        <w:spacing w:after="0" w:line="22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7960" w:type="dxa"/>
            <w:vAlign w:val="bottom"/>
            <w:tcBorders>
              <w:bottom w:val="single" w:sz="8" w:color="CCEEFF"/>
            </w:tcBorders>
          </w:tcPr>
          <w:p>
            <w:pPr>
              <w:spacing w:after="0"/>
              <w:rPr>
                <w:sz w:val="14"/>
                <w:szCs w:val="14"/>
                <w:color w:val="auto"/>
              </w:rPr>
            </w:pPr>
          </w:p>
        </w:tc>
        <w:tc>
          <w:tcPr>
            <w:tcW w:w="66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jc w:val="right"/>
              <w:ind w:right="91"/>
              <w:spacing w:after="0"/>
              <w:rPr>
                <w:sz w:val="20"/>
                <w:szCs w:val="20"/>
                <w:color w:val="auto"/>
              </w:rPr>
            </w:pPr>
            <w:r>
              <w:rPr>
                <w:rFonts w:ascii="Arial" w:cs="Arial" w:eastAsia="Arial" w:hAnsi="Arial"/>
                <w:sz w:val="14"/>
                <w:szCs w:val="14"/>
                <w:b w:val="1"/>
                <w:bCs w:val="1"/>
                <w:color w:val="auto"/>
              </w:rPr>
              <w:t>2020</w:t>
            </w:r>
          </w:p>
        </w:tc>
        <w:tc>
          <w:tcPr>
            <w:tcW w:w="22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71"/>
              <w:spacing w:after="0"/>
              <w:rPr>
                <w:sz w:val="20"/>
                <w:szCs w:val="20"/>
                <w:color w:val="auto"/>
              </w:rPr>
            </w:pPr>
            <w:r>
              <w:rPr>
                <w:rFonts w:ascii="Arial" w:cs="Arial" w:eastAsia="Arial" w:hAnsi="Arial"/>
                <w:sz w:val="14"/>
                <w:szCs w:val="14"/>
                <w:b w:val="1"/>
                <w:bCs w:val="1"/>
                <w:color w:val="auto"/>
              </w:rPr>
              <w:t>2019</w:t>
            </w:r>
          </w:p>
        </w:tc>
        <w:tc>
          <w:tcPr>
            <w:tcW w:w="20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51"/>
              <w:spacing w:after="0"/>
              <w:rPr>
                <w:sz w:val="20"/>
                <w:szCs w:val="20"/>
                <w:color w:val="auto"/>
              </w:rPr>
            </w:pPr>
            <w:r>
              <w:rPr>
                <w:rFonts w:ascii="Arial" w:cs="Arial" w:eastAsia="Arial" w:hAnsi="Arial"/>
                <w:sz w:val="14"/>
                <w:szCs w:val="14"/>
                <w:b w:val="1"/>
                <w:bCs w:val="1"/>
                <w:color w:val="auto"/>
              </w:rPr>
              <w:t>2018</w:t>
            </w:r>
          </w:p>
        </w:tc>
        <w:tc>
          <w:tcPr>
            <w:tcW w:w="12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196"/>
        </w:trPr>
        <w:tc>
          <w:tcPr>
            <w:tcW w:w="79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Operating expenses:</w:t>
            </w:r>
          </w:p>
        </w:tc>
        <w:tc>
          <w:tcPr>
            <w:tcW w:w="6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7960" w:type="dxa"/>
            <w:vAlign w:val="bottom"/>
          </w:tcPr>
          <w:p>
            <w:pPr>
              <w:ind w:left="360"/>
              <w:spacing w:after="0"/>
              <w:rPr>
                <w:sz w:val="20"/>
                <w:szCs w:val="20"/>
                <w:color w:val="auto"/>
              </w:rPr>
            </w:pPr>
            <w:r>
              <w:rPr>
                <w:rFonts w:ascii="Arial" w:cs="Arial" w:eastAsia="Arial" w:hAnsi="Arial"/>
                <w:sz w:val="18"/>
                <w:szCs w:val="18"/>
                <w:color w:val="auto"/>
              </w:rPr>
              <w:t>General and administrative expense</w:t>
            </w:r>
          </w:p>
        </w:tc>
        <w:tc>
          <w:tcPr>
            <w:tcW w:w="660" w:type="dxa"/>
            <w:vAlign w:val="bottom"/>
          </w:tcPr>
          <w:p>
            <w:pPr>
              <w:spacing w:after="0"/>
              <w:rPr>
                <w:sz w:val="18"/>
                <w:szCs w:val="18"/>
                <w:color w:val="auto"/>
              </w:rPr>
            </w:pP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780" w:type="dxa"/>
            <w:vAlign w:val="bottom"/>
            <w:gridSpan w:val="2"/>
          </w:tcPr>
          <w:p>
            <w:pPr>
              <w:jc w:val="right"/>
              <w:ind w:right="220"/>
              <w:spacing w:after="0"/>
              <w:rPr>
                <w:sz w:val="20"/>
                <w:szCs w:val="20"/>
                <w:color w:val="auto"/>
              </w:rPr>
            </w:pPr>
            <w:r>
              <w:rPr>
                <w:rFonts w:ascii="Arial" w:cs="Arial" w:eastAsia="Arial" w:hAnsi="Arial"/>
                <w:sz w:val="18"/>
                <w:szCs w:val="18"/>
                <w:color w:val="auto"/>
              </w:rPr>
              <w:t>3,988</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700" w:type="dxa"/>
            <w:vAlign w:val="bottom"/>
            <w:gridSpan w:val="2"/>
          </w:tcPr>
          <w:p>
            <w:pPr>
              <w:jc w:val="right"/>
              <w:ind w:right="200"/>
              <w:spacing w:after="0"/>
              <w:rPr>
                <w:sz w:val="20"/>
                <w:szCs w:val="20"/>
                <w:color w:val="auto"/>
              </w:rPr>
            </w:pPr>
            <w:r>
              <w:rPr>
                <w:rFonts w:ascii="Arial" w:cs="Arial" w:eastAsia="Arial" w:hAnsi="Arial"/>
                <w:sz w:val="18"/>
                <w:szCs w:val="18"/>
                <w:color w:val="auto"/>
              </w:rPr>
              <w:t>4,089</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620" w:type="dxa"/>
            <w:vAlign w:val="bottom"/>
            <w:gridSpan w:val="2"/>
          </w:tcPr>
          <w:p>
            <w:pPr>
              <w:jc w:val="right"/>
              <w:ind w:right="120"/>
              <w:spacing w:after="0"/>
              <w:rPr>
                <w:sz w:val="20"/>
                <w:szCs w:val="20"/>
                <w:color w:val="auto"/>
              </w:rPr>
            </w:pPr>
            <w:r>
              <w:rPr>
                <w:rFonts w:ascii="Arial" w:cs="Arial" w:eastAsia="Arial" w:hAnsi="Arial"/>
                <w:sz w:val="18"/>
                <w:szCs w:val="18"/>
                <w:color w:val="auto"/>
              </w:rPr>
              <w:t>4,083</w:t>
            </w:r>
          </w:p>
        </w:tc>
        <w:tc>
          <w:tcPr>
            <w:tcW w:w="0" w:type="dxa"/>
            <w:vAlign w:val="bottom"/>
          </w:tcPr>
          <w:p>
            <w:pPr>
              <w:spacing w:after="0"/>
              <w:rPr>
                <w:sz w:val="1"/>
                <w:szCs w:val="1"/>
                <w:color w:val="auto"/>
              </w:rPr>
            </w:pPr>
          </w:p>
        </w:tc>
      </w:tr>
      <w:tr>
        <w:trPr>
          <w:trHeight w:val="27"/>
        </w:trPr>
        <w:tc>
          <w:tcPr>
            <w:tcW w:w="7960" w:type="dxa"/>
            <w:vAlign w:val="bottom"/>
          </w:tcPr>
          <w:p>
            <w:pPr>
              <w:spacing w:after="0"/>
              <w:rPr>
                <w:sz w:val="2"/>
                <w:szCs w:val="2"/>
                <w:color w:val="auto"/>
              </w:rPr>
            </w:pPr>
          </w:p>
        </w:tc>
        <w:tc>
          <w:tcPr>
            <w:tcW w:w="6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7960" w:type="dxa"/>
            <w:vAlign w:val="bottom"/>
            <w:shd w:val="clear" w:color="auto" w:fill="CCEEFF"/>
          </w:tcPr>
          <w:p>
            <w:pPr>
              <w:ind w:left="720"/>
              <w:spacing w:after="0"/>
              <w:rPr>
                <w:sz w:val="20"/>
                <w:szCs w:val="20"/>
                <w:color w:val="auto"/>
              </w:rPr>
            </w:pPr>
            <w:r>
              <w:rPr>
                <w:rFonts w:ascii="Arial" w:cs="Arial" w:eastAsia="Arial" w:hAnsi="Arial"/>
                <w:sz w:val="18"/>
                <w:szCs w:val="18"/>
                <w:color w:val="auto"/>
              </w:rPr>
              <w:t>Total operating expenses</w:t>
            </w:r>
          </w:p>
        </w:tc>
        <w:tc>
          <w:tcPr>
            <w:tcW w:w="6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3,988</w:t>
            </w: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4,089</w:t>
            </w:r>
          </w:p>
        </w:tc>
        <w:tc>
          <w:tcPr>
            <w:tcW w:w="10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4,083</w:t>
            </w:r>
          </w:p>
        </w:tc>
        <w:tc>
          <w:tcPr>
            <w:tcW w:w="0" w:type="dxa"/>
            <w:vAlign w:val="bottom"/>
          </w:tcPr>
          <w:p>
            <w:pPr>
              <w:spacing w:after="0"/>
              <w:rPr>
                <w:sz w:val="1"/>
                <w:szCs w:val="1"/>
                <w:color w:val="auto"/>
              </w:rPr>
            </w:pPr>
          </w:p>
        </w:tc>
      </w:tr>
      <w:tr>
        <w:trPr>
          <w:trHeight w:val="230"/>
        </w:trPr>
        <w:tc>
          <w:tcPr>
            <w:tcW w:w="7960" w:type="dxa"/>
            <w:vAlign w:val="bottom"/>
          </w:tcPr>
          <w:p>
            <w:pPr>
              <w:ind w:left="720"/>
              <w:spacing w:after="0"/>
              <w:rPr>
                <w:sz w:val="20"/>
                <w:szCs w:val="20"/>
                <w:color w:val="auto"/>
              </w:rPr>
            </w:pPr>
            <w:r>
              <w:rPr>
                <w:rFonts w:ascii="Arial" w:cs="Arial" w:eastAsia="Arial" w:hAnsi="Arial"/>
                <w:sz w:val="18"/>
                <w:szCs w:val="18"/>
                <w:color w:val="auto"/>
              </w:rPr>
              <w:t>Loss from operations</w:t>
            </w:r>
          </w:p>
        </w:tc>
        <w:tc>
          <w:tcPr>
            <w:tcW w:w="66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4"/>
              </w:rPr>
              <w:t>(3,988)</w:t>
            </w:r>
          </w:p>
        </w:tc>
        <w:tc>
          <w:tcPr>
            <w:tcW w:w="2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4"/>
              </w:rPr>
              <w:t>(4,089)</w:t>
            </w:r>
          </w:p>
        </w:tc>
        <w:tc>
          <w:tcPr>
            <w:tcW w:w="20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4"/>
              </w:rPr>
              <w:t>(4,083)</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7960" w:type="dxa"/>
            <w:vAlign w:val="bottom"/>
            <w:shd w:val="clear" w:color="auto" w:fill="CCEEFF"/>
          </w:tcPr>
          <w:p>
            <w:pPr>
              <w:spacing w:after="0"/>
              <w:rPr>
                <w:sz w:val="20"/>
                <w:szCs w:val="20"/>
                <w:color w:val="auto"/>
              </w:rPr>
            </w:pPr>
            <w:r>
              <w:rPr>
                <w:rFonts w:ascii="Arial" w:cs="Arial" w:eastAsia="Arial" w:hAnsi="Arial"/>
                <w:sz w:val="18"/>
                <w:szCs w:val="18"/>
                <w:color w:val="auto"/>
              </w:rPr>
              <w:t>Other income:</w:t>
            </w:r>
          </w:p>
        </w:tc>
        <w:tc>
          <w:tcPr>
            <w:tcW w:w="6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960" w:type="dxa"/>
            <w:vAlign w:val="bottom"/>
          </w:tcPr>
          <w:p>
            <w:pPr>
              <w:ind w:left="360"/>
              <w:spacing w:after="0"/>
              <w:rPr>
                <w:sz w:val="20"/>
                <w:szCs w:val="20"/>
                <w:color w:val="auto"/>
              </w:rPr>
            </w:pPr>
            <w:r>
              <w:rPr>
                <w:rFonts w:ascii="Arial" w:cs="Arial" w:eastAsia="Arial" w:hAnsi="Arial"/>
                <w:sz w:val="18"/>
                <w:szCs w:val="18"/>
                <w:color w:val="auto"/>
              </w:rPr>
              <w:t>Equity in net income of subsidiaries</w:t>
            </w:r>
          </w:p>
        </w:tc>
        <w:tc>
          <w:tcPr>
            <w:tcW w:w="6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gridSpan w:val="2"/>
          </w:tcPr>
          <w:p>
            <w:pPr>
              <w:jc w:val="right"/>
              <w:ind w:right="220"/>
              <w:spacing w:after="0"/>
              <w:rPr>
                <w:sz w:val="20"/>
                <w:szCs w:val="20"/>
                <w:color w:val="auto"/>
              </w:rPr>
            </w:pPr>
            <w:r>
              <w:rPr>
                <w:rFonts w:ascii="Arial" w:cs="Arial" w:eastAsia="Arial" w:hAnsi="Arial"/>
                <w:sz w:val="18"/>
                <w:szCs w:val="18"/>
                <w:color w:val="auto"/>
                <w:w w:val="98"/>
              </w:rPr>
              <w:t>76,076</w:t>
            </w:r>
          </w:p>
        </w:tc>
        <w:tc>
          <w:tcPr>
            <w:tcW w:w="100" w:type="dxa"/>
            <w:vAlign w:val="bottom"/>
          </w:tcPr>
          <w:p>
            <w:pPr>
              <w:spacing w:after="0"/>
              <w:rPr>
                <w:sz w:val="18"/>
                <w:szCs w:val="18"/>
                <w:color w:val="auto"/>
              </w:rPr>
            </w:pPr>
          </w:p>
        </w:tc>
        <w:tc>
          <w:tcPr>
            <w:tcW w:w="700" w:type="dxa"/>
            <w:vAlign w:val="bottom"/>
            <w:gridSpan w:val="2"/>
          </w:tcPr>
          <w:p>
            <w:pPr>
              <w:jc w:val="right"/>
              <w:ind w:right="200"/>
              <w:spacing w:after="0"/>
              <w:rPr>
                <w:sz w:val="20"/>
                <w:szCs w:val="20"/>
                <w:color w:val="auto"/>
              </w:rPr>
            </w:pPr>
            <w:r>
              <w:rPr>
                <w:rFonts w:ascii="Arial" w:cs="Arial" w:eastAsia="Arial" w:hAnsi="Arial"/>
                <w:sz w:val="18"/>
                <w:szCs w:val="18"/>
                <w:color w:val="auto"/>
                <w:w w:val="87"/>
              </w:rPr>
              <w:t>60,813</w:t>
            </w:r>
          </w:p>
        </w:tc>
        <w:tc>
          <w:tcPr>
            <w:tcW w:w="100" w:type="dxa"/>
            <w:vAlign w:val="bottom"/>
          </w:tcPr>
          <w:p>
            <w:pPr>
              <w:spacing w:after="0"/>
              <w:rPr>
                <w:sz w:val="18"/>
                <w:szCs w:val="18"/>
                <w:color w:val="auto"/>
              </w:rPr>
            </w:pPr>
          </w:p>
        </w:tc>
        <w:tc>
          <w:tcPr>
            <w:tcW w:w="620" w:type="dxa"/>
            <w:vAlign w:val="bottom"/>
            <w:gridSpan w:val="2"/>
          </w:tcPr>
          <w:p>
            <w:pPr>
              <w:jc w:val="right"/>
              <w:ind w:right="120"/>
              <w:spacing w:after="0"/>
              <w:rPr>
                <w:sz w:val="20"/>
                <w:szCs w:val="20"/>
                <w:color w:val="auto"/>
              </w:rPr>
            </w:pPr>
            <w:r>
              <w:rPr>
                <w:rFonts w:ascii="Arial" w:cs="Arial" w:eastAsia="Arial" w:hAnsi="Arial"/>
                <w:sz w:val="18"/>
                <w:szCs w:val="18"/>
                <w:color w:val="auto"/>
                <w:w w:val="87"/>
              </w:rPr>
              <w:t>54,461</w:t>
            </w:r>
          </w:p>
        </w:tc>
        <w:tc>
          <w:tcPr>
            <w:tcW w:w="0" w:type="dxa"/>
            <w:vAlign w:val="bottom"/>
          </w:tcPr>
          <w:p>
            <w:pPr>
              <w:spacing w:after="0"/>
              <w:rPr>
                <w:sz w:val="1"/>
                <w:szCs w:val="1"/>
                <w:color w:val="auto"/>
              </w:rPr>
            </w:pPr>
          </w:p>
        </w:tc>
      </w:tr>
      <w:tr>
        <w:trPr>
          <w:trHeight w:val="216"/>
        </w:trPr>
        <w:tc>
          <w:tcPr>
            <w:tcW w:w="79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Interest income</w:t>
            </w:r>
          </w:p>
        </w:tc>
        <w:tc>
          <w:tcPr>
            <w:tcW w:w="6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80</w:t>
            </w: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7960" w:type="dxa"/>
            <w:vAlign w:val="bottom"/>
          </w:tcPr>
          <w:p>
            <w:pPr>
              <w:ind w:left="360"/>
              <w:spacing w:after="0"/>
              <w:rPr>
                <w:sz w:val="20"/>
                <w:szCs w:val="20"/>
                <w:color w:val="auto"/>
              </w:rPr>
            </w:pPr>
            <w:r>
              <w:rPr>
                <w:rFonts w:ascii="Arial" w:cs="Arial" w:eastAsia="Arial" w:hAnsi="Arial"/>
                <w:sz w:val="18"/>
                <w:szCs w:val="18"/>
                <w:color w:val="auto"/>
              </w:rPr>
              <w:t>Other, net</w:t>
            </w:r>
          </w:p>
        </w:tc>
        <w:tc>
          <w:tcPr>
            <w:tcW w:w="6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gridSpan w:val="2"/>
          </w:tcPr>
          <w:p>
            <w:pPr>
              <w:jc w:val="right"/>
              <w:ind w:right="220"/>
              <w:spacing w:after="0"/>
              <w:rPr>
                <w:sz w:val="20"/>
                <w:szCs w:val="20"/>
                <w:color w:val="auto"/>
              </w:rPr>
            </w:pPr>
            <w:r>
              <w:rPr>
                <w:rFonts w:ascii="Arial" w:cs="Arial" w:eastAsia="Arial" w:hAnsi="Arial"/>
                <w:sz w:val="18"/>
                <w:szCs w:val="18"/>
                <w:color w:val="auto"/>
              </w:rPr>
              <w:t>654</w:t>
            </w:r>
          </w:p>
        </w:tc>
        <w:tc>
          <w:tcPr>
            <w:tcW w:w="100" w:type="dxa"/>
            <w:vAlign w:val="bottom"/>
          </w:tcPr>
          <w:p>
            <w:pPr>
              <w:spacing w:after="0"/>
              <w:rPr>
                <w:sz w:val="18"/>
                <w:szCs w:val="18"/>
                <w:color w:val="auto"/>
              </w:rPr>
            </w:pPr>
          </w:p>
        </w:tc>
        <w:tc>
          <w:tcPr>
            <w:tcW w:w="700" w:type="dxa"/>
            <w:vAlign w:val="bottom"/>
            <w:gridSpan w:val="2"/>
          </w:tcPr>
          <w:p>
            <w:pPr>
              <w:jc w:val="right"/>
              <w:ind w:right="3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2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
        </w:trPr>
        <w:tc>
          <w:tcPr>
            <w:tcW w:w="7960" w:type="dxa"/>
            <w:vAlign w:val="bottom"/>
          </w:tcPr>
          <w:p>
            <w:pPr>
              <w:spacing w:after="0"/>
              <w:rPr>
                <w:sz w:val="2"/>
                <w:szCs w:val="2"/>
                <w:color w:val="auto"/>
              </w:rPr>
            </w:pPr>
          </w:p>
        </w:tc>
        <w:tc>
          <w:tcPr>
            <w:tcW w:w="6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7960" w:type="dxa"/>
            <w:vAlign w:val="bottom"/>
            <w:shd w:val="clear" w:color="auto" w:fill="CCEEFF"/>
          </w:tcPr>
          <w:p>
            <w:pPr>
              <w:ind w:left="720"/>
              <w:spacing w:after="0"/>
              <w:rPr>
                <w:sz w:val="20"/>
                <w:szCs w:val="20"/>
                <w:color w:val="auto"/>
              </w:rPr>
            </w:pPr>
            <w:r>
              <w:rPr>
                <w:rFonts w:ascii="Arial" w:cs="Arial" w:eastAsia="Arial" w:hAnsi="Arial"/>
                <w:sz w:val="18"/>
                <w:szCs w:val="18"/>
                <w:color w:val="auto"/>
              </w:rPr>
              <w:t>Net other income</w:t>
            </w:r>
          </w:p>
        </w:tc>
        <w:tc>
          <w:tcPr>
            <w:tcW w:w="6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w w:val="98"/>
              </w:rPr>
              <w:t>76,810</w:t>
            </w: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w w:val="87"/>
              </w:rPr>
              <w:t>60,813</w:t>
            </w:r>
          </w:p>
        </w:tc>
        <w:tc>
          <w:tcPr>
            <w:tcW w:w="10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7"/>
              </w:rPr>
              <w:t>54,461</w:t>
            </w:r>
          </w:p>
        </w:tc>
        <w:tc>
          <w:tcPr>
            <w:tcW w:w="0" w:type="dxa"/>
            <w:vAlign w:val="bottom"/>
          </w:tcPr>
          <w:p>
            <w:pPr>
              <w:spacing w:after="0"/>
              <w:rPr>
                <w:sz w:val="1"/>
                <w:szCs w:val="1"/>
                <w:color w:val="auto"/>
              </w:rPr>
            </w:pPr>
          </w:p>
        </w:tc>
      </w:tr>
      <w:tr>
        <w:trPr>
          <w:trHeight w:val="223"/>
        </w:trPr>
        <w:tc>
          <w:tcPr>
            <w:tcW w:w="7960" w:type="dxa"/>
            <w:vAlign w:val="bottom"/>
          </w:tcPr>
          <w:p>
            <w:pPr>
              <w:spacing w:after="0"/>
              <w:rPr>
                <w:sz w:val="20"/>
                <w:szCs w:val="20"/>
                <w:color w:val="auto"/>
              </w:rPr>
            </w:pPr>
            <w:r>
              <w:rPr>
                <w:rFonts w:ascii="Arial" w:cs="Arial" w:eastAsia="Arial" w:hAnsi="Arial"/>
                <w:sz w:val="18"/>
                <w:szCs w:val="18"/>
                <w:color w:val="auto"/>
              </w:rPr>
              <w:t>Income before income tax</w:t>
            </w:r>
          </w:p>
        </w:tc>
        <w:tc>
          <w:tcPr>
            <w:tcW w:w="66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5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98"/>
              </w:rPr>
              <w:t>72,822</w:t>
            </w:r>
          </w:p>
        </w:tc>
        <w:tc>
          <w:tcPr>
            <w:tcW w:w="22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5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87"/>
              </w:rPr>
              <w:t>56,724</w:t>
            </w:r>
          </w:p>
        </w:tc>
        <w:tc>
          <w:tcPr>
            <w:tcW w:w="20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5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87"/>
              </w:rPr>
              <w:t>50,378</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79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Income tax benefit</w:t>
            </w:r>
          </w:p>
        </w:tc>
        <w:tc>
          <w:tcPr>
            <w:tcW w:w="6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23"/>
        </w:trPr>
        <w:tc>
          <w:tcPr>
            <w:tcW w:w="7960" w:type="dxa"/>
            <w:vAlign w:val="bottom"/>
          </w:tcPr>
          <w:p>
            <w:pPr>
              <w:ind w:left="720"/>
              <w:spacing w:after="0"/>
              <w:rPr>
                <w:sz w:val="20"/>
                <w:szCs w:val="20"/>
                <w:color w:val="auto"/>
              </w:rPr>
            </w:pPr>
            <w:r>
              <w:rPr>
                <w:rFonts w:ascii="Arial" w:cs="Arial" w:eastAsia="Arial" w:hAnsi="Arial"/>
                <w:sz w:val="18"/>
                <w:szCs w:val="18"/>
                <w:color w:val="auto"/>
              </w:rPr>
              <w:t>Net income attributable to Textainer Group Holdings Limited common shareholders</w:t>
            </w:r>
          </w:p>
        </w:tc>
        <w:tc>
          <w:tcPr>
            <w:tcW w:w="66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72,822</w:t>
            </w:r>
          </w:p>
        </w:tc>
        <w:tc>
          <w:tcPr>
            <w:tcW w:w="22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56,724</w:t>
            </w:r>
          </w:p>
        </w:tc>
        <w:tc>
          <w:tcPr>
            <w:tcW w:w="20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50,378</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796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7960" w:type="dxa"/>
            <w:vAlign w:val="bottom"/>
            <w:shd w:val="clear" w:color="auto" w:fill="CCEEFF"/>
          </w:tcPr>
          <w:p>
            <w:pPr>
              <w:spacing w:after="0"/>
              <w:rPr>
                <w:sz w:val="20"/>
                <w:szCs w:val="20"/>
                <w:color w:val="auto"/>
              </w:rPr>
            </w:pPr>
            <w:r>
              <w:rPr>
                <w:rFonts w:ascii="Arial" w:cs="Arial" w:eastAsia="Arial" w:hAnsi="Arial"/>
                <w:sz w:val="18"/>
                <w:szCs w:val="18"/>
                <w:color w:val="auto"/>
              </w:rPr>
              <w:t>Net income attributable to Textainer Group Holdings Limited common shareholders per share:</w:t>
            </w:r>
          </w:p>
        </w:tc>
        <w:tc>
          <w:tcPr>
            <w:tcW w:w="6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960" w:type="dxa"/>
            <w:vAlign w:val="bottom"/>
          </w:tcPr>
          <w:p>
            <w:pPr>
              <w:ind w:left="360"/>
              <w:spacing w:after="0"/>
              <w:rPr>
                <w:sz w:val="20"/>
                <w:szCs w:val="20"/>
                <w:color w:val="auto"/>
              </w:rPr>
            </w:pPr>
            <w:r>
              <w:rPr>
                <w:rFonts w:ascii="Arial" w:cs="Arial" w:eastAsia="Arial" w:hAnsi="Arial"/>
                <w:sz w:val="18"/>
                <w:szCs w:val="18"/>
                <w:color w:val="auto"/>
              </w:rPr>
              <w:t>Basic</w:t>
            </w:r>
          </w:p>
        </w:tc>
        <w:tc>
          <w:tcPr>
            <w:tcW w:w="7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tcPr>
          <w:p>
            <w:pPr>
              <w:jc w:val="right"/>
              <w:ind w:right="220"/>
              <w:spacing w:after="0"/>
              <w:rPr>
                <w:sz w:val="20"/>
                <w:szCs w:val="20"/>
                <w:color w:val="auto"/>
              </w:rPr>
            </w:pPr>
            <w:r>
              <w:rPr>
                <w:rFonts w:ascii="Arial" w:cs="Arial" w:eastAsia="Arial" w:hAnsi="Arial"/>
                <w:sz w:val="18"/>
                <w:szCs w:val="18"/>
                <w:color w:val="auto"/>
              </w:rPr>
              <w:t>1.37</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700" w:type="dxa"/>
            <w:vAlign w:val="bottom"/>
            <w:gridSpan w:val="2"/>
          </w:tcPr>
          <w:p>
            <w:pPr>
              <w:jc w:val="right"/>
              <w:ind w:right="200"/>
              <w:spacing w:after="0"/>
              <w:rPr>
                <w:sz w:val="20"/>
                <w:szCs w:val="20"/>
                <w:color w:val="auto"/>
              </w:rPr>
            </w:pPr>
            <w:r>
              <w:rPr>
                <w:rFonts w:ascii="Arial" w:cs="Arial" w:eastAsia="Arial" w:hAnsi="Arial"/>
                <w:sz w:val="18"/>
                <w:szCs w:val="18"/>
                <w:color w:val="auto"/>
              </w:rPr>
              <w:t>0.99</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620" w:type="dxa"/>
            <w:vAlign w:val="bottom"/>
            <w:gridSpan w:val="2"/>
          </w:tcPr>
          <w:p>
            <w:pPr>
              <w:jc w:val="right"/>
              <w:ind w:right="120"/>
              <w:spacing w:after="0"/>
              <w:rPr>
                <w:sz w:val="20"/>
                <w:szCs w:val="20"/>
                <w:color w:val="auto"/>
              </w:rPr>
            </w:pPr>
            <w:r>
              <w:rPr>
                <w:rFonts w:ascii="Arial" w:cs="Arial" w:eastAsia="Arial" w:hAnsi="Arial"/>
                <w:sz w:val="18"/>
                <w:szCs w:val="18"/>
                <w:color w:val="auto"/>
              </w:rPr>
              <w:t>0.88</w:t>
            </w:r>
          </w:p>
        </w:tc>
        <w:tc>
          <w:tcPr>
            <w:tcW w:w="0" w:type="dxa"/>
            <w:vAlign w:val="bottom"/>
          </w:tcPr>
          <w:p>
            <w:pPr>
              <w:spacing w:after="0"/>
              <w:rPr>
                <w:sz w:val="1"/>
                <w:szCs w:val="1"/>
                <w:color w:val="auto"/>
              </w:rPr>
            </w:pPr>
          </w:p>
        </w:tc>
      </w:tr>
      <w:tr>
        <w:trPr>
          <w:trHeight w:val="216"/>
        </w:trPr>
        <w:tc>
          <w:tcPr>
            <w:tcW w:w="79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Diluted</w:t>
            </w: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1.36</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0.99</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0.88</w:t>
            </w:r>
          </w:p>
        </w:tc>
        <w:tc>
          <w:tcPr>
            <w:tcW w:w="0" w:type="dxa"/>
            <w:vAlign w:val="bottom"/>
          </w:tcPr>
          <w:p>
            <w:pPr>
              <w:spacing w:after="0"/>
              <w:rPr>
                <w:sz w:val="1"/>
                <w:szCs w:val="1"/>
                <w:color w:val="auto"/>
              </w:rPr>
            </w:pPr>
          </w:p>
        </w:tc>
      </w:tr>
      <w:tr>
        <w:trPr>
          <w:trHeight w:val="216"/>
        </w:trPr>
        <w:tc>
          <w:tcPr>
            <w:tcW w:w="7960" w:type="dxa"/>
            <w:vAlign w:val="bottom"/>
          </w:tcPr>
          <w:p>
            <w:pPr>
              <w:spacing w:after="0"/>
              <w:rPr>
                <w:sz w:val="20"/>
                <w:szCs w:val="20"/>
                <w:color w:val="auto"/>
              </w:rPr>
            </w:pPr>
            <w:r>
              <w:rPr>
                <w:rFonts w:ascii="Arial" w:cs="Arial" w:eastAsia="Arial" w:hAnsi="Arial"/>
                <w:sz w:val="18"/>
                <w:szCs w:val="18"/>
                <w:color w:val="auto"/>
              </w:rPr>
              <w:t>Weighted average shares outstanding (in thousands):</w:t>
            </w:r>
          </w:p>
        </w:tc>
        <w:tc>
          <w:tcPr>
            <w:tcW w:w="6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9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Basic</w:t>
            </w:r>
          </w:p>
        </w:tc>
        <w:tc>
          <w:tcPr>
            <w:tcW w:w="6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w w:val="98"/>
              </w:rPr>
              <w:t>53,271</w:t>
            </w: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w w:val="87"/>
              </w:rPr>
              <w:t>57,349</w:t>
            </w:r>
          </w:p>
        </w:tc>
        <w:tc>
          <w:tcPr>
            <w:tcW w:w="10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7"/>
              </w:rPr>
              <w:t>57,200</w:t>
            </w:r>
          </w:p>
        </w:tc>
        <w:tc>
          <w:tcPr>
            <w:tcW w:w="0" w:type="dxa"/>
            <w:vAlign w:val="bottom"/>
          </w:tcPr>
          <w:p>
            <w:pPr>
              <w:spacing w:after="0"/>
              <w:rPr>
                <w:sz w:val="1"/>
                <w:szCs w:val="1"/>
                <w:color w:val="auto"/>
              </w:rPr>
            </w:pPr>
          </w:p>
        </w:tc>
      </w:tr>
      <w:tr>
        <w:trPr>
          <w:trHeight w:val="216"/>
        </w:trPr>
        <w:tc>
          <w:tcPr>
            <w:tcW w:w="7960" w:type="dxa"/>
            <w:vAlign w:val="bottom"/>
          </w:tcPr>
          <w:p>
            <w:pPr>
              <w:ind w:left="360"/>
              <w:spacing w:after="0"/>
              <w:rPr>
                <w:sz w:val="20"/>
                <w:szCs w:val="20"/>
                <w:color w:val="auto"/>
              </w:rPr>
            </w:pPr>
            <w:r>
              <w:rPr>
                <w:rFonts w:ascii="Arial" w:cs="Arial" w:eastAsia="Arial" w:hAnsi="Arial"/>
                <w:sz w:val="18"/>
                <w:szCs w:val="18"/>
                <w:color w:val="auto"/>
              </w:rPr>
              <w:t>Diluted</w:t>
            </w:r>
          </w:p>
        </w:tc>
        <w:tc>
          <w:tcPr>
            <w:tcW w:w="6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gridSpan w:val="2"/>
          </w:tcPr>
          <w:p>
            <w:pPr>
              <w:jc w:val="right"/>
              <w:ind w:right="220"/>
              <w:spacing w:after="0"/>
              <w:rPr>
                <w:sz w:val="20"/>
                <w:szCs w:val="20"/>
                <w:color w:val="auto"/>
              </w:rPr>
            </w:pPr>
            <w:r>
              <w:rPr>
                <w:rFonts w:ascii="Arial" w:cs="Arial" w:eastAsia="Arial" w:hAnsi="Arial"/>
                <w:sz w:val="18"/>
                <w:szCs w:val="18"/>
                <w:color w:val="auto"/>
                <w:w w:val="98"/>
              </w:rPr>
              <w:t>53,481</w:t>
            </w:r>
          </w:p>
        </w:tc>
        <w:tc>
          <w:tcPr>
            <w:tcW w:w="100" w:type="dxa"/>
            <w:vAlign w:val="bottom"/>
          </w:tcPr>
          <w:p>
            <w:pPr>
              <w:spacing w:after="0"/>
              <w:rPr>
                <w:sz w:val="18"/>
                <w:szCs w:val="18"/>
                <w:color w:val="auto"/>
              </w:rPr>
            </w:pPr>
          </w:p>
        </w:tc>
        <w:tc>
          <w:tcPr>
            <w:tcW w:w="700" w:type="dxa"/>
            <w:vAlign w:val="bottom"/>
            <w:gridSpan w:val="2"/>
          </w:tcPr>
          <w:p>
            <w:pPr>
              <w:jc w:val="right"/>
              <w:ind w:right="200"/>
              <w:spacing w:after="0"/>
              <w:rPr>
                <w:sz w:val="20"/>
                <w:szCs w:val="20"/>
                <w:color w:val="auto"/>
              </w:rPr>
            </w:pPr>
            <w:r>
              <w:rPr>
                <w:rFonts w:ascii="Arial" w:cs="Arial" w:eastAsia="Arial" w:hAnsi="Arial"/>
                <w:sz w:val="18"/>
                <w:szCs w:val="18"/>
                <w:color w:val="auto"/>
                <w:w w:val="87"/>
              </w:rPr>
              <w:t>57,459</w:t>
            </w:r>
          </w:p>
        </w:tc>
        <w:tc>
          <w:tcPr>
            <w:tcW w:w="100" w:type="dxa"/>
            <w:vAlign w:val="bottom"/>
          </w:tcPr>
          <w:p>
            <w:pPr>
              <w:spacing w:after="0"/>
              <w:rPr>
                <w:sz w:val="18"/>
                <w:szCs w:val="18"/>
                <w:color w:val="auto"/>
              </w:rPr>
            </w:pPr>
          </w:p>
        </w:tc>
        <w:tc>
          <w:tcPr>
            <w:tcW w:w="620" w:type="dxa"/>
            <w:vAlign w:val="bottom"/>
            <w:gridSpan w:val="2"/>
          </w:tcPr>
          <w:p>
            <w:pPr>
              <w:jc w:val="right"/>
              <w:ind w:right="120"/>
              <w:spacing w:after="0"/>
              <w:rPr>
                <w:sz w:val="20"/>
                <w:szCs w:val="20"/>
                <w:color w:val="auto"/>
              </w:rPr>
            </w:pPr>
            <w:r>
              <w:rPr>
                <w:rFonts w:ascii="Arial" w:cs="Arial" w:eastAsia="Arial" w:hAnsi="Arial"/>
                <w:sz w:val="18"/>
                <w:szCs w:val="18"/>
                <w:color w:val="auto"/>
                <w:w w:val="87"/>
              </w:rPr>
              <w:t>57,487</w:t>
            </w:r>
          </w:p>
        </w:tc>
        <w:tc>
          <w:tcPr>
            <w:tcW w:w="0" w:type="dxa"/>
            <w:vAlign w:val="bottom"/>
          </w:tcPr>
          <w:p>
            <w:pPr>
              <w:spacing w:after="0"/>
              <w:rPr>
                <w:sz w:val="1"/>
                <w:szCs w:val="1"/>
                <w:color w:val="auto"/>
              </w:rPr>
            </w:pPr>
          </w:p>
        </w:tc>
      </w:tr>
      <w:tr>
        <w:trPr>
          <w:trHeight w:val="216"/>
        </w:trPr>
        <w:tc>
          <w:tcPr>
            <w:tcW w:w="7960" w:type="dxa"/>
            <w:vAlign w:val="bottom"/>
            <w:shd w:val="clear" w:color="auto" w:fill="CCEEFF"/>
          </w:tcPr>
          <w:p>
            <w:pPr>
              <w:spacing w:after="0"/>
              <w:rPr>
                <w:sz w:val="20"/>
                <w:szCs w:val="20"/>
                <w:color w:val="auto"/>
              </w:rPr>
            </w:pPr>
            <w:r>
              <w:rPr>
                <w:rFonts w:ascii="Arial" w:cs="Arial" w:eastAsia="Arial" w:hAnsi="Arial"/>
                <w:sz w:val="18"/>
                <w:szCs w:val="18"/>
                <w:color w:val="auto"/>
              </w:rPr>
              <w:t>Other comprehensive income (loss), before tax:</w:t>
            </w:r>
          </w:p>
        </w:tc>
        <w:tc>
          <w:tcPr>
            <w:tcW w:w="6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960" w:type="dxa"/>
            <w:vAlign w:val="bottom"/>
          </w:tcPr>
          <w:p>
            <w:pPr>
              <w:ind w:left="360"/>
              <w:spacing w:after="0"/>
              <w:rPr>
                <w:sz w:val="20"/>
                <w:szCs w:val="20"/>
                <w:color w:val="auto"/>
              </w:rPr>
            </w:pPr>
            <w:r>
              <w:rPr>
                <w:rFonts w:ascii="Arial" w:cs="Arial" w:eastAsia="Arial" w:hAnsi="Arial"/>
                <w:sz w:val="18"/>
                <w:szCs w:val="18"/>
                <w:color w:val="auto"/>
              </w:rPr>
              <w:t>Change in derivative instruments designated as cash flow hedges</w:t>
            </w:r>
          </w:p>
        </w:tc>
        <w:tc>
          <w:tcPr>
            <w:tcW w:w="6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w w:val="89"/>
              </w:rPr>
              <w:t>(12,307)</w:t>
            </w:r>
          </w:p>
        </w:tc>
        <w:tc>
          <w:tcPr>
            <w:tcW w:w="100" w:type="dxa"/>
            <w:vAlign w:val="bottom"/>
          </w:tcPr>
          <w:p>
            <w:pPr>
              <w:spacing w:after="0"/>
              <w:rPr>
                <w:sz w:val="18"/>
                <w:szCs w:val="18"/>
                <w:color w:val="auto"/>
              </w:rPr>
            </w:pP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rPr>
              <w:t>(110)</w:t>
            </w:r>
          </w:p>
        </w:tc>
        <w:tc>
          <w:tcPr>
            <w:tcW w:w="100" w:type="dxa"/>
            <w:vAlign w:val="bottom"/>
          </w:tcPr>
          <w:p>
            <w:pPr>
              <w:spacing w:after="0"/>
              <w:rPr>
                <w:sz w:val="18"/>
                <w:szCs w:val="18"/>
                <w:color w:val="auto"/>
              </w:rPr>
            </w:pPr>
          </w:p>
        </w:tc>
        <w:tc>
          <w:tcPr>
            <w:tcW w:w="62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7960" w:type="dxa"/>
            <w:vAlign w:val="bottom"/>
            <w:shd w:val="clear" w:color="auto" w:fill="CCEEFF"/>
          </w:tcPr>
          <w:p>
            <w:pPr>
              <w:ind w:left="360"/>
              <w:spacing w:after="0"/>
              <w:rPr>
                <w:sz w:val="20"/>
                <w:szCs w:val="20"/>
                <w:color w:val="auto"/>
              </w:rPr>
            </w:pPr>
            <w:r>
              <w:rPr>
                <w:rFonts w:ascii="Arial" w:cs="Arial" w:eastAsia="Arial" w:hAnsi="Arial"/>
                <w:sz w:val="18"/>
                <w:szCs w:val="18"/>
                <w:color w:val="auto"/>
                <w:w w:val="98"/>
              </w:rPr>
              <w:t>Reclassification of realized loss (gain) on derivative instruments designated as cash flow hedges</w:t>
            </w:r>
          </w:p>
        </w:tc>
        <w:tc>
          <w:tcPr>
            <w:tcW w:w="6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2,806</w:t>
            </w: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(7)</w:t>
            </w:r>
          </w:p>
        </w:tc>
        <w:tc>
          <w:tcPr>
            <w:tcW w:w="10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7960" w:type="dxa"/>
            <w:vAlign w:val="bottom"/>
          </w:tcPr>
          <w:p>
            <w:pPr>
              <w:ind w:left="360"/>
              <w:spacing w:after="0"/>
              <w:rPr>
                <w:sz w:val="20"/>
                <w:szCs w:val="20"/>
                <w:color w:val="auto"/>
              </w:rPr>
            </w:pPr>
            <w:r>
              <w:rPr>
                <w:rFonts w:ascii="Arial" w:cs="Arial" w:eastAsia="Arial" w:hAnsi="Arial"/>
                <w:sz w:val="18"/>
                <w:szCs w:val="18"/>
                <w:color w:val="auto"/>
              </w:rPr>
              <w:t>Foreign currency translation adjustments</w:t>
            </w:r>
          </w:p>
        </w:tc>
        <w:tc>
          <w:tcPr>
            <w:tcW w:w="6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gridSpan w:val="2"/>
          </w:tcPr>
          <w:p>
            <w:pPr>
              <w:jc w:val="right"/>
              <w:ind w:right="220"/>
              <w:spacing w:after="0"/>
              <w:rPr>
                <w:sz w:val="20"/>
                <w:szCs w:val="20"/>
                <w:color w:val="auto"/>
              </w:rPr>
            </w:pPr>
            <w:r>
              <w:rPr>
                <w:rFonts w:ascii="Arial" w:cs="Arial" w:eastAsia="Arial" w:hAnsi="Arial"/>
                <w:sz w:val="18"/>
                <w:szCs w:val="18"/>
                <w:color w:val="auto"/>
              </w:rPr>
              <w:t>177</w:t>
            </w:r>
          </w:p>
        </w:tc>
        <w:tc>
          <w:tcPr>
            <w:tcW w:w="100" w:type="dxa"/>
            <w:vAlign w:val="bottom"/>
          </w:tcPr>
          <w:p>
            <w:pPr>
              <w:spacing w:after="0"/>
              <w:rPr>
                <w:sz w:val="18"/>
                <w:szCs w:val="18"/>
                <w:color w:val="auto"/>
              </w:rPr>
            </w:pPr>
          </w:p>
        </w:tc>
        <w:tc>
          <w:tcPr>
            <w:tcW w:w="700" w:type="dxa"/>
            <w:vAlign w:val="bottom"/>
            <w:gridSpan w:val="2"/>
          </w:tcPr>
          <w:p>
            <w:pPr>
              <w:jc w:val="right"/>
              <w:ind w:right="200"/>
              <w:spacing w:after="0"/>
              <w:rPr>
                <w:sz w:val="20"/>
                <w:szCs w:val="20"/>
                <w:color w:val="auto"/>
              </w:rPr>
            </w:pPr>
            <w:r>
              <w:rPr>
                <w:rFonts w:ascii="Arial" w:cs="Arial" w:eastAsia="Arial" w:hAnsi="Arial"/>
                <w:sz w:val="18"/>
                <w:szCs w:val="18"/>
                <w:color w:val="auto"/>
              </w:rPr>
              <w:t>42</w:t>
            </w:r>
          </w:p>
        </w:tc>
        <w:tc>
          <w:tcPr>
            <w:tcW w:w="100" w:type="dxa"/>
            <w:vAlign w:val="bottom"/>
          </w:tcPr>
          <w:p>
            <w:pPr>
              <w:spacing w:after="0"/>
              <w:rPr>
                <w:sz w:val="18"/>
                <w:szCs w:val="18"/>
                <w:color w:val="auto"/>
              </w:rPr>
            </w:pPr>
          </w:p>
        </w:tc>
        <w:tc>
          <w:tcPr>
            <w:tcW w:w="620" w:type="dxa"/>
            <w:vAlign w:val="bottom"/>
            <w:gridSpan w:val="2"/>
          </w:tcPr>
          <w:p>
            <w:pPr>
              <w:jc w:val="right"/>
              <w:ind w:right="60"/>
              <w:spacing w:after="0"/>
              <w:rPr>
                <w:sz w:val="20"/>
                <w:szCs w:val="20"/>
                <w:color w:val="auto"/>
              </w:rPr>
            </w:pPr>
            <w:r>
              <w:rPr>
                <w:rFonts w:ascii="Arial" w:cs="Arial" w:eastAsia="Arial" w:hAnsi="Arial"/>
                <w:sz w:val="18"/>
                <w:szCs w:val="18"/>
                <w:color w:val="auto"/>
              </w:rPr>
              <w:t>(127)</w:t>
            </w:r>
          </w:p>
        </w:tc>
        <w:tc>
          <w:tcPr>
            <w:tcW w:w="0" w:type="dxa"/>
            <w:vAlign w:val="bottom"/>
          </w:tcPr>
          <w:p>
            <w:pPr>
              <w:spacing w:after="0"/>
              <w:rPr>
                <w:sz w:val="1"/>
                <w:szCs w:val="1"/>
                <w:color w:val="auto"/>
              </w:rPr>
            </w:pPr>
          </w:p>
        </w:tc>
      </w:tr>
      <w:tr>
        <w:trPr>
          <w:trHeight w:val="27"/>
        </w:trPr>
        <w:tc>
          <w:tcPr>
            <w:tcW w:w="7960" w:type="dxa"/>
            <w:vAlign w:val="bottom"/>
          </w:tcPr>
          <w:p>
            <w:pPr>
              <w:spacing w:after="0"/>
              <w:rPr>
                <w:sz w:val="2"/>
                <w:szCs w:val="2"/>
                <w:color w:val="auto"/>
              </w:rPr>
            </w:pPr>
          </w:p>
        </w:tc>
        <w:tc>
          <w:tcPr>
            <w:tcW w:w="6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7960" w:type="dxa"/>
            <w:vAlign w:val="bottom"/>
            <w:shd w:val="clear" w:color="auto" w:fill="CCEEFF"/>
          </w:tcPr>
          <w:p>
            <w:pPr>
              <w:spacing w:after="0"/>
              <w:rPr>
                <w:sz w:val="20"/>
                <w:szCs w:val="20"/>
                <w:color w:val="auto"/>
              </w:rPr>
            </w:pPr>
            <w:r>
              <w:rPr>
                <w:rFonts w:ascii="Arial" w:cs="Arial" w:eastAsia="Arial" w:hAnsi="Arial"/>
                <w:sz w:val="18"/>
                <w:szCs w:val="18"/>
                <w:color w:val="auto"/>
              </w:rPr>
              <w:t>Comprehensive income, before tax</w:t>
            </w:r>
          </w:p>
        </w:tc>
        <w:tc>
          <w:tcPr>
            <w:tcW w:w="6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w w:val="98"/>
              </w:rPr>
              <w:t>63,498</w:t>
            </w: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w w:val="87"/>
              </w:rPr>
              <w:t>56,649</w:t>
            </w:r>
          </w:p>
        </w:tc>
        <w:tc>
          <w:tcPr>
            <w:tcW w:w="10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7"/>
              </w:rPr>
              <w:t>50,251</w:t>
            </w:r>
          </w:p>
        </w:tc>
        <w:tc>
          <w:tcPr>
            <w:tcW w:w="0" w:type="dxa"/>
            <w:vAlign w:val="bottom"/>
          </w:tcPr>
          <w:p>
            <w:pPr>
              <w:spacing w:after="0"/>
              <w:rPr>
                <w:sz w:val="1"/>
                <w:szCs w:val="1"/>
                <w:color w:val="auto"/>
              </w:rPr>
            </w:pPr>
          </w:p>
        </w:tc>
      </w:tr>
      <w:tr>
        <w:trPr>
          <w:trHeight w:val="216"/>
        </w:trPr>
        <w:tc>
          <w:tcPr>
            <w:tcW w:w="7960" w:type="dxa"/>
            <w:vAlign w:val="bottom"/>
          </w:tcPr>
          <w:p>
            <w:pPr>
              <w:ind w:left="360"/>
              <w:spacing w:after="0"/>
              <w:rPr>
                <w:sz w:val="20"/>
                <w:szCs w:val="20"/>
                <w:color w:val="auto"/>
              </w:rPr>
            </w:pPr>
            <w:r>
              <w:rPr>
                <w:rFonts w:ascii="Arial" w:cs="Arial" w:eastAsia="Arial" w:hAnsi="Arial"/>
                <w:sz w:val="18"/>
                <w:szCs w:val="18"/>
                <w:color w:val="auto"/>
              </w:rPr>
              <w:t>Income tax benefit related to items of other comprehensive income (loss)</w:t>
            </w:r>
          </w:p>
        </w:tc>
        <w:tc>
          <w:tcPr>
            <w:tcW w:w="6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gridSpan w:val="2"/>
          </w:tcPr>
          <w:p>
            <w:pPr>
              <w:jc w:val="right"/>
              <w:ind w:right="220"/>
              <w:spacing w:after="0"/>
              <w:rPr>
                <w:sz w:val="20"/>
                <w:szCs w:val="20"/>
                <w:color w:val="auto"/>
              </w:rPr>
            </w:pPr>
            <w:r>
              <w:rPr>
                <w:rFonts w:ascii="Arial" w:cs="Arial" w:eastAsia="Arial" w:hAnsi="Arial"/>
                <w:sz w:val="18"/>
                <w:szCs w:val="18"/>
                <w:color w:val="auto"/>
              </w:rPr>
              <w:t>91</w:t>
            </w:r>
          </w:p>
        </w:tc>
        <w:tc>
          <w:tcPr>
            <w:tcW w:w="100" w:type="dxa"/>
            <w:vAlign w:val="bottom"/>
          </w:tcPr>
          <w:p>
            <w:pPr>
              <w:spacing w:after="0"/>
              <w:rPr>
                <w:sz w:val="18"/>
                <w:szCs w:val="18"/>
                <w:color w:val="auto"/>
              </w:rPr>
            </w:pPr>
          </w:p>
        </w:tc>
        <w:tc>
          <w:tcPr>
            <w:tcW w:w="700" w:type="dxa"/>
            <w:vAlign w:val="bottom"/>
            <w:gridSpan w:val="2"/>
          </w:tcPr>
          <w:p>
            <w:pPr>
              <w:jc w:val="right"/>
              <w:ind w:right="3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2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
        </w:trPr>
        <w:tc>
          <w:tcPr>
            <w:tcW w:w="7960" w:type="dxa"/>
            <w:vAlign w:val="bottom"/>
          </w:tcPr>
          <w:p>
            <w:pPr>
              <w:spacing w:after="0"/>
              <w:rPr>
                <w:sz w:val="2"/>
                <w:szCs w:val="2"/>
                <w:color w:val="auto"/>
              </w:rPr>
            </w:pPr>
          </w:p>
        </w:tc>
        <w:tc>
          <w:tcPr>
            <w:tcW w:w="6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7960" w:type="dxa"/>
            <w:vAlign w:val="bottom"/>
            <w:shd w:val="clear" w:color="auto" w:fill="CCEEFF"/>
          </w:tcPr>
          <w:p>
            <w:pPr>
              <w:spacing w:after="0"/>
              <w:rPr>
                <w:sz w:val="20"/>
                <w:szCs w:val="20"/>
                <w:color w:val="auto"/>
              </w:rPr>
            </w:pPr>
            <w:r>
              <w:rPr>
                <w:rFonts w:ascii="Arial" w:cs="Arial" w:eastAsia="Arial" w:hAnsi="Arial"/>
                <w:sz w:val="18"/>
                <w:szCs w:val="18"/>
                <w:color w:val="auto"/>
              </w:rPr>
              <w:t>Comprehensive income attributable to Textainer Group Holdings Limited common shareholders</w:t>
            </w:r>
          </w:p>
        </w:tc>
        <w:tc>
          <w:tcPr>
            <w:tcW w:w="66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w w:val="98"/>
              </w:rPr>
              <w:t>63,589</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u w:val="single" w:color="auto"/>
                <w:color w:val="auto"/>
                <w:w w:val="71"/>
              </w:rPr>
              <w:t>$</w:t>
            </w: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w w:val="87"/>
              </w:rPr>
              <w:t>56,649</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6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7"/>
              </w:rPr>
              <w:t>50,251</w:t>
            </w:r>
          </w:p>
        </w:tc>
        <w:tc>
          <w:tcPr>
            <w:tcW w:w="0" w:type="dxa"/>
            <w:vAlign w:val="bottom"/>
          </w:tcPr>
          <w:p>
            <w:pPr>
              <w:spacing w:after="0"/>
              <w:rPr>
                <w:sz w:val="1"/>
                <w:szCs w:val="1"/>
                <w:color w:val="auto"/>
              </w:rPr>
            </w:pPr>
          </w:p>
        </w:tc>
      </w:tr>
      <w:tr>
        <w:trPr>
          <w:trHeight w:val="20"/>
        </w:trPr>
        <w:tc>
          <w:tcPr>
            <w:tcW w:w="7960" w:type="dxa"/>
            <w:vAlign w:val="bottom"/>
            <w:vMerge w:val="restart"/>
          </w:tcPr>
          <w:p>
            <w:pPr>
              <w:ind w:left="5340"/>
              <w:spacing w:after="0"/>
              <w:rPr>
                <w:sz w:val="20"/>
                <w:szCs w:val="20"/>
                <w:color w:val="auto"/>
              </w:rPr>
            </w:pPr>
            <w:r>
              <w:rPr>
                <w:rFonts w:ascii="Arial" w:cs="Arial" w:eastAsia="Arial" w:hAnsi="Arial"/>
                <w:sz w:val="18"/>
                <w:szCs w:val="18"/>
                <w:color w:val="auto"/>
              </w:rPr>
              <w:t>F-50</w:t>
            </w:r>
          </w:p>
        </w:tc>
        <w:tc>
          <w:tcPr>
            <w:tcW w:w="6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9"/>
        </w:trPr>
        <w:tc>
          <w:tcPr>
            <w:tcW w:w="7960" w:type="dxa"/>
            <w:vAlign w:val="bottom"/>
            <w:vMerge w:val="continue"/>
          </w:tcPr>
          <w:p>
            <w:pPr>
              <w:spacing w:after="0"/>
              <w:rPr>
                <w:sz w:val="24"/>
                <w:szCs w:val="24"/>
                <w:color w:val="auto"/>
              </w:rPr>
            </w:pPr>
          </w:p>
        </w:tc>
        <w:tc>
          <w:tcPr>
            <w:tcW w:w="6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020"/>
          </w:cols>
          <w:pgMar w:left="440" w:top="270" w:right="439" w:bottom="1440" w:gutter="0" w:footer="0" w:header="0"/>
        </w:sectPr>
      </w:pPr>
    </w:p>
    <w:bookmarkStart w:id="164" w:name="page165"/>
    <w:bookmarkEnd w:id="164"/>
    <w:p>
      <w:pPr>
        <w:jc w:val="center"/>
        <w:ind w:right="2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TEXTAINER GROUP HOLDINGS LIMITED AND SUBSIDIARIES</w:t>
      </w:r>
    </w:p>
    <w:p>
      <w:pPr>
        <w:spacing w:after="0" w:line="27"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SCHEDULE I - CONDENSED BALANCE SHEETS</w:t>
      </w:r>
    </w:p>
    <w:p>
      <w:pPr>
        <w:spacing w:after="0" w:line="9"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Parent Company Information</w:t>
      </w:r>
    </w:p>
    <w:p>
      <w:pPr>
        <w:spacing w:after="0" w:line="9"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December 31, 2020 and 2019</w:t>
      </w:r>
    </w:p>
    <w:p>
      <w:pPr>
        <w:spacing w:after="0" w:line="9"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(All currency expressed in United States dollars in thousands)</w:t>
      </w:r>
    </w:p>
    <w:p>
      <w:pPr>
        <w:spacing w:after="0" w:line="22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904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tcPr>
          <w:p>
            <w:pPr>
              <w:jc w:val="right"/>
              <w:ind w:right="171"/>
              <w:spacing w:after="0"/>
              <w:rPr>
                <w:sz w:val="20"/>
                <w:szCs w:val="20"/>
                <w:color w:val="auto"/>
              </w:rPr>
            </w:pPr>
            <w:r>
              <w:rPr>
                <w:rFonts w:ascii="Arial" w:cs="Arial" w:eastAsia="Arial" w:hAnsi="Arial"/>
                <w:sz w:val="14"/>
                <w:szCs w:val="14"/>
                <w:b w:val="1"/>
                <w:bCs w:val="1"/>
                <w:color w:val="auto"/>
              </w:rPr>
              <w:t>2020</w:t>
            </w:r>
          </w:p>
        </w:tc>
        <w:tc>
          <w:tcPr>
            <w:tcW w:w="140" w:type="dxa"/>
            <w:vAlign w:val="bottom"/>
            <w:tcBorders>
              <w:bottom w:val="single" w:sz="8" w:color="CCEEFF"/>
            </w:tcBorders>
          </w:tcPr>
          <w:p>
            <w:pPr>
              <w:spacing w:after="0"/>
              <w:rPr>
                <w:sz w:val="14"/>
                <w:szCs w:val="14"/>
                <w:color w:val="auto"/>
              </w:rPr>
            </w:pPr>
          </w:p>
        </w:tc>
        <w:tc>
          <w:tcPr>
            <w:tcW w:w="8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tcPr>
          <w:p>
            <w:pPr>
              <w:jc w:val="right"/>
              <w:ind w:right="171"/>
              <w:spacing w:after="0"/>
              <w:rPr>
                <w:sz w:val="20"/>
                <w:szCs w:val="20"/>
                <w:color w:val="auto"/>
              </w:rPr>
            </w:pPr>
            <w:r>
              <w:rPr>
                <w:rFonts w:ascii="Arial" w:cs="Arial" w:eastAsia="Arial" w:hAnsi="Arial"/>
                <w:sz w:val="14"/>
                <w:szCs w:val="14"/>
                <w:b w:val="1"/>
                <w:bCs w:val="1"/>
                <w:color w:val="auto"/>
              </w:rPr>
              <w:t>2019</w:t>
            </w:r>
          </w:p>
        </w:tc>
        <w:tc>
          <w:tcPr>
            <w:tcW w:w="12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196"/>
        </w:trPr>
        <w:tc>
          <w:tcPr>
            <w:tcW w:w="9040" w:type="dxa"/>
            <w:vAlign w:val="bottom"/>
            <w:shd w:val="clear" w:color="auto" w:fill="CCEEFF"/>
          </w:tcPr>
          <w:p>
            <w:pPr>
              <w:ind w:left="4220"/>
              <w:spacing w:after="0" w:line="196" w:lineRule="exact"/>
              <w:rPr>
                <w:sz w:val="20"/>
                <w:szCs w:val="20"/>
                <w:color w:val="auto"/>
              </w:rPr>
            </w:pPr>
            <w:r>
              <w:rPr>
                <w:rFonts w:ascii="Arial" w:cs="Arial" w:eastAsia="Arial" w:hAnsi="Arial"/>
                <w:sz w:val="18"/>
                <w:szCs w:val="18"/>
                <w:b w:val="1"/>
                <w:bCs w:val="1"/>
                <w:color w:val="auto"/>
              </w:rPr>
              <w:t>Assets</w:t>
            </w: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9040" w:type="dxa"/>
            <w:vAlign w:val="bottom"/>
          </w:tcPr>
          <w:p>
            <w:pPr>
              <w:spacing w:after="0"/>
              <w:rPr>
                <w:sz w:val="20"/>
                <w:szCs w:val="20"/>
                <w:color w:val="auto"/>
              </w:rPr>
            </w:pPr>
            <w:r>
              <w:rPr>
                <w:rFonts w:ascii="Arial" w:cs="Arial" w:eastAsia="Arial" w:hAnsi="Arial"/>
                <w:sz w:val="18"/>
                <w:szCs w:val="18"/>
                <w:color w:val="auto"/>
              </w:rPr>
              <w:t>Current assets:</w:t>
            </w: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0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Cash and cash equivalents</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12,372</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5,956</w:t>
            </w:r>
          </w:p>
        </w:tc>
        <w:tc>
          <w:tcPr>
            <w:tcW w:w="0" w:type="dxa"/>
            <w:vAlign w:val="bottom"/>
          </w:tcPr>
          <w:p>
            <w:pPr>
              <w:spacing w:after="0"/>
              <w:rPr>
                <w:sz w:val="1"/>
                <w:szCs w:val="1"/>
                <w:color w:val="auto"/>
              </w:rPr>
            </w:pPr>
          </w:p>
        </w:tc>
      </w:tr>
      <w:tr>
        <w:trPr>
          <w:trHeight w:val="216"/>
        </w:trPr>
        <w:tc>
          <w:tcPr>
            <w:tcW w:w="9040" w:type="dxa"/>
            <w:vAlign w:val="bottom"/>
          </w:tcPr>
          <w:p>
            <w:pPr>
              <w:ind w:left="360"/>
              <w:spacing w:after="0"/>
              <w:rPr>
                <w:sz w:val="20"/>
                <w:szCs w:val="20"/>
                <w:color w:val="auto"/>
              </w:rPr>
            </w:pPr>
            <w:r>
              <w:rPr>
                <w:rFonts w:ascii="Arial" w:cs="Arial" w:eastAsia="Arial" w:hAnsi="Arial"/>
                <w:sz w:val="18"/>
                <w:szCs w:val="18"/>
                <w:color w:val="auto"/>
              </w:rPr>
              <w:t>Prepaid expenses and other current assets</w:t>
            </w:r>
          </w:p>
        </w:tc>
        <w:tc>
          <w:tcPr>
            <w:tcW w:w="100" w:type="dxa"/>
            <w:vAlign w:val="bottom"/>
          </w:tcPr>
          <w:p>
            <w:pPr>
              <w:spacing w:after="0"/>
              <w:rPr>
                <w:sz w:val="18"/>
                <w:szCs w:val="18"/>
                <w:color w:val="auto"/>
              </w:rPr>
            </w:pPr>
          </w:p>
        </w:tc>
        <w:tc>
          <w:tcPr>
            <w:tcW w:w="860" w:type="dxa"/>
            <w:vAlign w:val="bottom"/>
            <w:gridSpan w:val="2"/>
          </w:tcPr>
          <w:p>
            <w:pPr>
              <w:jc w:val="right"/>
              <w:ind w:right="140"/>
              <w:spacing w:after="0"/>
              <w:rPr>
                <w:sz w:val="20"/>
                <w:szCs w:val="20"/>
                <w:color w:val="auto"/>
              </w:rPr>
            </w:pPr>
            <w:r>
              <w:rPr>
                <w:rFonts w:ascii="Arial" w:cs="Arial" w:eastAsia="Arial" w:hAnsi="Arial"/>
                <w:sz w:val="18"/>
                <w:szCs w:val="18"/>
                <w:color w:val="auto"/>
              </w:rPr>
              <w:t>336</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310</w:t>
            </w:r>
          </w:p>
        </w:tc>
        <w:tc>
          <w:tcPr>
            <w:tcW w:w="0" w:type="dxa"/>
            <w:vAlign w:val="bottom"/>
          </w:tcPr>
          <w:p>
            <w:pPr>
              <w:spacing w:after="0"/>
              <w:rPr>
                <w:sz w:val="1"/>
                <w:szCs w:val="1"/>
                <w:color w:val="auto"/>
              </w:rPr>
            </w:pPr>
          </w:p>
        </w:tc>
      </w:tr>
      <w:tr>
        <w:trPr>
          <w:trHeight w:val="216"/>
        </w:trPr>
        <w:tc>
          <w:tcPr>
            <w:tcW w:w="90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Due from affiliates, net</w:t>
            </w:r>
          </w:p>
        </w:tc>
        <w:tc>
          <w:tcPr>
            <w:tcW w:w="1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2,679</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638</w:t>
            </w:r>
          </w:p>
        </w:tc>
        <w:tc>
          <w:tcPr>
            <w:tcW w:w="0" w:type="dxa"/>
            <w:vAlign w:val="bottom"/>
          </w:tcPr>
          <w:p>
            <w:pPr>
              <w:spacing w:after="0"/>
              <w:rPr>
                <w:sz w:val="1"/>
                <w:szCs w:val="1"/>
                <w:color w:val="auto"/>
              </w:rPr>
            </w:pPr>
          </w:p>
        </w:tc>
      </w:tr>
      <w:tr>
        <w:trPr>
          <w:trHeight w:val="223"/>
        </w:trPr>
        <w:tc>
          <w:tcPr>
            <w:tcW w:w="9040" w:type="dxa"/>
            <w:vAlign w:val="bottom"/>
          </w:tcPr>
          <w:p>
            <w:pPr>
              <w:ind w:left="720"/>
              <w:spacing w:after="0"/>
              <w:rPr>
                <w:sz w:val="20"/>
                <w:szCs w:val="20"/>
                <w:color w:val="auto"/>
              </w:rPr>
            </w:pPr>
            <w:r>
              <w:rPr>
                <w:rFonts w:ascii="Arial" w:cs="Arial" w:eastAsia="Arial" w:hAnsi="Arial"/>
                <w:sz w:val="18"/>
                <w:szCs w:val="18"/>
                <w:color w:val="auto"/>
              </w:rPr>
              <w:t>Total current assets</w:t>
            </w:r>
          </w:p>
        </w:tc>
        <w:tc>
          <w:tcPr>
            <w:tcW w:w="100" w:type="dxa"/>
            <w:vAlign w:val="bottom"/>
            <w:tcBorders>
              <w:top w:val="single" w:sz="8" w:color="auto"/>
            </w:tcBorders>
          </w:tcPr>
          <w:p>
            <w:pPr>
              <w:spacing w:after="0"/>
              <w:rPr>
                <w:sz w:val="19"/>
                <w:szCs w:val="19"/>
                <w:color w:val="auto"/>
              </w:rPr>
            </w:pPr>
          </w:p>
        </w:tc>
        <w:tc>
          <w:tcPr>
            <w:tcW w:w="7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15,387</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7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6,904</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9040" w:type="dxa"/>
            <w:vAlign w:val="bottom"/>
            <w:shd w:val="clear" w:color="auto" w:fill="CCEEFF"/>
          </w:tcPr>
          <w:p>
            <w:pPr>
              <w:spacing w:after="0"/>
              <w:rPr>
                <w:sz w:val="20"/>
                <w:szCs w:val="20"/>
                <w:color w:val="auto"/>
              </w:rPr>
            </w:pPr>
            <w:r>
              <w:rPr>
                <w:rFonts w:ascii="Arial" w:cs="Arial" w:eastAsia="Arial" w:hAnsi="Arial"/>
                <w:sz w:val="18"/>
                <w:szCs w:val="18"/>
                <w:color w:val="auto"/>
              </w:rPr>
              <w:t>Investments in subsidiaries</w:t>
            </w:r>
          </w:p>
        </w:tc>
        <w:tc>
          <w:tcPr>
            <w:tcW w:w="1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w w:val="87"/>
              </w:rPr>
              <w:t>1,245,427</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7"/>
              </w:rPr>
              <w:t>1,253,763</w:t>
            </w:r>
          </w:p>
        </w:tc>
        <w:tc>
          <w:tcPr>
            <w:tcW w:w="0" w:type="dxa"/>
            <w:vAlign w:val="bottom"/>
          </w:tcPr>
          <w:p>
            <w:pPr>
              <w:spacing w:after="0"/>
              <w:rPr>
                <w:sz w:val="1"/>
                <w:szCs w:val="1"/>
                <w:color w:val="auto"/>
              </w:rPr>
            </w:pPr>
          </w:p>
        </w:tc>
      </w:tr>
      <w:tr>
        <w:trPr>
          <w:trHeight w:val="223"/>
        </w:trPr>
        <w:tc>
          <w:tcPr>
            <w:tcW w:w="9040" w:type="dxa"/>
            <w:vAlign w:val="bottom"/>
          </w:tcPr>
          <w:p>
            <w:pPr>
              <w:ind w:left="720"/>
              <w:spacing w:after="0"/>
              <w:rPr>
                <w:sz w:val="20"/>
                <w:szCs w:val="20"/>
                <w:color w:val="auto"/>
              </w:rPr>
            </w:pPr>
            <w:r>
              <w:rPr>
                <w:rFonts w:ascii="Arial" w:cs="Arial" w:eastAsia="Arial" w:hAnsi="Arial"/>
                <w:sz w:val="18"/>
                <w:szCs w:val="18"/>
                <w:color w:val="auto"/>
              </w:rPr>
              <w:t>Total assets</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1,260,814</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1,260,667</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90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9040" w:type="dxa"/>
            <w:vAlign w:val="bottom"/>
            <w:shd w:val="clear" w:color="auto" w:fill="CCEEFF"/>
          </w:tcPr>
          <w:p>
            <w:pPr>
              <w:ind w:left="3060"/>
              <w:spacing w:after="0"/>
              <w:rPr>
                <w:sz w:val="20"/>
                <w:szCs w:val="20"/>
                <w:color w:val="auto"/>
              </w:rPr>
            </w:pPr>
            <w:r>
              <w:rPr>
                <w:rFonts w:ascii="Arial" w:cs="Arial" w:eastAsia="Arial" w:hAnsi="Arial"/>
                <w:sz w:val="18"/>
                <w:szCs w:val="18"/>
                <w:b w:val="1"/>
                <w:bCs w:val="1"/>
                <w:color w:val="auto"/>
              </w:rPr>
              <w:t>Liabilities and Shareholders’ Equity</w:t>
            </w: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040" w:type="dxa"/>
            <w:vAlign w:val="bottom"/>
          </w:tcPr>
          <w:p>
            <w:pPr>
              <w:spacing w:after="0"/>
              <w:rPr>
                <w:sz w:val="20"/>
                <w:szCs w:val="20"/>
                <w:color w:val="auto"/>
              </w:rPr>
            </w:pPr>
            <w:r>
              <w:rPr>
                <w:rFonts w:ascii="Arial" w:cs="Arial" w:eastAsia="Arial" w:hAnsi="Arial"/>
                <w:sz w:val="18"/>
                <w:szCs w:val="18"/>
                <w:color w:val="auto"/>
              </w:rPr>
              <w:t>Current liabilities:</w:t>
            </w: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0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Accounts payable and accrued expenses</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394</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476</w:t>
            </w:r>
          </w:p>
        </w:tc>
        <w:tc>
          <w:tcPr>
            <w:tcW w:w="0" w:type="dxa"/>
            <w:vAlign w:val="bottom"/>
          </w:tcPr>
          <w:p>
            <w:pPr>
              <w:spacing w:after="0"/>
              <w:rPr>
                <w:sz w:val="1"/>
                <w:szCs w:val="1"/>
                <w:color w:val="auto"/>
              </w:rPr>
            </w:pPr>
          </w:p>
        </w:tc>
      </w:tr>
      <w:tr>
        <w:trPr>
          <w:trHeight w:val="230"/>
        </w:trPr>
        <w:tc>
          <w:tcPr>
            <w:tcW w:w="9040" w:type="dxa"/>
            <w:vAlign w:val="bottom"/>
          </w:tcPr>
          <w:p>
            <w:pPr>
              <w:ind w:left="720"/>
              <w:spacing w:after="0"/>
              <w:rPr>
                <w:sz w:val="20"/>
                <w:szCs w:val="20"/>
                <w:color w:val="auto"/>
              </w:rPr>
            </w:pPr>
            <w:r>
              <w:rPr>
                <w:rFonts w:ascii="Arial" w:cs="Arial" w:eastAsia="Arial" w:hAnsi="Arial"/>
                <w:sz w:val="18"/>
                <w:szCs w:val="18"/>
                <w:color w:val="auto"/>
              </w:rPr>
              <w:t>Total current liabilities</w:t>
            </w:r>
          </w:p>
        </w:tc>
        <w:tc>
          <w:tcPr>
            <w:tcW w:w="100" w:type="dxa"/>
            <w:vAlign w:val="bottom"/>
            <w:tcBorders>
              <w:top w:val="single" w:sz="8" w:color="auto"/>
              <w:bottom w:val="single" w:sz="8" w:color="auto"/>
            </w:tcBorders>
          </w:tcPr>
          <w:p>
            <w:pPr>
              <w:spacing w:after="0"/>
              <w:rPr>
                <w:sz w:val="20"/>
                <w:szCs w:val="20"/>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394</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476</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9040" w:type="dxa"/>
            <w:vAlign w:val="bottom"/>
            <w:shd w:val="clear" w:color="auto" w:fill="CCEEFF"/>
          </w:tcPr>
          <w:p>
            <w:pPr>
              <w:spacing w:after="0"/>
              <w:rPr>
                <w:sz w:val="20"/>
                <w:szCs w:val="20"/>
                <w:color w:val="auto"/>
              </w:rPr>
            </w:pPr>
            <w:r>
              <w:rPr>
                <w:rFonts w:ascii="Arial" w:cs="Arial" w:eastAsia="Arial" w:hAnsi="Arial"/>
                <w:sz w:val="18"/>
                <w:szCs w:val="18"/>
                <w:color w:val="auto"/>
              </w:rPr>
              <w:t>Shareholders’ equity:</w:t>
            </w: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040" w:type="dxa"/>
            <w:vAlign w:val="bottom"/>
          </w:tcPr>
          <w:p>
            <w:pPr>
              <w:ind w:left="360"/>
              <w:spacing w:after="0"/>
              <w:rPr>
                <w:sz w:val="20"/>
                <w:szCs w:val="20"/>
                <w:color w:val="auto"/>
              </w:rPr>
            </w:pPr>
            <w:r>
              <w:rPr>
                <w:rFonts w:ascii="Arial" w:cs="Arial" w:eastAsia="Arial" w:hAnsi="Arial"/>
                <w:sz w:val="18"/>
                <w:szCs w:val="18"/>
                <w:color w:val="auto"/>
              </w:rPr>
              <w:t>Common shares</w:t>
            </w:r>
          </w:p>
        </w:tc>
        <w:tc>
          <w:tcPr>
            <w:tcW w:w="100" w:type="dxa"/>
            <w:vAlign w:val="bottom"/>
          </w:tcPr>
          <w:p>
            <w:pPr>
              <w:spacing w:after="0"/>
              <w:rPr>
                <w:sz w:val="18"/>
                <w:szCs w:val="18"/>
                <w:color w:val="auto"/>
              </w:rPr>
            </w:pPr>
          </w:p>
        </w:tc>
        <w:tc>
          <w:tcPr>
            <w:tcW w:w="860" w:type="dxa"/>
            <w:vAlign w:val="bottom"/>
            <w:gridSpan w:val="2"/>
          </w:tcPr>
          <w:p>
            <w:pPr>
              <w:jc w:val="right"/>
              <w:ind w:right="140"/>
              <w:spacing w:after="0"/>
              <w:rPr>
                <w:sz w:val="20"/>
                <w:szCs w:val="20"/>
                <w:color w:val="auto"/>
              </w:rPr>
            </w:pPr>
            <w:r>
              <w:rPr>
                <w:rFonts w:ascii="Arial" w:cs="Arial" w:eastAsia="Arial" w:hAnsi="Arial"/>
                <w:sz w:val="18"/>
                <w:szCs w:val="18"/>
                <w:color w:val="auto"/>
              </w:rPr>
              <w:t>587</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583</w:t>
            </w:r>
          </w:p>
        </w:tc>
        <w:tc>
          <w:tcPr>
            <w:tcW w:w="0" w:type="dxa"/>
            <w:vAlign w:val="bottom"/>
          </w:tcPr>
          <w:p>
            <w:pPr>
              <w:spacing w:after="0"/>
              <w:rPr>
                <w:sz w:val="1"/>
                <w:szCs w:val="1"/>
                <w:color w:val="auto"/>
              </w:rPr>
            </w:pPr>
          </w:p>
        </w:tc>
      </w:tr>
      <w:tr>
        <w:trPr>
          <w:trHeight w:val="216"/>
        </w:trPr>
        <w:tc>
          <w:tcPr>
            <w:tcW w:w="90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Treasury shares</w:t>
            </w:r>
          </w:p>
        </w:tc>
        <w:tc>
          <w:tcPr>
            <w:tcW w:w="1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(86,239)</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(17,746)</w:t>
            </w:r>
          </w:p>
        </w:tc>
        <w:tc>
          <w:tcPr>
            <w:tcW w:w="0" w:type="dxa"/>
            <w:vAlign w:val="bottom"/>
          </w:tcPr>
          <w:p>
            <w:pPr>
              <w:spacing w:after="0"/>
              <w:rPr>
                <w:sz w:val="1"/>
                <w:szCs w:val="1"/>
                <w:color w:val="auto"/>
              </w:rPr>
            </w:pPr>
          </w:p>
        </w:tc>
      </w:tr>
      <w:tr>
        <w:trPr>
          <w:trHeight w:val="216"/>
        </w:trPr>
        <w:tc>
          <w:tcPr>
            <w:tcW w:w="9040" w:type="dxa"/>
            <w:vAlign w:val="bottom"/>
          </w:tcPr>
          <w:p>
            <w:pPr>
              <w:ind w:left="360"/>
              <w:spacing w:after="0"/>
              <w:rPr>
                <w:sz w:val="20"/>
                <w:szCs w:val="20"/>
                <w:color w:val="auto"/>
              </w:rPr>
            </w:pPr>
            <w:r>
              <w:rPr>
                <w:rFonts w:ascii="Arial" w:cs="Arial" w:eastAsia="Arial" w:hAnsi="Arial"/>
                <w:sz w:val="18"/>
                <w:szCs w:val="18"/>
                <w:color w:val="auto"/>
              </w:rPr>
              <w:t>Additional paid-in capital</w:t>
            </w:r>
          </w:p>
        </w:tc>
        <w:tc>
          <w:tcPr>
            <w:tcW w:w="100" w:type="dxa"/>
            <w:vAlign w:val="bottom"/>
          </w:tcPr>
          <w:p>
            <w:pPr>
              <w:spacing w:after="0"/>
              <w:rPr>
                <w:sz w:val="18"/>
                <w:szCs w:val="18"/>
                <w:color w:val="auto"/>
              </w:rPr>
            </w:pPr>
          </w:p>
        </w:tc>
        <w:tc>
          <w:tcPr>
            <w:tcW w:w="860" w:type="dxa"/>
            <w:vAlign w:val="bottom"/>
            <w:gridSpan w:val="2"/>
          </w:tcPr>
          <w:p>
            <w:pPr>
              <w:jc w:val="right"/>
              <w:ind w:right="140"/>
              <w:spacing w:after="0"/>
              <w:rPr>
                <w:sz w:val="20"/>
                <w:szCs w:val="20"/>
                <w:color w:val="auto"/>
              </w:rPr>
            </w:pPr>
            <w:r>
              <w:rPr>
                <w:rFonts w:ascii="Arial" w:cs="Arial" w:eastAsia="Arial" w:hAnsi="Arial"/>
                <w:sz w:val="18"/>
                <w:szCs w:val="18"/>
                <w:color w:val="auto"/>
              </w:rPr>
              <w:t>417,421</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411,407</w:t>
            </w:r>
          </w:p>
        </w:tc>
        <w:tc>
          <w:tcPr>
            <w:tcW w:w="0" w:type="dxa"/>
            <w:vAlign w:val="bottom"/>
          </w:tcPr>
          <w:p>
            <w:pPr>
              <w:spacing w:after="0"/>
              <w:rPr>
                <w:sz w:val="1"/>
                <w:szCs w:val="1"/>
                <w:color w:val="auto"/>
              </w:rPr>
            </w:pPr>
          </w:p>
        </w:tc>
      </w:tr>
      <w:tr>
        <w:trPr>
          <w:trHeight w:val="216"/>
        </w:trPr>
        <w:tc>
          <w:tcPr>
            <w:tcW w:w="90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Accumulated other comprehensive loss</w:t>
            </w:r>
          </w:p>
        </w:tc>
        <w:tc>
          <w:tcPr>
            <w:tcW w:w="1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(9,744)</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(511)</w:t>
            </w:r>
          </w:p>
        </w:tc>
        <w:tc>
          <w:tcPr>
            <w:tcW w:w="0" w:type="dxa"/>
            <w:vAlign w:val="bottom"/>
          </w:tcPr>
          <w:p>
            <w:pPr>
              <w:spacing w:after="0"/>
              <w:rPr>
                <w:sz w:val="1"/>
                <w:szCs w:val="1"/>
                <w:color w:val="auto"/>
              </w:rPr>
            </w:pPr>
          </w:p>
        </w:tc>
      </w:tr>
      <w:tr>
        <w:trPr>
          <w:trHeight w:val="216"/>
        </w:trPr>
        <w:tc>
          <w:tcPr>
            <w:tcW w:w="9040" w:type="dxa"/>
            <w:vAlign w:val="bottom"/>
          </w:tcPr>
          <w:p>
            <w:pPr>
              <w:ind w:left="360"/>
              <w:spacing w:after="0"/>
              <w:rPr>
                <w:sz w:val="20"/>
                <w:szCs w:val="20"/>
                <w:color w:val="auto"/>
              </w:rPr>
            </w:pPr>
            <w:r>
              <w:rPr>
                <w:rFonts w:ascii="Arial" w:cs="Arial" w:eastAsia="Arial" w:hAnsi="Arial"/>
                <w:sz w:val="18"/>
                <w:szCs w:val="18"/>
                <w:color w:val="auto"/>
              </w:rPr>
              <w:t>Retained earnings</w:t>
            </w:r>
          </w:p>
        </w:tc>
        <w:tc>
          <w:tcPr>
            <w:tcW w:w="100" w:type="dxa"/>
            <w:vAlign w:val="bottom"/>
          </w:tcPr>
          <w:p>
            <w:pPr>
              <w:spacing w:after="0"/>
              <w:rPr>
                <w:sz w:val="18"/>
                <w:szCs w:val="18"/>
                <w:color w:val="auto"/>
              </w:rPr>
            </w:pPr>
          </w:p>
        </w:tc>
        <w:tc>
          <w:tcPr>
            <w:tcW w:w="860" w:type="dxa"/>
            <w:vAlign w:val="bottom"/>
            <w:gridSpan w:val="2"/>
          </w:tcPr>
          <w:p>
            <w:pPr>
              <w:jc w:val="right"/>
              <w:ind w:right="140"/>
              <w:spacing w:after="0"/>
              <w:rPr>
                <w:sz w:val="20"/>
                <w:szCs w:val="20"/>
                <w:color w:val="auto"/>
              </w:rPr>
            </w:pPr>
            <w:r>
              <w:rPr>
                <w:rFonts w:ascii="Arial" w:cs="Arial" w:eastAsia="Arial" w:hAnsi="Arial"/>
                <w:sz w:val="18"/>
                <w:szCs w:val="18"/>
                <w:color w:val="auto"/>
              </w:rPr>
              <w:t>938,395</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866,458</w:t>
            </w:r>
          </w:p>
        </w:tc>
        <w:tc>
          <w:tcPr>
            <w:tcW w:w="0" w:type="dxa"/>
            <w:vAlign w:val="bottom"/>
          </w:tcPr>
          <w:p>
            <w:pPr>
              <w:spacing w:after="0"/>
              <w:rPr>
                <w:sz w:val="1"/>
                <w:szCs w:val="1"/>
                <w:color w:val="auto"/>
              </w:rPr>
            </w:pPr>
          </w:p>
        </w:tc>
      </w:tr>
      <w:tr>
        <w:trPr>
          <w:trHeight w:val="27"/>
        </w:trPr>
        <w:tc>
          <w:tcPr>
            <w:tcW w:w="90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9040" w:type="dxa"/>
            <w:vAlign w:val="bottom"/>
            <w:shd w:val="clear" w:color="auto" w:fill="CCEEFF"/>
          </w:tcPr>
          <w:p>
            <w:pPr>
              <w:ind w:left="720"/>
              <w:spacing w:after="0"/>
              <w:rPr>
                <w:sz w:val="20"/>
                <w:szCs w:val="20"/>
                <w:color w:val="auto"/>
              </w:rPr>
            </w:pPr>
            <w:r>
              <w:rPr>
                <w:rFonts w:ascii="Arial" w:cs="Arial" w:eastAsia="Arial" w:hAnsi="Arial"/>
                <w:sz w:val="18"/>
                <w:szCs w:val="18"/>
                <w:color w:val="auto"/>
              </w:rPr>
              <w:t>Total shareholders’ equity</w:t>
            </w:r>
          </w:p>
        </w:tc>
        <w:tc>
          <w:tcPr>
            <w:tcW w:w="1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w w:val="87"/>
              </w:rPr>
              <w:t>1,260,420</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7"/>
              </w:rPr>
              <w:t>1,260,191</w:t>
            </w:r>
          </w:p>
        </w:tc>
        <w:tc>
          <w:tcPr>
            <w:tcW w:w="0" w:type="dxa"/>
            <w:vAlign w:val="bottom"/>
          </w:tcPr>
          <w:p>
            <w:pPr>
              <w:spacing w:after="0"/>
              <w:rPr>
                <w:sz w:val="1"/>
                <w:szCs w:val="1"/>
                <w:color w:val="auto"/>
              </w:rPr>
            </w:pPr>
          </w:p>
        </w:tc>
      </w:tr>
      <w:tr>
        <w:trPr>
          <w:trHeight w:val="223"/>
        </w:trPr>
        <w:tc>
          <w:tcPr>
            <w:tcW w:w="9040" w:type="dxa"/>
            <w:vAlign w:val="bottom"/>
          </w:tcPr>
          <w:p>
            <w:pPr>
              <w:ind w:left="720"/>
              <w:spacing w:after="0"/>
              <w:rPr>
                <w:sz w:val="20"/>
                <w:szCs w:val="20"/>
                <w:color w:val="auto"/>
              </w:rPr>
            </w:pPr>
            <w:r>
              <w:rPr>
                <w:rFonts w:ascii="Arial" w:cs="Arial" w:eastAsia="Arial" w:hAnsi="Arial"/>
                <w:sz w:val="18"/>
                <w:szCs w:val="18"/>
                <w:color w:val="auto"/>
              </w:rPr>
              <w:t>Total liabilities and shareholders’ equity</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1,260,814</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1,260,667</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9040" w:type="dxa"/>
            <w:vAlign w:val="bottom"/>
            <w:vMerge w:val="restart"/>
          </w:tcPr>
          <w:p>
            <w:pPr>
              <w:ind w:left="5340"/>
              <w:spacing w:after="0"/>
              <w:rPr>
                <w:sz w:val="20"/>
                <w:szCs w:val="20"/>
                <w:color w:val="auto"/>
              </w:rPr>
            </w:pPr>
            <w:r>
              <w:rPr>
                <w:rFonts w:ascii="Arial" w:cs="Arial" w:eastAsia="Arial" w:hAnsi="Arial"/>
                <w:sz w:val="18"/>
                <w:szCs w:val="18"/>
                <w:color w:val="auto"/>
              </w:rPr>
              <w:t>F-51</w:t>
            </w: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9"/>
        </w:trPr>
        <w:tc>
          <w:tcPr>
            <w:tcW w:w="9040" w:type="dxa"/>
            <w:vAlign w:val="bottom"/>
            <w:vMerge w:val="continue"/>
          </w:tcPr>
          <w:p>
            <w:pPr>
              <w:spacing w:after="0"/>
              <w:rPr>
                <w:sz w:val="24"/>
                <w:szCs w:val="24"/>
                <w:color w:val="auto"/>
              </w:rPr>
            </w:pPr>
          </w:p>
        </w:tc>
        <w:tc>
          <w:tcPr>
            <w:tcW w:w="1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020"/>
          </w:cols>
          <w:pgMar w:left="440" w:top="270" w:right="439" w:bottom="1440" w:gutter="0" w:footer="0" w:header="0"/>
        </w:sectPr>
      </w:pPr>
    </w:p>
    <w:bookmarkStart w:id="165" w:name="page166"/>
    <w:bookmarkEnd w:id="165"/>
    <w:p>
      <w:pPr>
        <w:jc w:val="center"/>
        <w:ind w:right="2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TEXTAINER GROUP HOLDINGS LIMITED AND SUBSIDIARIES</w:t>
      </w:r>
    </w:p>
    <w:p>
      <w:pPr>
        <w:spacing w:after="0" w:line="27"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SCHEDULE I – CONDENSED STATEMENTS OF CASH FLOWS</w:t>
      </w:r>
    </w:p>
    <w:p>
      <w:pPr>
        <w:spacing w:after="0" w:line="9"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Parent Company Information</w:t>
      </w:r>
    </w:p>
    <w:p>
      <w:pPr>
        <w:spacing w:after="0" w:line="9"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Years ended December 31, 2020, 2019 and 2018</w:t>
      </w:r>
    </w:p>
    <w:p>
      <w:pPr>
        <w:spacing w:after="0" w:line="9"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(All currency expressed in United States dollars in thousands)</w:t>
      </w:r>
    </w:p>
    <w:p>
      <w:pPr>
        <w:spacing w:after="0" w:line="22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7460" w:type="dxa"/>
            <w:vAlign w:val="bottom"/>
          </w:tcPr>
          <w:p>
            <w:pPr>
              <w:spacing w:after="0"/>
              <w:rPr>
                <w:sz w:val="14"/>
                <w:szCs w:val="14"/>
                <w:color w:val="auto"/>
              </w:rPr>
            </w:pPr>
          </w:p>
        </w:tc>
        <w:tc>
          <w:tcPr>
            <w:tcW w:w="1680" w:type="dxa"/>
            <w:vAlign w:val="bottom"/>
            <w:gridSpan w:val="2"/>
          </w:tcPr>
          <w:p>
            <w:pPr>
              <w:jc w:val="right"/>
              <w:ind w:right="90"/>
              <w:spacing w:after="0"/>
              <w:rPr>
                <w:sz w:val="20"/>
                <w:szCs w:val="20"/>
                <w:color w:val="auto"/>
              </w:rPr>
            </w:pPr>
            <w:r>
              <w:rPr>
                <w:rFonts w:ascii="Arial" w:cs="Arial" w:eastAsia="Arial" w:hAnsi="Arial"/>
                <w:sz w:val="14"/>
                <w:szCs w:val="14"/>
                <w:b w:val="1"/>
                <w:bCs w:val="1"/>
                <w:color w:val="auto"/>
              </w:rPr>
              <w:t>2020</w:t>
            </w:r>
          </w:p>
        </w:tc>
        <w:tc>
          <w:tcPr>
            <w:tcW w:w="2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60" w:type="dxa"/>
            <w:vAlign w:val="bottom"/>
          </w:tcPr>
          <w:p>
            <w:pPr>
              <w:jc w:val="right"/>
              <w:ind w:right="91"/>
              <w:spacing w:after="0"/>
              <w:rPr>
                <w:sz w:val="20"/>
                <w:szCs w:val="20"/>
                <w:color w:val="auto"/>
              </w:rPr>
            </w:pPr>
            <w:r>
              <w:rPr>
                <w:rFonts w:ascii="Arial" w:cs="Arial" w:eastAsia="Arial" w:hAnsi="Arial"/>
                <w:sz w:val="14"/>
                <w:szCs w:val="14"/>
                <w:b w:val="1"/>
                <w:bCs w:val="1"/>
                <w:color w:val="auto"/>
              </w:rPr>
              <w:t>2019</w:t>
            </w: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60" w:type="dxa"/>
            <w:vAlign w:val="bottom"/>
          </w:tcPr>
          <w:p>
            <w:pPr>
              <w:jc w:val="right"/>
              <w:ind w:right="91"/>
              <w:spacing w:after="0"/>
              <w:rPr>
                <w:sz w:val="20"/>
                <w:szCs w:val="20"/>
                <w:color w:val="auto"/>
              </w:rPr>
            </w:pPr>
            <w:r>
              <w:rPr>
                <w:rFonts w:ascii="Arial" w:cs="Arial" w:eastAsia="Arial" w:hAnsi="Arial"/>
                <w:sz w:val="14"/>
                <w:szCs w:val="14"/>
                <w:b w:val="1"/>
                <w:bCs w:val="1"/>
                <w:color w:val="auto"/>
              </w:rPr>
              <w:t>2018</w:t>
            </w: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6"/>
        </w:trPr>
        <w:tc>
          <w:tcPr>
            <w:tcW w:w="746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color w:val="auto"/>
              </w:rPr>
              <w:t>Cash flows from operating activities:</w:t>
            </w:r>
          </w:p>
        </w:tc>
        <w:tc>
          <w:tcPr>
            <w:tcW w:w="1020" w:type="dxa"/>
            <w:vAlign w:val="bottom"/>
            <w:tcBorders>
              <w:top w:val="single" w:sz="8" w:color="CCEEFF"/>
            </w:tcBorders>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56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56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23"/>
        </w:trPr>
        <w:tc>
          <w:tcPr>
            <w:tcW w:w="7460" w:type="dxa"/>
            <w:vAlign w:val="bottom"/>
          </w:tcPr>
          <w:p>
            <w:pPr>
              <w:ind w:left="360"/>
              <w:spacing w:after="0"/>
              <w:rPr>
                <w:sz w:val="20"/>
                <w:szCs w:val="20"/>
                <w:color w:val="auto"/>
              </w:rPr>
            </w:pPr>
            <w:r>
              <w:rPr>
                <w:rFonts w:ascii="Arial" w:cs="Arial" w:eastAsia="Arial" w:hAnsi="Arial"/>
                <w:sz w:val="18"/>
                <w:szCs w:val="18"/>
                <w:color w:val="auto"/>
              </w:rPr>
              <w:t>Net income attributable to Textainer Group Holdings Limited common shareholders</w:t>
            </w:r>
          </w:p>
        </w:tc>
        <w:tc>
          <w:tcPr>
            <w:tcW w:w="1900" w:type="dxa"/>
            <w:vAlign w:val="bottom"/>
            <w:gridSpan w:val="3"/>
          </w:tcPr>
          <w:p>
            <w:pPr>
              <w:jc w:val="right"/>
              <w:ind w:right="220"/>
              <w:spacing w:after="0"/>
              <w:rPr>
                <w:sz w:val="20"/>
                <w:szCs w:val="20"/>
                <w:color w:val="auto"/>
              </w:rPr>
            </w:pPr>
            <w:r>
              <w:rPr>
                <w:rFonts w:ascii="Arial" w:cs="Arial" w:eastAsia="Arial" w:hAnsi="Arial"/>
                <w:sz w:val="18"/>
                <w:szCs w:val="18"/>
                <w:color w:val="auto"/>
              </w:rPr>
              <w:t>$ 72,822</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w w:val="98"/>
              </w:rPr>
              <w:t>56,724</w:t>
            </w:r>
          </w:p>
        </w:tc>
        <w:tc>
          <w:tcPr>
            <w:tcW w:w="1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80" w:type="dxa"/>
            <w:vAlign w:val="bottom"/>
            <w:gridSpan w:val="2"/>
          </w:tcPr>
          <w:p>
            <w:pPr>
              <w:jc w:val="right"/>
              <w:ind w:right="120"/>
              <w:spacing w:after="0"/>
              <w:rPr>
                <w:sz w:val="20"/>
                <w:szCs w:val="20"/>
                <w:color w:val="auto"/>
              </w:rPr>
            </w:pPr>
            <w:r>
              <w:rPr>
                <w:rFonts w:ascii="Arial" w:cs="Arial" w:eastAsia="Arial" w:hAnsi="Arial"/>
                <w:sz w:val="18"/>
                <w:szCs w:val="18"/>
                <w:color w:val="auto"/>
                <w:w w:val="98"/>
              </w:rPr>
              <w:t>50,378</w:t>
            </w:r>
          </w:p>
        </w:tc>
        <w:tc>
          <w:tcPr>
            <w:tcW w:w="0" w:type="dxa"/>
            <w:vAlign w:val="bottom"/>
          </w:tcPr>
          <w:p>
            <w:pPr>
              <w:spacing w:after="0"/>
              <w:rPr>
                <w:sz w:val="1"/>
                <w:szCs w:val="1"/>
                <w:color w:val="auto"/>
              </w:rPr>
            </w:pPr>
          </w:p>
        </w:tc>
      </w:tr>
      <w:tr>
        <w:trPr>
          <w:trHeight w:val="216"/>
        </w:trPr>
        <w:tc>
          <w:tcPr>
            <w:tcW w:w="74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Adjustments to reconcile net income to net cash provided by operating activities:</w:t>
            </w:r>
          </w:p>
        </w:tc>
        <w:tc>
          <w:tcPr>
            <w:tcW w:w="1020" w:type="dxa"/>
            <w:vAlign w:val="bottom"/>
            <w:shd w:val="clear" w:color="auto" w:fill="CCEEFF"/>
          </w:tcPr>
          <w:p>
            <w:pPr>
              <w:spacing w:after="0"/>
              <w:rPr>
                <w:sz w:val="18"/>
                <w:szCs w:val="18"/>
                <w:color w:val="auto"/>
              </w:rPr>
            </w:pPr>
          </w:p>
        </w:tc>
        <w:tc>
          <w:tcPr>
            <w:tcW w:w="660" w:type="dxa"/>
            <w:vAlign w:val="bottom"/>
            <w:tcBorders>
              <w:top w:val="single" w:sz="8" w:color="auto"/>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560" w:type="dxa"/>
            <w:vAlign w:val="bottom"/>
            <w:tcBorders>
              <w:top w:val="single" w:sz="8" w:color="auto"/>
            </w:tcBorders>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560" w:type="dxa"/>
            <w:vAlign w:val="bottom"/>
            <w:tcBorders>
              <w:top w:val="single" w:sz="8" w:color="auto"/>
            </w:tcBorders>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460" w:type="dxa"/>
            <w:vAlign w:val="bottom"/>
          </w:tcPr>
          <w:p>
            <w:pPr>
              <w:ind w:left="720"/>
              <w:spacing w:after="0"/>
              <w:rPr>
                <w:sz w:val="20"/>
                <w:szCs w:val="20"/>
                <w:color w:val="auto"/>
              </w:rPr>
            </w:pPr>
            <w:r>
              <w:rPr>
                <w:rFonts w:ascii="Arial" w:cs="Arial" w:eastAsia="Arial" w:hAnsi="Arial"/>
                <w:sz w:val="18"/>
                <w:szCs w:val="18"/>
                <w:color w:val="auto"/>
              </w:rPr>
              <w:t>Equity in net income of subsidiaries</w:t>
            </w:r>
          </w:p>
        </w:tc>
        <w:tc>
          <w:tcPr>
            <w:tcW w:w="1900" w:type="dxa"/>
            <w:vAlign w:val="bottom"/>
            <w:gridSpan w:val="3"/>
          </w:tcPr>
          <w:p>
            <w:pPr>
              <w:jc w:val="right"/>
              <w:ind w:right="160"/>
              <w:spacing w:after="0"/>
              <w:rPr>
                <w:sz w:val="20"/>
                <w:szCs w:val="20"/>
                <w:color w:val="auto"/>
              </w:rPr>
            </w:pPr>
            <w:r>
              <w:rPr>
                <w:rFonts w:ascii="Arial" w:cs="Arial" w:eastAsia="Arial" w:hAnsi="Arial"/>
                <w:sz w:val="18"/>
                <w:szCs w:val="18"/>
                <w:color w:val="auto"/>
              </w:rPr>
              <w:t>(76,076)</w:t>
            </w:r>
          </w:p>
        </w:tc>
        <w:tc>
          <w:tcPr>
            <w:tcW w:w="100" w:type="dxa"/>
            <w:vAlign w:val="bottom"/>
          </w:tcPr>
          <w:p>
            <w:pPr>
              <w:spacing w:after="0"/>
              <w:rPr>
                <w:sz w:val="18"/>
                <w:szCs w:val="18"/>
                <w:color w:val="auto"/>
              </w:rPr>
            </w:pPr>
          </w:p>
        </w:tc>
        <w:tc>
          <w:tcPr>
            <w:tcW w:w="700" w:type="dxa"/>
            <w:vAlign w:val="bottom"/>
            <w:gridSpan w:val="2"/>
          </w:tcPr>
          <w:p>
            <w:pPr>
              <w:jc w:val="right"/>
              <w:ind w:right="80"/>
              <w:spacing w:after="0"/>
              <w:rPr>
                <w:sz w:val="20"/>
                <w:szCs w:val="20"/>
                <w:color w:val="auto"/>
              </w:rPr>
            </w:pPr>
            <w:r>
              <w:rPr>
                <w:rFonts w:ascii="Arial" w:cs="Arial" w:eastAsia="Arial" w:hAnsi="Arial"/>
                <w:sz w:val="18"/>
                <w:szCs w:val="18"/>
                <w:color w:val="auto"/>
                <w:w w:val="89"/>
              </w:rPr>
              <w:t>(60,813)</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w w:val="89"/>
              </w:rPr>
              <w:t>(54,461)</w:t>
            </w:r>
          </w:p>
        </w:tc>
        <w:tc>
          <w:tcPr>
            <w:tcW w:w="0" w:type="dxa"/>
            <w:vAlign w:val="bottom"/>
          </w:tcPr>
          <w:p>
            <w:pPr>
              <w:spacing w:after="0"/>
              <w:rPr>
                <w:sz w:val="1"/>
                <w:szCs w:val="1"/>
                <w:color w:val="auto"/>
              </w:rPr>
            </w:pPr>
          </w:p>
        </w:tc>
      </w:tr>
      <w:tr>
        <w:trPr>
          <w:trHeight w:val="216"/>
        </w:trPr>
        <w:tc>
          <w:tcPr>
            <w:tcW w:w="7460" w:type="dxa"/>
            <w:vAlign w:val="bottom"/>
            <w:shd w:val="clear" w:color="auto" w:fill="CCEEFF"/>
          </w:tcPr>
          <w:p>
            <w:pPr>
              <w:ind w:left="720"/>
              <w:spacing w:after="0"/>
              <w:rPr>
                <w:sz w:val="20"/>
                <w:szCs w:val="20"/>
                <w:color w:val="auto"/>
              </w:rPr>
            </w:pPr>
            <w:r>
              <w:rPr>
                <w:rFonts w:ascii="Arial" w:cs="Arial" w:eastAsia="Arial" w:hAnsi="Arial"/>
                <w:sz w:val="18"/>
                <w:szCs w:val="18"/>
                <w:color w:val="auto"/>
              </w:rPr>
              <w:t>Dividends received from subsidiaries</w:t>
            </w:r>
          </w:p>
        </w:tc>
        <w:tc>
          <w:tcPr>
            <w:tcW w:w="190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76,167</w:t>
            </w: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w w:val="98"/>
              </w:rPr>
              <w:t>46,823</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7460" w:type="dxa"/>
            <w:vAlign w:val="bottom"/>
          </w:tcPr>
          <w:p>
            <w:pPr>
              <w:ind w:left="720"/>
              <w:spacing w:after="0"/>
              <w:rPr>
                <w:sz w:val="20"/>
                <w:szCs w:val="20"/>
                <w:color w:val="auto"/>
              </w:rPr>
            </w:pPr>
            <w:r>
              <w:rPr>
                <w:rFonts w:ascii="Arial" w:cs="Arial" w:eastAsia="Arial" w:hAnsi="Arial"/>
                <w:sz w:val="18"/>
                <w:szCs w:val="18"/>
                <w:color w:val="auto"/>
              </w:rPr>
              <w:t>Share-based compensation</w:t>
            </w:r>
          </w:p>
        </w:tc>
        <w:tc>
          <w:tcPr>
            <w:tcW w:w="1900" w:type="dxa"/>
            <w:vAlign w:val="bottom"/>
            <w:gridSpan w:val="3"/>
          </w:tcPr>
          <w:p>
            <w:pPr>
              <w:jc w:val="right"/>
              <w:ind w:right="220"/>
              <w:spacing w:after="0"/>
              <w:rPr>
                <w:sz w:val="20"/>
                <w:szCs w:val="20"/>
                <w:color w:val="auto"/>
              </w:rPr>
            </w:pPr>
            <w:r>
              <w:rPr>
                <w:rFonts w:ascii="Arial" w:cs="Arial" w:eastAsia="Arial" w:hAnsi="Arial"/>
                <w:sz w:val="18"/>
                <w:szCs w:val="18"/>
                <w:color w:val="auto"/>
              </w:rPr>
              <w:t>4,723</w:t>
            </w:r>
          </w:p>
        </w:tc>
        <w:tc>
          <w:tcPr>
            <w:tcW w:w="100" w:type="dxa"/>
            <w:vAlign w:val="bottom"/>
          </w:tcPr>
          <w:p>
            <w:pPr>
              <w:spacing w:after="0"/>
              <w:rPr>
                <w:sz w:val="18"/>
                <w:szCs w:val="18"/>
                <w:color w:val="auto"/>
              </w:rPr>
            </w:pP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rPr>
              <w:t>4,388</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8"/>
                <w:szCs w:val="18"/>
                <w:color w:val="auto"/>
              </w:rPr>
              <w:t>7,355</w:t>
            </w:r>
          </w:p>
        </w:tc>
        <w:tc>
          <w:tcPr>
            <w:tcW w:w="0" w:type="dxa"/>
            <w:vAlign w:val="bottom"/>
          </w:tcPr>
          <w:p>
            <w:pPr>
              <w:spacing w:after="0"/>
              <w:rPr>
                <w:sz w:val="1"/>
                <w:szCs w:val="1"/>
                <w:color w:val="auto"/>
              </w:rPr>
            </w:pPr>
          </w:p>
        </w:tc>
      </w:tr>
      <w:tr>
        <w:trPr>
          <w:trHeight w:val="216"/>
        </w:trPr>
        <w:tc>
          <w:tcPr>
            <w:tcW w:w="7460" w:type="dxa"/>
            <w:vAlign w:val="bottom"/>
            <w:shd w:val="clear" w:color="auto" w:fill="CCEEFF"/>
          </w:tcPr>
          <w:p>
            <w:pPr>
              <w:ind w:left="720"/>
              <w:spacing w:after="0"/>
              <w:rPr>
                <w:sz w:val="20"/>
                <w:szCs w:val="20"/>
                <w:color w:val="auto"/>
              </w:rPr>
            </w:pPr>
            <w:r>
              <w:rPr>
                <w:rFonts w:ascii="Arial" w:cs="Arial" w:eastAsia="Arial" w:hAnsi="Arial"/>
                <w:sz w:val="18"/>
                <w:szCs w:val="18"/>
                <w:color w:val="auto"/>
              </w:rPr>
              <w:t>Decrease (increase) in:</w:t>
            </w:r>
          </w:p>
        </w:tc>
        <w:tc>
          <w:tcPr>
            <w:tcW w:w="102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460" w:type="dxa"/>
            <w:vAlign w:val="bottom"/>
          </w:tcPr>
          <w:p>
            <w:pPr>
              <w:ind w:left="1080"/>
              <w:spacing w:after="0"/>
              <w:rPr>
                <w:sz w:val="20"/>
                <w:szCs w:val="20"/>
                <w:color w:val="auto"/>
              </w:rPr>
            </w:pPr>
            <w:r>
              <w:rPr>
                <w:rFonts w:ascii="Arial" w:cs="Arial" w:eastAsia="Arial" w:hAnsi="Arial"/>
                <w:sz w:val="18"/>
                <w:szCs w:val="18"/>
                <w:color w:val="auto"/>
              </w:rPr>
              <w:t>Prepaid expenses and other current assets</w:t>
            </w:r>
          </w:p>
        </w:tc>
        <w:tc>
          <w:tcPr>
            <w:tcW w:w="1900" w:type="dxa"/>
            <w:vAlign w:val="bottom"/>
            <w:gridSpan w:val="3"/>
          </w:tcPr>
          <w:p>
            <w:pPr>
              <w:jc w:val="right"/>
              <w:ind w:right="160"/>
              <w:spacing w:after="0"/>
              <w:rPr>
                <w:sz w:val="20"/>
                <w:szCs w:val="20"/>
                <w:color w:val="auto"/>
              </w:rPr>
            </w:pPr>
            <w:r>
              <w:rPr>
                <w:rFonts w:ascii="Arial" w:cs="Arial" w:eastAsia="Arial" w:hAnsi="Arial"/>
                <w:sz w:val="18"/>
                <w:szCs w:val="18"/>
                <w:color w:val="auto"/>
              </w:rPr>
              <w:t>(26)</w:t>
            </w:r>
          </w:p>
        </w:tc>
        <w:tc>
          <w:tcPr>
            <w:tcW w:w="100" w:type="dxa"/>
            <w:vAlign w:val="bottom"/>
          </w:tcPr>
          <w:p>
            <w:pPr>
              <w:spacing w:after="0"/>
              <w:rPr>
                <w:sz w:val="18"/>
                <w:szCs w:val="18"/>
                <w:color w:val="auto"/>
              </w:rPr>
            </w:pPr>
          </w:p>
        </w:tc>
        <w:tc>
          <w:tcPr>
            <w:tcW w:w="700" w:type="dxa"/>
            <w:vAlign w:val="bottom"/>
            <w:gridSpan w:val="2"/>
          </w:tcPr>
          <w:p>
            <w:pPr>
              <w:jc w:val="right"/>
              <w:ind w:right="80"/>
              <w:spacing w:after="0"/>
              <w:rPr>
                <w:sz w:val="20"/>
                <w:szCs w:val="20"/>
                <w:color w:val="auto"/>
              </w:rPr>
            </w:pPr>
            <w:r>
              <w:rPr>
                <w:rFonts w:ascii="Arial" w:cs="Arial" w:eastAsia="Arial" w:hAnsi="Arial"/>
                <w:sz w:val="18"/>
                <w:szCs w:val="18"/>
                <w:color w:val="auto"/>
              </w:rPr>
              <w:t>(128)</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8"/>
                <w:szCs w:val="18"/>
                <w:color w:val="auto"/>
              </w:rPr>
              <w:t>34</w:t>
            </w:r>
          </w:p>
        </w:tc>
        <w:tc>
          <w:tcPr>
            <w:tcW w:w="0" w:type="dxa"/>
            <w:vAlign w:val="bottom"/>
          </w:tcPr>
          <w:p>
            <w:pPr>
              <w:spacing w:after="0"/>
              <w:rPr>
                <w:sz w:val="1"/>
                <w:szCs w:val="1"/>
                <w:color w:val="auto"/>
              </w:rPr>
            </w:pPr>
          </w:p>
        </w:tc>
      </w:tr>
      <w:tr>
        <w:trPr>
          <w:trHeight w:val="216"/>
        </w:trPr>
        <w:tc>
          <w:tcPr>
            <w:tcW w:w="7460" w:type="dxa"/>
            <w:vAlign w:val="bottom"/>
            <w:shd w:val="clear" w:color="auto" w:fill="CCEEFF"/>
          </w:tcPr>
          <w:p>
            <w:pPr>
              <w:ind w:left="720"/>
              <w:spacing w:after="0"/>
              <w:rPr>
                <w:sz w:val="20"/>
                <w:szCs w:val="20"/>
                <w:color w:val="auto"/>
              </w:rPr>
            </w:pPr>
            <w:r>
              <w:rPr>
                <w:rFonts w:ascii="Arial" w:cs="Arial" w:eastAsia="Arial" w:hAnsi="Arial"/>
                <w:sz w:val="18"/>
                <w:szCs w:val="18"/>
                <w:color w:val="auto"/>
              </w:rPr>
              <w:t>Increase (decrease) in:</w:t>
            </w:r>
          </w:p>
        </w:tc>
        <w:tc>
          <w:tcPr>
            <w:tcW w:w="102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460" w:type="dxa"/>
            <w:vAlign w:val="bottom"/>
          </w:tcPr>
          <w:p>
            <w:pPr>
              <w:ind w:left="1080"/>
              <w:spacing w:after="0"/>
              <w:rPr>
                <w:sz w:val="20"/>
                <w:szCs w:val="20"/>
                <w:color w:val="auto"/>
              </w:rPr>
            </w:pPr>
            <w:r>
              <w:rPr>
                <w:rFonts w:ascii="Arial" w:cs="Arial" w:eastAsia="Arial" w:hAnsi="Arial"/>
                <w:sz w:val="18"/>
                <w:szCs w:val="18"/>
                <w:color w:val="auto"/>
              </w:rPr>
              <w:t>Accounts payable and accrued expenses</w:t>
            </w:r>
          </w:p>
        </w:tc>
        <w:tc>
          <w:tcPr>
            <w:tcW w:w="1020" w:type="dxa"/>
            <w:vAlign w:val="bottom"/>
          </w:tcPr>
          <w:p>
            <w:pPr>
              <w:spacing w:after="0"/>
              <w:rPr>
                <w:sz w:val="18"/>
                <w:szCs w:val="18"/>
                <w:color w:val="auto"/>
              </w:rPr>
            </w:pPr>
          </w:p>
        </w:tc>
        <w:tc>
          <w:tcPr>
            <w:tcW w:w="880" w:type="dxa"/>
            <w:vAlign w:val="bottom"/>
            <w:gridSpan w:val="2"/>
          </w:tcPr>
          <w:p>
            <w:pPr>
              <w:jc w:val="right"/>
              <w:ind w:right="160"/>
              <w:spacing w:after="0"/>
              <w:rPr>
                <w:sz w:val="20"/>
                <w:szCs w:val="20"/>
                <w:color w:val="auto"/>
              </w:rPr>
            </w:pPr>
            <w:r>
              <w:rPr>
                <w:rFonts w:ascii="Arial" w:cs="Arial" w:eastAsia="Arial" w:hAnsi="Arial"/>
                <w:sz w:val="18"/>
                <w:szCs w:val="18"/>
                <w:color w:val="auto"/>
              </w:rPr>
              <w:t>(82)</w:t>
            </w:r>
          </w:p>
        </w:tc>
        <w:tc>
          <w:tcPr>
            <w:tcW w:w="100" w:type="dxa"/>
            <w:vAlign w:val="bottom"/>
          </w:tcPr>
          <w:p>
            <w:pPr>
              <w:spacing w:after="0"/>
              <w:rPr>
                <w:sz w:val="18"/>
                <w:szCs w:val="18"/>
                <w:color w:val="auto"/>
              </w:rPr>
            </w:pPr>
          </w:p>
        </w:tc>
        <w:tc>
          <w:tcPr>
            <w:tcW w:w="700" w:type="dxa"/>
            <w:vAlign w:val="bottom"/>
            <w:gridSpan w:val="2"/>
          </w:tcPr>
          <w:p>
            <w:pPr>
              <w:jc w:val="right"/>
              <w:ind w:right="80"/>
              <w:spacing w:after="0"/>
              <w:rPr>
                <w:sz w:val="20"/>
                <w:szCs w:val="20"/>
                <w:color w:val="auto"/>
              </w:rPr>
            </w:pPr>
            <w:r>
              <w:rPr>
                <w:rFonts w:ascii="Arial" w:cs="Arial" w:eastAsia="Arial" w:hAnsi="Arial"/>
                <w:sz w:val="18"/>
                <w:szCs w:val="18"/>
                <w:color w:val="auto"/>
              </w:rPr>
              <w:t>(237)</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8"/>
                <w:szCs w:val="18"/>
                <w:color w:val="auto"/>
              </w:rPr>
              <w:t>145</w:t>
            </w:r>
          </w:p>
        </w:tc>
        <w:tc>
          <w:tcPr>
            <w:tcW w:w="0" w:type="dxa"/>
            <w:vAlign w:val="bottom"/>
          </w:tcPr>
          <w:p>
            <w:pPr>
              <w:spacing w:after="0"/>
              <w:rPr>
                <w:sz w:val="1"/>
                <w:szCs w:val="1"/>
                <w:color w:val="auto"/>
              </w:rPr>
            </w:pPr>
          </w:p>
        </w:tc>
      </w:tr>
      <w:tr>
        <w:trPr>
          <w:trHeight w:val="27"/>
        </w:trPr>
        <w:tc>
          <w:tcPr>
            <w:tcW w:w="7460" w:type="dxa"/>
            <w:vAlign w:val="bottom"/>
          </w:tcPr>
          <w:p>
            <w:pPr>
              <w:spacing w:after="0"/>
              <w:rPr>
                <w:sz w:val="2"/>
                <w:szCs w:val="2"/>
                <w:color w:val="auto"/>
              </w:rPr>
            </w:pPr>
          </w:p>
        </w:tc>
        <w:tc>
          <w:tcPr>
            <w:tcW w:w="1020" w:type="dxa"/>
            <w:vAlign w:val="bottom"/>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7460" w:type="dxa"/>
            <w:vAlign w:val="bottom"/>
            <w:shd w:val="clear" w:color="auto" w:fill="CCEEFF"/>
          </w:tcPr>
          <w:p>
            <w:pPr>
              <w:ind w:left="1440"/>
              <w:spacing w:after="0"/>
              <w:rPr>
                <w:sz w:val="20"/>
                <w:szCs w:val="20"/>
                <w:color w:val="auto"/>
              </w:rPr>
            </w:pPr>
            <w:r>
              <w:rPr>
                <w:rFonts w:ascii="Arial" w:cs="Arial" w:eastAsia="Arial" w:hAnsi="Arial"/>
                <w:sz w:val="18"/>
                <w:szCs w:val="18"/>
                <w:color w:val="auto"/>
              </w:rPr>
              <w:t>Total adjustments</w:t>
            </w:r>
          </w:p>
        </w:tc>
        <w:tc>
          <w:tcPr>
            <w:tcW w:w="102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4,706</w:t>
            </w: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(9,967)</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89"/>
              </w:rPr>
              <w:t>(46,927)</w:t>
            </w:r>
          </w:p>
        </w:tc>
        <w:tc>
          <w:tcPr>
            <w:tcW w:w="0" w:type="dxa"/>
            <w:vAlign w:val="bottom"/>
          </w:tcPr>
          <w:p>
            <w:pPr>
              <w:spacing w:after="0"/>
              <w:rPr>
                <w:sz w:val="1"/>
                <w:szCs w:val="1"/>
                <w:color w:val="auto"/>
              </w:rPr>
            </w:pPr>
          </w:p>
        </w:tc>
      </w:tr>
      <w:tr>
        <w:trPr>
          <w:trHeight w:val="230"/>
        </w:trPr>
        <w:tc>
          <w:tcPr>
            <w:tcW w:w="7460" w:type="dxa"/>
            <w:vAlign w:val="bottom"/>
          </w:tcPr>
          <w:p>
            <w:pPr>
              <w:ind w:left="1440"/>
              <w:spacing w:after="0"/>
              <w:rPr>
                <w:sz w:val="20"/>
                <w:szCs w:val="20"/>
                <w:color w:val="auto"/>
              </w:rPr>
            </w:pPr>
            <w:r>
              <w:rPr>
                <w:rFonts w:ascii="Arial" w:cs="Arial" w:eastAsia="Arial" w:hAnsi="Arial"/>
                <w:sz w:val="18"/>
                <w:szCs w:val="18"/>
                <w:color w:val="auto"/>
              </w:rPr>
              <w:t>Net cash provided by operating activities</w:t>
            </w:r>
          </w:p>
        </w:tc>
        <w:tc>
          <w:tcPr>
            <w:tcW w:w="1020" w:type="dxa"/>
            <w:vAlign w:val="bottom"/>
          </w:tcPr>
          <w:p>
            <w:pPr>
              <w:spacing w:after="0"/>
              <w:rPr>
                <w:sz w:val="20"/>
                <w:szCs w:val="20"/>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77,528</w:t>
            </w:r>
          </w:p>
        </w:tc>
        <w:tc>
          <w:tcPr>
            <w:tcW w:w="2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46,757</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3,451</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7460" w:type="dxa"/>
            <w:vAlign w:val="bottom"/>
            <w:shd w:val="clear" w:color="auto" w:fill="CCEEFF"/>
          </w:tcPr>
          <w:p>
            <w:pPr>
              <w:spacing w:after="0"/>
              <w:rPr>
                <w:sz w:val="20"/>
                <w:szCs w:val="20"/>
                <w:color w:val="auto"/>
              </w:rPr>
            </w:pPr>
            <w:r>
              <w:rPr>
                <w:rFonts w:ascii="Arial" w:cs="Arial" w:eastAsia="Arial" w:hAnsi="Arial"/>
                <w:sz w:val="18"/>
                <w:szCs w:val="18"/>
                <w:color w:val="auto"/>
              </w:rPr>
              <w:t>Cash flows from investing activities:</w:t>
            </w:r>
          </w:p>
        </w:tc>
        <w:tc>
          <w:tcPr>
            <w:tcW w:w="102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460" w:type="dxa"/>
            <w:vAlign w:val="bottom"/>
          </w:tcPr>
          <w:p>
            <w:pPr>
              <w:ind w:left="360"/>
              <w:spacing w:after="0"/>
              <w:rPr>
                <w:sz w:val="20"/>
                <w:szCs w:val="20"/>
                <w:color w:val="auto"/>
              </w:rPr>
            </w:pPr>
            <w:r>
              <w:rPr>
                <w:rFonts w:ascii="Arial" w:cs="Arial" w:eastAsia="Arial" w:hAnsi="Arial"/>
                <w:sz w:val="18"/>
                <w:szCs w:val="18"/>
                <w:color w:val="auto"/>
              </w:rPr>
              <w:t>(Decrease) increase in investments in subsidiaries, net</w:t>
            </w:r>
          </w:p>
        </w:tc>
        <w:tc>
          <w:tcPr>
            <w:tcW w:w="1020" w:type="dxa"/>
            <w:vAlign w:val="bottom"/>
          </w:tcPr>
          <w:p>
            <w:pPr>
              <w:spacing w:after="0"/>
              <w:rPr>
                <w:sz w:val="18"/>
                <w:szCs w:val="18"/>
                <w:color w:val="auto"/>
              </w:rPr>
            </w:pPr>
          </w:p>
        </w:tc>
        <w:tc>
          <w:tcPr>
            <w:tcW w:w="880" w:type="dxa"/>
            <w:vAlign w:val="bottom"/>
            <w:gridSpan w:val="2"/>
          </w:tcPr>
          <w:p>
            <w:pPr>
              <w:jc w:val="right"/>
              <w:ind w:right="160"/>
              <w:spacing w:after="0"/>
              <w:rPr>
                <w:sz w:val="20"/>
                <w:szCs w:val="20"/>
                <w:color w:val="auto"/>
              </w:rPr>
            </w:pPr>
            <w:r>
              <w:rPr>
                <w:rFonts w:ascii="Arial" w:cs="Arial" w:eastAsia="Arial" w:hAnsi="Arial"/>
                <w:sz w:val="18"/>
                <w:szCs w:val="18"/>
                <w:color w:val="auto"/>
              </w:rPr>
              <w:t>(2,050)</w:t>
            </w:r>
          </w:p>
        </w:tc>
        <w:tc>
          <w:tcPr>
            <w:tcW w:w="100" w:type="dxa"/>
            <w:vAlign w:val="bottom"/>
          </w:tcPr>
          <w:p>
            <w:pPr>
              <w:spacing w:after="0"/>
              <w:rPr>
                <w:sz w:val="18"/>
                <w:szCs w:val="18"/>
                <w:color w:val="auto"/>
              </w:rPr>
            </w:pPr>
          </w:p>
        </w:tc>
        <w:tc>
          <w:tcPr>
            <w:tcW w:w="700" w:type="dxa"/>
            <w:vAlign w:val="bottom"/>
            <w:gridSpan w:val="2"/>
          </w:tcPr>
          <w:p>
            <w:pPr>
              <w:jc w:val="right"/>
              <w:ind w:right="80"/>
              <w:spacing w:after="0"/>
              <w:rPr>
                <w:sz w:val="20"/>
                <w:szCs w:val="20"/>
                <w:color w:val="auto"/>
              </w:rPr>
            </w:pPr>
            <w:r>
              <w:rPr>
                <w:rFonts w:ascii="Arial" w:cs="Arial" w:eastAsia="Arial" w:hAnsi="Arial"/>
                <w:sz w:val="18"/>
                <w:szCs w:val="18"/>
                <w:color w:val="auto"/>
                <w:w w:val="89"/>
              </w:rPr>
              <w:t>(41,865)</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8"/>
                <w:szCs w:val="18"/>
                <w:color w:val="auto"/>
              </w:rPr>
              <w:t>127</w:t>
            </w:r>
          </w:p>
        </w:tc>
        <w:tc>
          <w:tcPr>
            <w:tcW w:w="0" w:type="dxa"/>
            <w:vAlign w:val="bottom"/>
          </w:tcPr>
          <w:p>
            <w:pPr>
              <w:spacing w:after="0"/>
              <w:rPr>
                <w:sz w:val="1"/>
                <w:szCs w:val="1"/>
                <w:color w:val="auto"/>
              </w:rPr>
            </w:pPr>
          </w:p>
        </w:tc>
      </w:tr>
      <w:tr>
        <w:trPr>
          <w:trHeight w:val="27"/>
        </w:trPr>
        <w:tc>
          <w:tcPr>
            <w:tcW w:w="7460" w:type="dxa"/>
            <w:vAlign w:val="bottom"/>
          </w:tcPr>
          <w:p>
            <w:pPr>
              <w:spacing w:after="0"/>
              <w:rPr>
                <w:sz w:val="2"/>
                <w:szCs w:val="2"/>
                <w:color w:val="auto"/>
              </w:rPr>
            </w:pPr>
          </w:p>
        </w:tc>
        <w:tc>
          <w:tcPr>
            <w:tcW w:w="1020" w:type="dxa"/>
            <w:vAlign w:val="bottom"/>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7460" w:type="dxa"/>
            <w:vAlign w:val="bottom"/>
            <w:shd w:val="clear" w:color="auto" w:fill="CCEEFF"/>
          </w:tcPr>
          <w:p>
            <w:pPr>
              <w:ind w:left="1440"/>
              <w:spacing w:after="0"/>
              <w:rPr>
                <w:sz w:val="20"/>
                <w:szCs w:val="20"/>
                <w:color w:val="auto"/>
              </w:rPr>
            </w:pPr>
            <w:r>
              <w:rPr>
                <w:rFonts w:ascii="Arial" w:cs="Arial" w:eastAsia="Arial" w:hAnsi="Arial"/>
                <w:sz w:val="18"/>
                <w:szCs w:val="18"/>
                <w:color w:val="auto"/>
              </w:rPr>
              <w:t>Net cash (used in) provided by investing activities</w:t>
            </w:r>
          </w:p>
        </w:tc>
        <w:tc>
          <w:tcPr>
            <w:tcW w:w="102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(2,050)</w:t>
            </w: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w w:val="89"/>
              </w:rPr>
              <w:t>(41,865)</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127</w:t>
            </w:r>
          </w:p>
        </w:tc>
        <w:tc>
          <w:tcPr>
            <w:tcW w:w="0" w:type="dxa"/>
            <w:vAlign w:val="bottom"/>
          </w:tcPr>
          <w:p>
            <w:pPr>
              <w:spacing w:after="0"/>
              <w:rPr>
                <w:sz w:val="1"/>
                <w:szCs w:val="1"/>
                <w:color w:val="auto"/>
              </w:rPr>
            </w:pPr>
          </w:p>
        </w:tc>
      </w:tr>
      <w:tr>
        <w:trPr>
          <w:trHeight w:val="223"/>
        </w:trPr>
        <w:tc>
          <w:tcPr>
            <w:tcW w:w="7460" w:type="dxa"/>
            <w:vAlign w:val="bottom"/>
          </w:tcPr>
          <w:p>
            <w:pPr>
              <w:spacing w:after="0"/>
              <w:rPr>
                <w:sz w:val="20"/>
                <w:szCs w:val="20"/>
                <w:color w:val="auto"/>
              </w:rPr>
            </w:pPr>
            <w:r>
              <w:rPr>
                <w:rFonts w:ascii="Arial" w:cs="Arial" w:eastAsia="Arial" w:hAnsi="Arial"/>
                <w:sz w:val="18"/>
                <w:szCs w:val="18"/>
                <w:color w:val="auto"/>
              </w:rPr>
              <w:t>Cash flows from financing activities:</w:t>
            </w:r>
          </w:p>
        </w:tc>
        <w:tc>
          <w:tcPr>
            <w:tcW w:w="1020" w:type="dxa"/>
            <w:vAlign w:val="bottom"/>
          </w:tcPr>
          <w:p>
            <w:pPr>
              <w:spacing w:after="0"/>
              <w:rPr>
                <w:sz w:val="19"/>
                <w:szCs w:val="19"/>
                <w:color w:val="auto"/>
              </w:rPr>
            </w:pPr>
          </w:p>
        </w:tc>
        <w:tc>
          <w:tcPr>
            <w:tcW w:w="660" w:type="dxa"/>
            <w:vAlign w:val="bottom"/>
            <w:tcBorders>
              <w:top w:val="single" w:sz="8" w:color="auto"/>
            </w:tcBorders>
          </w:tcPr>
          <w:p>
            <w:pPr>
              <w:spacing w:after="0"/>
              <w:rPr>
                <w:sz w:val="19"/>
                <w:szCs w:val="19"/>
                <w:color w:val="auto"/>
              </w:rPr>
            </w:pPr>
          </w:p>
        </w:tc>
        <w:tc>
          <w:tcPr>
            <w:tcW w:w="22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560" w:type="dxa"/>
            <w:vAlign w:val="bottom"/>
            <w:tcBorders>
              <w:top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560" w:type="dxa"/>
            <w:vAlign w:val="bottom"/>
            <w:tcBorders>
              <w:top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74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Purchase of treasury shares</w:t>
            </w:r>
          </w:p>
        </w:tc>
        <w:tc>
          <w:tcPr>
            <w:tcW w:w="190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(68,493)</w:t>
            </w: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(8,597)</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7460" w:type="dxa"/>
            <w:vAlign w:val="bottom"/>
          </w:tcPr>
          <w:p>
            <w:pPr>
              <w:ind w:left="360"/>
              <w:spacing w:after="0"/>
              <w:rPr>
                <w:sz w:val="20"/>
                <w:szCs w:val="20"/>
                <w:color w:val="auto"/>
              </w:rPr>
            </w:pPr>
            <w:r>
              <w:rPr>
                <w:rFonts w:ascii="Arial" w:cs="Arial" w:eastAsia="Arial" w:hAnsi="Arial"/>
                <w:sz w:val="18"/>
                <w:szCs w:val="18"/>
                <w:color w:val="auto"/>
              </w:rPr>
              <w:t>Issuance of common shares upon exercise of share options</w:t>
            </w:r>
          </w:p>
        </w:tc>
        <w:tc>
          <w:tcPr>
            <w:tcW w:w="1900" w:type="dxa"/>
            <w:vAlign w:val="bottom"/>
            <w:gridSpan w:val="3"/>
          </w:tcPr>
          <w:p>
            <w:pPr>
              <w:jc w:val="right"/>
              <w:ind w:right="220"/>
              <w:spacing w:after="0"/>
              <w:rPr>
                <w:sz w:val="20"/>
                <w:szCs w:val="20"/>
                <w:color w:val="auto"/>
              </w:rPr>
            </w:pPr>
            <w:r>
              <w:rPr>
                <w:rFonts w:ascii="Arial" w:cs="Arial" w:eastAsia="Arial" w:hAnsi="Arial"/>
                <w:sz w:val="18"/>
                <w:szCs w:val="18"/>
                <w:color w:val="auto"/>
              </w:rPr>
              <w:t>1,295</w:t>
            </w:r>
          </w:p>
        </w:tc>
        <w:tc>
          <w:tcPr>
            <w:tcW w:w="100" w:type="dxa"/>
            <w:vAlign w:val="bottom"/>
          </w:tcPr>
          <w:p>
            <w:pPr>
              <w:spacing w:after="0"/>
              <w:rPr>
                <w:sz w:val="18"/>
                <w:szCs w:val="18"/>
                <w:color w:val="auto"/>
              </w:rPr>
            </w:pP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rPr>
              <w:t>126</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8"/>
                <w:szCs w:val="18"/>
                <w:color w:val="auto"/>
              </w:rPr>
              <w:t>130</w:t>
            </w:r>
          </w:p>
        </w:tc>
        <w:tc>
          <w:tcPr>
            <w:tcW w:w="0" w:type="dxa"/>
            <w:vAlign w:val="bottom"/>
          </w:tcPr>
          <w:p>
            <w:pPr>
              <w:spacing w:after="0"/>
              <w:rPr>
                <w:sz w:val="1"/>
                <w:szCs w:val="1"/>
                <w:color w:val="auto"/>
              </w:rPr>
            </w:pPr>
          </w:p>
        </w:tc>
      </w:tr>
      <w:tr>
        <w:trPr>
          <w:trHeight w:val="216"/>
        </w:trPr>
        <w:tc>
          <w:tcPr>
            <w:tcW w:w="74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Due (from) to affiliates, net</w:t>
            </w:r>
          </w:p>
        </w:tc>
        <w:tc>
          <w:tcPr>
            <w:tcW w:w="190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(2,041)</w:t>
            </w: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49</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333</w:t>
            </w:r>
          </w:p>
        </w:tc>
        <w:tc>
          <w:tcPr>
            <w:tcW w:w="0" w:type="dxa"/>
            <w:vAlign w:val="bottom"/>
          </w:tcPr>
          <w:p>
            <w:pPr>
              <w:spacing w:after="0"/>
              <w:rPr>
                <w:sz w:val="1"/>
                <w:szCs w:val="1"/>
                <w:color w:val="auto"/>
              </w:rPr>
            </w:pPr>
          </w:p>
        </w:tc>
      </w:tr>
      <w:tr>
        <w:trPr>
          <w:trHeight w:val="230"/>
        </w:trPr>
        <w:tc>
          <w:tcPr>
            <w:tcW w:w="7460" w:type="dxa"/>
            <w:vAlign w:val="bottom"/>
          </w:tcPr>
          <w:p>
            <w:pPr>
              <w:ind w:left="1440"/>
              <w:spacing w:after="0"/>
              <w:rPr>
                <w:sz w:val="20"/>
                <w:szCs w:val="20"/>
                <w:color w:val="auto"/>
              </w:rPr>
            </w:pPr>
            <w:r>
              <w:rPr>
                <w:rFonts w:ascii="Arial" w:cs="Arial" w:eastAsia="Arial" w:hAnsi="Arial"/>
                <w:sz w:val="18"/>
                <w:szCs w:val="18"/>
                <w:color w:val="auto"/>
              </w:rPr>
              <w:t>Net cash (used in) provided by financing activities</w:t>
            </w:r>
          </w:p>
        </w:tc>
        <w:tc>
          <w:tcPr>
            <w:tcW w:w="1020" w:type="dxa"/>
            <w:vAlign w:val="bottom"/>
          </w:tcPr>
          <w:p>
            <w:pPr>
              <w:spacing w:after="0"/>
              <w:rPr>
                <w:sz w:val="20"/>
                <w:szCs w:val="20"/>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5"/>
              </w:rPr>
              <w:t>(69,239)</w:t>
            </w:r>
          </w:p>
        </w:tc>
        <w:tc>
          <w:tcPr>
            <w:tcW w:w="2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4"/>
              </w:rPr>
              <w:t>(8,422)</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463</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7460" w:type="dxa"/>
            <w:vAlign w:val="bottom"/>
            <w:shd w:val="clear" w:color="auto" w:fill="CCEEFF"/>
          </w:tcPr>
          <w:p>
            <w:pPr>
              <w:spacing w:after="0"/>
              <w:rPr>
                <w:sz w:val="20"/>
                <w:szCs w:val="20"/>
                <w:color w:val="auto"/>
              </w:rPr>
            </w:pPr>
            <w:r>
              <w:rPr>
                <w:rFonts w:ascii="Arial" w:cs="Arial" w:eastAsia="Arial" w:hAnsi="Arial"/>
                <w:sz w:val="18"/>
                <w:szCs w:val="18"/>
                <w:color w:val="auto"/>
              </w:rPr>
              <w:t>Effect of exchange rate changes</w:t>
            </w:r>
          </w:p>
        </w:tc>
        <w:tc>
          <w:tcPr>
            <w:tcW w:w="190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177</w:t>
            </w: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42</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(127)</w:t>
            </w:r>
          </w:p>
        </w:tc>
        <w:tc>
          <w:tcPr>
            <w:tcW w:w="0" w:type="dxa"/>
            <w:vAlign w:val="bottom"/>
          </w:tcPr>
          <w:p>
            <w:pPr>
              <w:spacing w:after="0"/>
              <w:rPr>
                <w:sz w:val="1"/>
                <w:szCs w:val="1"/>
                <w:color w:val="auto"/>
              </w:rPr>
            </w:pPr>
          </w:p>
        </w:tc>
      </w:tr>
      <w:tr>
        <w:trPr>
          <w:trHeight w:val="230"/>
        </w:trPr>
        <w:tc>
          <w:tcPr>
            <w:tcW w:w="7460" w:type="dxa"/>
            <w:vAlign w:val="bottom"/>
          </w:tcPr>
          <w:p>
            <w:pPr>
              <w:ind w:left="1440"/>
              <w:spacing w:after="0"/>
              <w:rPr>
                <w:sz w:val="20"/>
                <w:szCs w:val="20"/>
                <w:color w:val="auto"/>
              </w:rPr>
            </w:pPr>
            <w:r>
              <w:rPr>
                <w:rFonts w:ascii="Arial" w:cs="Arial" w:eastAsia="Arial" w:hAnsi="Arial"/>
                <w:sz w:val="18"/>
                <w:szCs w:val="18"/>
                <w:color w:val="auto"/>
              </w:rPr>
              <w:t>Net increase (decrease) in cash and cash equivalents</w:t>
            </w:r>
          </w:p>
        </w:tc>
        <w:tc>
          <w:tcPr>
            <w:tcW w:w="1020" w:type="dxa"/>
            <w:vAlign w:val="bottom"/>
          </w:tcPr>
          <w:p>
            <w:pPr>
              <w:spacing w:after="0"/>
              <w:rPr>
                <w:sz w:val="20"/>
                <w:szCs w:val="20"/>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6,416</w:t>
            </w:r>
          </w:p>
        </w:tc>
        <w:tc>
          <w:tcPr>
            <w:tcW w:w="2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4"/>
              </w:rPr>
              <w:t>(3,488)</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3,914</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7460" w:type="dxa"/>
            <w:vAlign w:val="bottom"/>
            <w:shd w:val="clear" w:color="auto" w:fill="CCEEFF"/>
          </w:tcPr>
          <w:p>
            <w:pPr>
              <w:spacing w:after="0"/>
              <w:rPr>
                <w:sz w:val="20"/>
                <w:szCs w:val="20"/>
                <w:color w:val="auto"/>
              </w:rPr>
            </w:pPr>
            <w:r>
              <w:rPr>
                <w:rFonts w:ascii="Arial" w:cs="Arial" w:eastAsia="Arial" w:hAnsi="Arial"/>
                <w:sz w:val="18"/>
                <w:szCs w:val="18"/>
                <w:color w:val="auto"/>
              </w:rPr>
              <w:t>Cash and cash equivalents, beginning of the year</w:t>
            </w:r>
          </w:p>
        </w:tc>
        <w:tc>
          <w:tcPr>
            <w:tcW w:w="190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5,956</w:t>
            </w: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9,444</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5,530</w:t>
            </w:r>
          </w:p>
        </w:tc>
        <w:tc>
          <w:tcPr>
            <w:tcW w:w="0" w:type="dxa"/>
            <w:vAlign w:val="bottom"/>
          </w:tcPr>
          <w:p>
            <w:pPr>
              <w:spacing w:after="0"/>
              <w:rPr>
                <w:sz w:val="1"/>
                <w:szCs w:val="1"/>
                <w:color w:val="auto"/>
              </w:rPr>
            </w:pPr>
          </w:p>
        </w:tc>
      </w:tr>
      <w:tr>
        <w:trPr>
          <w:trHeight w:val="223"/>
        </w:trPr>
        <w:tc>
          <w:tcPr>
            <w:tcW w:w="7460" w:type="dxa"/>
            <w:vAlign w:val="bottom"/>
          </w:tcPr>
          <w:p>
            <w:pPr>
              <w:spacing w:after="0"/>
              <w:rPr>
                <w:sz w:val="20"/>
                <w:szCs w:val="20"/>
                <w:color w:val="auto"/>
              </w:rPr>
            </w:pPr>
            <w:r>
              <w:rPr>
                <w:rFonts w:ascii="Arial" w:cs="Arial" w:eastAsia="Arial" w:hAnsi="Arial"/>
                <w:sz w:val="18"/>
                <w:szCs w:val="18"/>
                <w:color w:val="auto"/>
              </w:rPr>
              <w:t>Cash and cash equivalents, end of the year</w:t>
            </w:r>
          </w:p>
        </w:tc>
        <w:tc>
          <w:tcPr>
            <w:tcW w:w="1020" w:type="dxa"/>
            <w:vAlign w:val="bottom"/>
          </w:tcPr>
          <w:p>
            <w:pPr>
              <w:spacing w:after="0"/>
              <w:rPr>
                <w:sz w:val="19"/>
                <w:szCs w:val="19"/>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1"/>
              </w:rPr>
              <w:t>$ 12,372</w:t>
            </w:r>
          </w:p>
        </w:tc>
        <w:tc>
          <w:tcPr>
            <w:tcW w:w="22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5,956</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9,444</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7460" w:type="dxa"/>
            <w:vAlign w:val="bottom"/>
            <w:vMerge w:val="restart"/>
          </w:tcPr>
          <w:p>
            <w:pPr>
              <w:ind w:left="5340"/>
              <w:spacing w:after="0"/>
              <w:rPr>
                <w:sz w:val="20"/>
                <w:szCs w:val="20"/>
                <w:color w:val="auto"/>
              </w:rPr>
            </w:pPr>
            <w:r>
              <w:rPr>
                <w:rFonts w:ascii="Arial" w:cs="Arial" w:eastAsia="Arial" w:hAnsi="Arial"/>
                <w:sz w:val="18"/>
                <w:szCs w:val="18"/>
                <w:color w:val="auto"/>
              </w:rPr>
              <w:t>F-52</w:t>
            </w:r>
          </w:p>
        </w:tc>
        <w:tc>
          <w:tcPr>
            <w:tcW w:w="1020" w:type="dxa"/>
            <w:vAlign w:val="bottom"/>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9"/>
        </w:trPr>
        <w:tc>
          <w:tcPr>
            <w:tcW w:w="7460" w:type="dxa"/>
            <w:vAlign w:val="bottom"/>
            <w:vMerge w:val="continue"/>
          </w:tcPr>
          <w:p>
            <w:pPr>
              <w:spacing w:after="0"/>
              <w:rPr>
                <w:sz w:val="24"/>
                <w:szCs w:val="24"/>
                <w:color w:val="auto"/>
              </w:rPr>
            </w:pPr>
          </w:p>
        </w:tc>
        <w:tc>
          <w:tcPr>
            <w:tcW w:w="10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020"/>
          </w:cols>
          <w:pgMar w:left="440" w:top="270" w:right="439" w:bottom="1440" w:gutter="0" w:footer="0" w:header="0"/>
        </w:sectPr>
      </w:pPr>
    </w:p>
    <w:bookmarkStart w:id="166" w:name="page167"/>
    <w:bookmarkEnd w:id="166"/>
    <w:p>
      <w:pPr>
        <w:jc w:val="right"/>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7174865" cy="38735"/>
                    </a:xfrm>
                    <a:prstGeom prst="rect">
                      <a:avLst/>
                    </a:prstGeom>
                    <a:noFill/>
                  </pic:spPr>
                </pic:pic>
              </a:graphicData>
            </a:graphic>
          </wp:anchor>
        </w:drawing>
        <w:t>Schedule II</w:t>
      </w:r>
    </w:p>
    <w:p>
      <w:pPr>
        <w:spacing w:after="0" w:line="22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TEXTAINER GROUP HOLDINGS LIMITED AND SUBSIDIARIES</w:t>
      </w:r>
    </w:p>
    <w:p>
      <w:pPr>
        <w:spacing w:after="0" w:line="27"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Valuation Accounts</w:t>
      </w:r>
    </w:p>
    <w:p>
      <w:pPr>
        <w:spacing w:after="0" w:line="9"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Years ended December 31, 2020, 2019 and 2018</w:t>
      </w:r>
    </w:p>
    <w:p>
      <w:pPr>
        <w:spacing w:after="0" w:line="9"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(All currency expressed in United States dollars in thousands)</w:t>
      </w:r>
    </w:p>
    <w:p>
      <w:pPr>
        <w:spacing w:after="0" w:line="217"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4780" w:type="dxa"/>
            <w:vAlign w:val="bottom"/>
          </w:tcPr>
          <w:p>
            <w:pPr>
              <w:spacing w:after="0"/>
              <w:rPr>
                <w:sz w:val="14"/>
                <w:szCs w:val="14"/>
                <w:color w:val="auto"/>
              </w:rPr>
            </w:pPr>
          </w:p>
        </w:tc>
        <w:tc>
          <w:tcPr>
            <w:tcW w:w="2220" w:type="dxa"/>
            <w:vAlign w:val="bottom"/>
          </w:tcPr>
          <w:p>
            <w:pPr>
              <w:spacing w:after="0"/>
              <w:rPr>
                <w:sz w:val="14"/>
                <w:szCs w:val="14"/>
                <w:color w:val="auto"/>
              </w:rPr>
            </w:pPr>
          </w:p>
        </w:tc>
        <w:tc>
          <w:tcPr>
            <w:tcW w:w="960" w:type="dxa"/>
            <w:vAlign w:val="bottom"/>
            <w:gridSpan w:val="3"/>
            <w:vMerge w:val="restart"/>
          </w:tcPr>
          <w:p>
            <w:pPr>
              <w:jc w:val="right"/>
              <w:ind w:right="240"/>
              <w:spacing w:after="0"/>
              <w:rPr>
                <w:sz w:val="20"/>
                <w:szCs w:val="20"/>
                <w:color w:val="auto"/>
              </w:rPr>
            </w:pPr>
            <w:r>
              <w:rPr>
                <w:rFonts w:ascii="Arial" w:cs="Arial" w:eastAsia="Arial" w:hAnsi="Arial"/>
                <w:sz w:val="14"/>
                <w:szCs w:val="14"/>
                <w:b w:val="1"/>
                <w:bCs w:val="1"/>
                <w:color w:val="auto"/>
                <w:w w:val="99"/>
              </w:rPr>
              <w:t>Balance at</w:t>
            </w:r>
          </w:p>
        </w:tc>
        <w:tc>
          <w:tcPr>
            <w:tcW w:w="180" w:type="dxa"/>
            <w:vAlign w:val="bottom"/>
          </w:tcPr>
          <w:p>
            <w:pPr>
              <w:spacing w:after="0"/>
              <w:rPr>
                <w:sz w:val="14"/>
                <w:szCs w:val="14"/>
                <w:color w:val="auto"/>
              </w:rPr>
            </w:pPr>
          </w:p>
        </w:tc>
        <w:tc>
          <w:tcPr>
            <w:tcW w:w="1080" w:type="dxa"/>
            <w:vAlign w:val="bottom"/>
            <w:gridSpan w:val="3"/>
          </w:tcPr>
          <w:p>
            <w:pPr>
              <w:ind w:left="40"/>
              <w:spacing w:after="0"/>
              <w:rPr>
                <w:sz w:val="20"/>
                <w:szCs w:val="20"/>
                <w:color w:val="auto"/>
              </w:rPr>
            </w:pPr>
            <w:r>
              <w:rPr>
                <w:rFonts w:ascii="Arial" w:cs="Arial" w:eastAsia="Arial" w:hAnsi="Arial"/>
                <w:sz w:val="14"/>
                <w:szCs w:val="14"/>
                <w:b w:val="1"/>
                <w:bCs w:val="1"/>
                <w:color w:val="auto"/>
              </w:rPr>
              <w:t>Additions</w:t>
            </w:r>
          </w:p>
        </w:tc>
        <w:tc>
          <w:tcPr>
            <w:tcW w:w="16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720" w:type="dxa"/>
            <w:vAlign w:val="bottom"/>
            <w:gridSpan w:val="3"/>
            <w:vMerge w:val="restart"/>
          </w:tcPr>
          <w:p>
            <w:pPr>
              <w:ind w:left="20"/>
              <w:spacing w:after="0"/>
              <w:rPr>
                <w:sz w:val="20"/>
                <w:szCs w:val="20"/>
                <w:color w:val="auto"/>
              </w:rPr>
            </w:pPr>
            <w:r>
              <w:rPr>
                <w:rFonts w:ascii="Arial" w:cs="Arial" w:eastAsia="Arial" w:hAnsi="Arial"/>
                <w:sz w:val="14"/>
                <w:szCs w:val="14"/>
                <w:b w:val="1"/>
                <w:bCs w:val="1"/>
                <w:color w:val="auto"/>
                <w:w w:val="97"/>
              </w:rPr>
              <w:t>Balance at</w:t>
            </w:r>
          </w:p>
        </w:tc>
        <w:tc>
          <w:tcPr>
            <w:tcW w:w="0" w:type="dxa"/>
            <w:vAlign w:val="bottom"/>
          </w:tcPr>
          <w:p>
            <w:pPr>
              <w:spacing w:after="0"/>
              <w:rPr>
                <w:sz w:val="1"/>
                <w:szCs w:val="1"/>
                <w:color w:val="auto"/>
              </w:rPr>
            </w:pPr>
          </w:p>
        </w:tc>
      </w:tr>
      <w:tr>
        <w:trPr>
          <w:trHeight w:val="148"/>
        </w:trPr>
        <w:tc>
          <w:tcPr>
            <w:tcW w:w="4780" w:type="dxa"/>
            <w:vAlign w:val="bottom"/>
          </w:tcPr>
          <w:p>
            <w:pPr>
              <w:spacing w:after="0"/>
              <w:rPr>
                <w:sz w:val="12"/>
                <w:szCs w:val="12"/>
                <w:color w:val="auto"/>
              </w:rPr>
            </w:pPr>
          </w:p>
        </w:tc>
        <w:tc>
          <w:tcPr>
            <w:tcW w:w="2220" w:type="dxa"/>
            <w:vAlign w:val="bottom"/>
          </w:tcPr>
          <w:p>
            <w:pPr>
              <w:spacing w:after="0"/>
              <w:rPr>
                <w:sz w:val="12"/>
                <w:szCs w:val="12"/>
                <w:color w:val="auto"/>
              </w:rPr>
            </w:pPr>
          </w:p>
        </w:tc>
        <w:tc>
          <w:tcPr>
            <w:tcW w:w="960" w:type="dxa"/>
            <w:vAlign w:val="bottom"/>
            <w:gridSpan w:val="3"/>
            <w:vMerge w:val="continue"/>
          </w:tcPr>
          <w:p>
            <w:pPr>
              <w:spacing w:after="0"/>
              <w:rPr>
                <w:sz w:val="12"/>
                <w:szCs w:val="12"/>
                <w:color w:val="auto"/>
              </w:rPr>
            </w:pPr>
          </w:p>
        </w:tc>
        <w:tc>
          <w:tcPr>
            <w:tcW w:w="180" w:type="dxa"/>
            <w:vAlign w:val="bottom"/>
          </w:tcPr>
          <w:p>
            <w:pPr>
              <w:spacing w:after="0"/>
              <w:rPr>
                <w:sz w:val="12"/>
                <w:szCs w:val="12"/>
                <w:color w:val="auto"/>
              </w:rPr>
            </w:pPr>
          </w:p>
        </w:tc>
        <w:tc>
          <w:tcPr>
            <w:tcW w:w="1080" w:type="dxa"/>
            <w:vAlign w:val="bottom"/>
            <w:gridSpan w:val="3"/>
          </w:tcPr>
          <w:p>
            <w:pPr>
              <w:spacing w:after="0" w:line="149" w:lineRule="exact"/>
              <w:rPr>
                <w:sz w:val="20"/>
                <w:szCs w:val="20"/>
                <w:color w:val="auto"/>
              </w:rPr>
            </w:pPr>
            <w:r>
              <w:rPr>
                <w:rFonts w:ascii="Arial" w:cs="Arial" w:eastAsia="Arial" w:hAnsi="Arial"/>
                <w:sz w:val="14"/>
                <w:szCs w:val="14"/>
                <w:b w:val="1"/>
                <w:bCs w:val="1"/>
                <w:color w:val="auto"/>
              </w:rPr>
              <w:t>Charged to</w:t>
            </w:r>
          </w:p>
        </w:tc>
        <w:tc>
          <w:tcPr>
            <w:tcW w:w="1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72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4780" w:type="dxa"/>
            <w:vAlign w:val="bottom"/>
          </w:tcPr>
          <w:p>
            <w:pPr>
              <w:spacing w:after="0"/>
              <w:rPr>
                <w:sz w:val="12"/>
                <w:szCs w:val="12"/>
                <w:color w:val="auto"/>
              </w:rPr>
            </w:pPr>
          </w:p>
        </w:tc>
        <w:tc>
          <w:tcPr>
            <w:tcW w:w="2220" w:type="dxa"/>
            <w:vAlign w:val="bottom"/>
          </w:tcPr>
          <w:p>
            <w:pPr>
              <w:spacing w:after="0"/>
              <w:rPr>
                <w:sz w:val="12"/>
                <w:szCs w:val="12"/>
                <w:color w:val="auto"/>
              </w:rPr>
            </w:pPr>
          </w:p>
        </w:tc>
        <w:tc>
          <w:tcPr>
            <w:tcW w:w="960" w:type="dxa"/>
            <w:vAlign w:val="bottom"/>
            <w:gridSpan w:val="3"/>
          </w:tcPr>
          <w:p>
            <w:pPr>
              <w:spacing w:after="0" w:line="149" w:lineRule="exact"/>
              <w:rPr>
                <w:sz w:val="20"/>
                <w:szCs w:val="20"/>
                <w:color w:val="auto"/>
              </w:rPr>
            </w:pPr>
            <w:r>
              <w:rPr>
                <w:rFonts w:ascii="Arial" w:cs="Arial" w:eastAsia="Arial" w:hAnsi="Arial"/>
                <w:sz w:val="14"/>
                <w:szCs w:val="14"/>
                <w:b w:val="1"/>
                <w:bCs w:val="1"/>
                <w:color w:val="auto"/>
              </w:rPr>
              <w:t>Beginning of</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0" w:type="dxa"/>
            <w:vAlign w:val="bottom"/>
            <w:gridSpan w:val="2"/>
          </w:tcPr>
          <w:p>
            <w:pPr>
              <w:jc w:val="right"/>
              <w:ind w:right="480"/>
              <w:spacing w:after="0" w:line="149" w:lineRule="exact"/>
              <w:rPr>
                <w:sz w:val="20"/>
                <w:szCs w:val="20"/>
                <w:color w:val="auto"/>
              </w:rPr>
            </w:pPr>
            <w:r>
              <w:rPr>
                <w:rFonts w:ascii="Arial" w:cs="Arial" w:eastAsia="Arial" w:hAnsi="Arial"/>
                <w:sz w:val="14"/>
                <w:szCs w:val="14"/>
                <w:b w:val="1"/>
                <w:bCs w:val="1"/>
                <w:color w:val="auto"/>
                <w:w w:val="86"/>
              </w:rPr>
              <w:t>Expense</w:t>
            </w:r>
          </w:p>
        </w:tc>
        <w:tc>
          <w:tcPr>
            <w:tcW w:w="1080" w:type="dxa"/>
            <w:vAlign w:val="bottom"/>
            <w:gridSpan w:val="3"/>
            <w:vMerge w:val="restart"/>
          </w:tcPr>
          <w:p>
            <w:pPr>
              <w:ind w:left="20"/>
              <w:spacing w:after="0"/>
              <w:rPr>
                <w:sz w:val="20"/>
                <w:szCs w:val="20"/>
                <w:color w:val="auto"/>
              </w:rPr>
            </w:pPr>
            <w:r>
              <w:rPr>
                <w:rFonts w:ascii="Arial" w:cs="Arial" w:eastAsia="Arial" w:hAnsi="Arial"/>
                <w:sz w:val="14"/>
                <w:szCs w:val="14"/>
                <w:b w:val="1"/>
                <w:bCs w:val="1"/>
                <w:color w:val="auto"/>
              </w:rPr>
              <w:t>Deductions</w:t>
            </w:r>
          </w:p>
        </w:tc>
        <w:tc>
          <w:tcPr>
            <w:tcW w:w="120" w:type="dxa"/>
            <w:vAlign w:val="bottom"/>
          </w:tcPr>
          <w:p>
            <w:pPr>
              <w:spacing w:after="0"/>
              <w:rPr>
                <w:sz w:val="12"/>
                <w:szCs w:val="12"/>
                <w:color w:val="auto"/>
              </w:rPr>
            </w:pPr>
          </w:p>
        </w:tc>
        <w:tc>
          <w:tcPr>
            <w:tcW w:w="60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96"/>
              </w:rPr>
              <w:t>End of</w:t>
            </w:r>
          </w:p>
        </w:tc>
        <w:tc>
          <w:tcPr>
            <w:tcW w:w="0" w:type="dxa"/>
            <w:vAlign w:val="bottom"/>
          </w:tcPr>
          <w:p>
            <w:pPr>
              <w:spacing w:after="0"/>
              <w:rPr>
                <w:sz w:val="1"/>
                <w:szCs w:val="1"/>
                <w:color w:val="auto"/>
              </w:rPr>
            </w:pPr>
          </w:p>
        </w:tc>
      </w:tr>
      <w:tr>
        <w:trPr>
          <w:trHeight w:val="171"/>
        </w:trPr>
        <w:tc>
          <w:tcPr>
            <w:tcW w:w="4780" w:type="dxa"/>
            <w:vAlign w:val="bottom"/>
          </w:tcPr>
          <w:p>
            <w:pPr>
              <w:spacing w:after="0"/>
              <w:rPr>
                <w:sz w:val="14"/>
                <w:szCs w:val="14"/>
                <w:color w:val="auto"/>
              </w:rPr>
            </w:pPr>
          </w:p>
        </w:tc>
        <w:tc>
          <w:tcPr>
            <w:tcW w:w="22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80" w:type="dxa"/>
            <w:vAlign w:val="bottom"/>
            <w:gridSpan w:val="2"/>
          </w:tcPr>
          <w:p>
            <w:pPr>
              <w:jc w:val="right"/>
              <w:ind w:right="420"/>
              <w:spacing w:after="0"/>
              <w:rPr>
                <w:sz w:val="20"/>
                <w:szCs w:val="20"/>
                <w:color w:val="auto"/>
              </w:rPr>
            </w:pPr>
            <w:r>
              <w:rPr>
                <w:rFonts w:ascii="Arial" w:cs="Arial" w:eastAsia="Arial" w:hAnsi="Arial"/>
                <w:sz w:val="14"/>
                <w:szCs w:val="14"/>
                <w:b w:val="1"/>
                <w:bCs w:val="1"/>
                <w:color w:val="auto"/>
              </w:rPr>
              <w:t>Year</w:t>
            </w:r>
          </w:p>
        </w:tc>
        <w:tc>
          <w:tcPr>
            <w:tcW w:w="180" w:type="dxa"/>
            <w:vAlign w:val="bottom"/>
          </w:tcPr>
          <w:p>
            <w:pPr>
              <w:spacing w:after="0"/>
              <w:rPr>
                <w:sz w:val="14"/>
                <w:szCs w:val="14"/>
                <w:color w:val="auto"/>
              </w:rPr>
            </w:pPr>
          </w:p>
        </w:tc>
        <w:tc>
          <w:tcPr>
            <w:tcW w:w="1080" w:type="dxa"/>
            <w:vAlign w:val="bottom"/>
            <w:gridSpan w:val="3"/>
          </w:tcPr>
          <w:p>
            <w:pPr>
              <w:ind w:left="20"/>
              <w:spacing w:after="0"/>
              <w:rPr>
                <w:sz w:val="20"/>
                <w:szCs w:val="20"/>
                <w:color w:val="auto"/>
              </w:rPr>
            </w:pPr>
            <w:r>
              <w:rPr>
                <w:rFonts w:ascii="Arial" w:cs="Arial" w:eastAsia="Arial" w:hAnsi="Arial"/>
                <w:sz w:val="14"/>
                <w:szCs w:val="14"/>
                <w:b w:val="1"/>
                <w:bCs w:val="1"/>
                <w:color w:val="auto"/>
              </w:rPr>
              <w:t>(Recovery)</w:t>
            </w:r>
          </w:p>
        </w:tc>
        <w:tc>
          <w:tcPr>
            <w:tcW w:w="1080" w:type="dxa"/>
            <w:vAlign w:val="bottom"/>
            <w:gridSpan w:val="3"/>
            <w:vMerge w:val="continue"/>
          </w:tcPr>
          <w:p>
            <w:pPr>
              <w:spacing w:after="0"/>
              <w:rPr>
                <w:sz w:val="14"/>
                <w:szCs w:val="14"/>
                <w:color w:val="auto"/>
              </w:rPr>
            </w:pPr>
          </w:p>
        </w:tc>
        <w:tc>
          <w:tcPr>
            <w:tcW w:w="120" w:type="dxa"/>
            <w:vAlign w:val="bottom"/>
          </w:tcPr>
          <w:p>
            <w:pPr>
              <w:spacing w:after="0"/>
              <w:rPr>
                <w:sz w:val="14"/>
                <w:szCs w:val="14"/>
                <w:color w:val="auto"/>
              </w:rPr>
            </w:pPr>
          </w:p>
        </w:tc>
        <w:tc>
          <w:tcPr>
            <w:tcW w:w="60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92"/>
              </w:rPr>
              <w:t>Year</w:t>
            </w:r>
          </w:p>
        </w:tc>
        <w:tc>
          <w:tcPr>
            <w:tcW w:w="0" w:type="dxa"/>
            <w:vAlign w:val="bottom"/>
          </w:tcPr>
          <w:p>
            <w:pPr>
              <w:spacing w:after="0"/>
              <w:rPr>
                <w:sz w:val="1"/>
                <w:szCs w:val="1"/>
                <w:color w:val="auto"/>
              </w:rPr>
            </w:pPr>
          </w:p>
        </w:tc>
      </w:tr>
      <w:tr>
        <w:trPr>
          <w:trHeight w:val="196"/>
        </w:trPr>
        <w:tc>
          <w:tcPr>
            <w:tcW w:w="478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December 31, 2018</w:t>
            </w:r>
          </w:p>
        </w:tc>
        <w:tc>
          <w:tcPr>
            <w:tcW w:w="222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auto"/>
            </w:tcBorders>
            <w:shd w:val="clear" w:color="auto" w:fill="CCEEFF"/>
          </w:tcPr>
          <w:p>
            <w:pPr>
              <w:spacing w:after="0"/>
              <w:rPr>
                <w:sz w:val="17"/>
                <w:szCs w:val="17"/>
                <w:color w:val="auto"/>
              </w:rPr>
            </w:pPr>
          </w:p>
        </w:tc>
        <w:tc>
          <w:tcPr>
            <w:tcW w:w="600" w:type="dxa"/>
            <w:vAlign w:val="bottom"/>
            <w:tcBorders>
              <w:top w:val="single" w:sz="8" w:color="auto"/>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620" w:type="dxa"/>
            <w:vAlign w:val="bottom"/>
            <w:tcBorders>
              <w:top w:val="single" w:sz="8" w:color="auto"/>
            </w:tcBorders>
            <w:shd w:val="clear" w:color="auto" w:fill="CCEEFF"/>
          </w:tcPr>
          <w:p>
            <w:pPr>
              <w:spacing w:after="0"/>
              <w:rPr>
                <w:sz w:val="17"/>
                <w:szCs w:val="17"/>
                <w:color w:val="auto"/>
              </w:rPr>
            </w:pPr>
          </w:p>
        </w:tc>
        <w:tc>
          <w:tcPr>
            <w:tcW w:w="38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540" w:type="dxa"/>
            <w:vAlign w:val="bottom"/>
            <w:tcBorders>
              <w:top w:val="single" w:sz="8" w:color="auto"/>
            </w:tcBorders>
            <w:shd w:val="clear" w:color="auto" w:fill="CCEEFF"/>
          </w:tcPr>
          <w:p>
            <w:pPr>
              <w:spacing w:after="0"/>
              <w:rPr>
                <w:sz w:val="17"/>
                <w:szCs w:val="17"/>
                <w:color w:val="auto"/>
              </w:rPr>
            </w:pPr>
          </w:p>
        </w:tc>
        <w:tc>
          <w:tcPr>
            <w:tcW w:w="38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540" w:type="dxa"/>
            <w:vAlign w:val="bottom"/>
            <w:tcBorders>
              <w:top w:val="single" w:sz="8" w:color="auto"/>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4780" w:type="dxa"/>
            <w:vAlign w:val="bottom"/>
          </w:tcPr>
          <w:p>
            <w:pPr>
              <w:ind w:left="360"/>
              <w:spacing w:after="0"/>
              <w:rPr>
                <w:sz w:val="20"/>
                <w:szCs w:val="20"/>
                <w:color w:val="auto"/>
              </w:rPr>
            </w:pPr>
            <w:r>
              <w:rPr>
                <w:rFonts w:ascii="Arial" w:cs="Arial" w:eastAsia="Arial" w:hAnsi="Arial"/>
                <w:sz w:val="18"/>
                <w:szCs w:val="18"/>
                <w:color w:val="auto"/>
              </w:rPr>
              <w:t>Accounts receivable, allowance for doubtful accounts</w:t>
            </w:r>
          </w:p>
        </w:tc>
        <w:tc>
          <w:tcPr>
            <w:tcW w:w="2400" w:type="dxa"/>
            <w:vAlign w:val="bottom"/>
            <w:gridSpan w:val="2"/>
          </w:tcPr>
          <w:p>
            <w:pPr>
              <w:ind w:left="2220"/>
              <w:spacing w:after="0"/>
              <w:rPr>
                <w:sz w:val="20"/>
                <w:szCs w:val="20"/>
                <w:color w:val="auto"/>
              </w:rPr>
            </w:pPr>
            <w:r>
              <w:rPr>
                <w:rFonts w:ascii="Arial" w:cs="Arial" w:eastAsia="Arial" w:hAnsi="Arial"/>
                <w:sz w:val="18"/>
                <w:szCs w:val="18"/>
                <w:color w:val="auto"/>
              </w:rPr>
              <w:t>$</w:t>
            </w:r>
          </w:p>
        </w:tc>
        <w:tc>
          <w:tcPr>
            <w:tcW w:w="780" w:type="dxa"/>
            <w:vAlign w:val="bottom"/>
            <w:gridSpan w:val="2"/>
          </w:tcPr>
          <w:p>
            <w:pPr>
              <w:jc w:val="right"/>
              <w:ind w:right="180"/>
              <w:spacing w:after="0"/>
              <w:rPr>
                <w:sz w:val="20"/>
                <w:szCs w:val="20"/>
                <w:color w:val="auto"/>
              </w:rPr>
            </w:pPr>
            <w:r>
              <w:rPr>
                <w:rFonts w:ascii="Arial" w:cs="Arial" w:eastAsia="Arial" w:hAnsi="Arial"/>
                <w:sz w:val="18"/>
                <w:szCs w:val="18"/>
                <w:color w:val="auto"/>
              </w:rPr>
              <w:t>7,632</w:t>
            </w:r>
          </w:p>
        </w:tc>
        <w:tc>
          <w:tcPr>
            <w:tcW w:w="260" w:type="dxa"/>
            <w:vAlign w:val="bottom"/>
            <w:gridSpan w:val="2"/>
          </w:tcPr>
          <w:p>
            <w:pPr>
              <w:ind w:left="180"/>
              <w:spacing w:after="0"/>
              <w:rPr>
                <w:sz w:val="20"/>
                <w:szCs w:val="20"/>
                <w:color w:val="auto"/>
              </w:rPr>
            </w:pPr>
            <w:r>
              <w:rPr>
                <w:rFonts w:ascii="Arial" w:cs="Arial" w:eastAsia="Arial" w:hAnsi="Arial"/>
                <w:sz w:val="15"/>
                <w:szCs w:val="15"/>
                <w:color w:val="auto"/>
                <w:w w:val="71"/>
              </w:rPr>
              <w:t>$</w:t>
            </w:r>
          </w:p>
        </w:tc>
        <w:tc>
          <w:tcPr>
            <w:tcW w:w="1000" w:type="dxa"/>
            <w:vAlign w:val="bottom"/>
            <w:gridSpan w:val="2"/>
          </w:tcPr>
          <w:p>
            <w:pPr>
              <w:jc w:val="right"/>
              <w:ind w:right="380"/>
              <w:spacing w:after="0"/>
              <w:rPr>
                <w:sz w:val="20"/>
                <w:szCs w:val="20"/>
                <w:color w:val="auto"/>
              </w:rPr>
            </w:pPr>
            <w:r>
              <w:rPr>
                <w:rFonts w:ascii="Arial" w:cs="Arial" w:eastAsia="Arial" w:hAnsi="Arial"/>
                <w:sz w:val="18"/>
                <w:szCs w:val="18"/>
                <w:color w:val="auto"/>
              </w:rPr>
              <w:t>3,574</w:t>
            </w:r>
          </w:p>
        </w:tc>
        <w:tc>
          <w:tcPr>
            <w:tcW w:w="160" w:type="dxa"/>
            <w:vAlign w:val="bottom"/>
          </w:tcPr>
          <w:p>
            <w:pPr>
              <w:ind w:left="20"/>
              <w:spacing w:after="0"/>
              <w:rPr>
                <w:sz w:val="20"/>
                <w:szCs w:val="20"/>
                <w:color w:val="auto"/>
              </w:rPr>
            </w:pPr>
            <w:r>
              <w:rPr>
                <w:rFonts w:ascii="Arial" w:cs="Arial" w:eastAsia="Arial" w:hAnsi="Arial"/>
                <w:sz w:val="18"/>
                <w:szCs w:val="18"/>
                <w:color w:val="auto"/>
              </w:rPr>
              <w:t>$</w:t>
            </w:r>
          </w:p>
        </w:tc>
        <w:tc>
          <w:tcPr>
            <w:tcW w:w="920" w:type="dxa"/>
            <w:vAlign w:val="bottom"/>
            <w:gridSpan w:val="2"/>
          </w:tcPr>
          <w:p>
            <w:pPr>
              <w:jc w:val="right"/>
              <w:ind w:right="320"/>
              <w:spacing w:after="0"/>
              <w:rPr>
                <w:sz w:val="20"/>
                <w:szCs w:val="20"/>
                <w:color w:val="auto"/>
              </w:rPr>
            </w:pPr>
            <w:r>
              <w:rPr>
                <w:rFonts w:ascii="Arial" w:cs="Arial" w:eastAsia="Arial" w:hAnsi="Arial"/>
                <w:sz w:val="18"/>
                <w:szCs w:val="18"/>
                <w:color w:val="auto"/>
              </w:rPr>
              <w:t>(5,477)</w:t>
            </w:r>
          </w:p>
        </w:tc>
        <w:tc>
          <w:tcPr>
            <w:tcW w:w="120" w:type="dxa"/>
            <w:vAlign w:val="bottom"/>
          </w:tcPr>
          <w:p>
            <w:pPr>
              <w:ind w:left="20"/>
              <w:spacing w:after="0"/>
              <w:rPr>
                <w:sz w:val="20"/>
                <w:szCs w:val="20"/>
                <w:color w:val="auto"/>
              </w:rPr>
            </w:pPr>
            <w:r>
              <w:rPr>
                <w:rFonts w:ascii="Arial" w:cs="Arial" w:eastAsia="Arial" w:hAnsi="Arial"/>
                <w:sz w:val="18"/>
                <w:szCs w:val="18"/>
                <w:color w:val="auto"/>
                <w:w w:val="79"/>
              </w:rPr>
              <w:t>$</w:t>
            </w:r>
          </w:p>
        </w:tc>
        <w:tc>
          <w:tcPr>
            <w:tcW w:w="600" w:type="dxa"/>
            <w:vAlign w:val="bottom"/>
            <w:gridSpan w:val="2"/>
          </w:tcPr>
          <w:p>
            <w:pPr>
              <w:jc w:val="right"/>
              <w:ind w:right="60"/>
              <w:spacing w:after="0"/>
              <w:rPr>
                <w:sz w:val="20"/>
                <w:szCs w:val="20"/>
                <w:color w:val="auto"/>
              </w:rPr>
            </w:pPr>
            <w:r>
              <w:rPr>
                <w:rFonts w:ascii="Arial" w:cs="Arial" w:eastAsia="Arial" w:hAnsi="Arial"/>
                <w:sz w:val="18"/>
                <w:szCs w:val="18"/>
                <w:color w:val="auto"/>
              </w:rPr>
              <w:t>5,729</w:t>
            </w:r>
          </w:p>
        </w:tc>
        <w:tc>
          <w:tcPr>
            <w:tcW w:w="0" w:type="dxa"/>
            <w:vAlign w:val="bottom"/>
          </w:tcPr>
          <w:p>
            <w:pPr>
              <w:spacing w:after="0"/>
              <w:rPr>
                <w:sz w:val="1"/>
                <w:szCs w:val="1"/>
                <w:color w:val="auto"/>
              </w:rPr>
            </w:pPr>
          </w:p>
        </w:tc>
      </w:tr>
      <w:tr>
        <w:trPr>
          <w:trHeight w:val="216"/>
        </w:trPr>
        <w:tc>
          <w:tcPr>
            <w:tcW w:w="47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December 31, 2019</w:t>
            </w:r>
          </w:p>
        </w:tc>
        <w:tc>
          <w:tcPr>
            <w:tcW w:w="22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780" w:type="dxa"/>
            <w:vAlign w:val="bottom"/>
          </w:tcPr>
          <w:p>
            <w:pPr>
              <w:ind w:left="360"/>
              <w:spacing w:after="0"/>
              <w:rPr>
                <w:sz w:val="20"/>
                <w:szCs w:val="20"/>
                <w:color w:val="auto"/>
              </w:rPr>
            </w:pPr>
            <w:r>
              <w:rPr>
                <w:rFonts w:ascii="Arial" w:cs="Arial" w:eastAsia="Arial" w:hAnsi="Arial"/>
                <w:sz w:val="18"/>
                <w:szCs w:val="18"/>
                <w:color w:val="auto"/>
              </w:rPr>
              <w:t>Accounts receivable, allowance for doubtful accounts</w:t>
            </w:r>
          </w:p>
        </w:tc>
        <w:tc>
          <w:tcPr>
            <w:tcW w:w="2400" w:type="dxa"/>
            <w:vAlign w:val="bottom"/>
            <w:gridSpan w:val="2"/>
          </w:tcPr>
          <w:p>
            <w:pPr>
              <w:ind w:left="2220"/>
              <w:spacing w:after="0"/>
              <w:rPr>
                <w:sz w:val="20"/>
                <w:szCs w:val="20"/>
                <w:color w:val="auto"/>
              </w:rPr>
            </w:pPr>
            <w:r>
              <w:rPr>
                <w:rFonts w:ascii="Arial" w:cs="Arial" w:eastAsia="Arial" w:hAnsi="Arial"/>
                <w:sz w:val="18"/>
                <w:szCs w:val="18"/>
                <w:color w:val="auto"/>
              </w:rPr>
              <w:t>$</w:t>
            </w:r>
          </w:p>
        </w:tc>
        <w:tc>
          <w:tcPr>
            <w:tcW w:w="780" w:type="dxa"/>
            <w:vAlign w:val="bottom"/>
            <w:gridSpan w:val="2"/>
          </w:tcPr>
          <w:p>
            <w:pPr>
              <w:jc w:val="right"/>
              <w:ind w:right="180"/>
              <w:spacing w:after="0"/>
              <w:rPr>
                <w:sz w:val="20"/>
                <w:szCs w:val="20"/>
                <w:color w:val="auto"/>
              </w:rPr>
            </w:pPr>
            <w:r>
              <w:rPr>
                <w:rFonts w:ascii="Arial" w:cs="Arial" w:eastAsia="Arial" w:hAnsi="Arial"/>
                <w:sz w:val="18"/>
                <w:szCs w:val="18"/>
                <w:color w:val="auto"/>
              </w:rPr>
              <w:t>5,729</w:t>
            </w:r>
          </w:p>
        </w:tc>
        <w:tc>
          <w:tcPr>
            <w:tcW w:w="260" w:type="dxa"/>
            <w:vAlign w:val="bottom"/>
            <w:gridSpan w:val="2"/>
          </w:tcPr>
          <w:p>
            <w:pPr>
              <w:ind w:left="180"/>
              <w:spacing w:after="0"/>
              <w:rPr>
                <w:sz w:val="20"/>
                <w:szCs w:val="20"/>
                <w:color w:val="auto"/>
              </w:rPr>
            </w:pPr>
            <w:r>
              <w:rPr>
                <w:rFonts w:ascii="Arial" w:cs="Arial" w:eastAsia="Arial" w:hAnsi="Arial"/>
                <w:sz w:val="15"/>
                <w:szCs w:val="15"/>
                <w:color w:val="auto"/>
                <w:w w:val="71"/>
              </w:rPr>
              <w:t>$</w:t>
            </w:r>
          </w:p>
        </w:tc>
        <w:tc>
          <w:tcPr>
            <w:tcW w:w="1000" w:type="dxa"/>
            <w:vAlign w:val="bottom"/>
            <w:gridSpan w:val="2"/>
          </w:tcPr>
          <w:p>
            <w:pPr>
              <w:jc w:val="right"/>
              <w:ind w:right="380"/>
              <w:spacing w:after="0"/>
              <w:rPr>
                <w:sz w:val="20"/>
                <w:szCs w:val="20"/>
                <w:color w:val="auto"/>
              </w:rPr>
            </w:pPr>
            <w:r>
              <w:rPr>
                <w:rFonts w:ascii="Arial" w:cs="Arial" w:eastAsia="Arial" w:hAnsi="Arial"/>
                <w:sz w:val="18"/>
                <w:szCs w:val="18"/>
                <w:color w:val="auto"/>
              </w:rPr>
              <w:t>2,096</w:t>
            </w:r>
          </w:p>
        </w:tc>
        <w:tc>
          <w:tcPr>
            <w:tcW w:w="160" w:type="dxa"/>
            <w:vAlign w:val="bottom"/>
          </w:tcPr>
          <w:p>
            <w:pPr>
              <w:ind w:left="20"/>
              <w:spacing w:after="0"/>
              <w:rPr>
                <w:sz w:val="20"/>
                <w:szCs w:val="20"/>
                <w:color w:val="auto"/>
              </w:rPr>
            </w:pPr>
            <w:r>
              <w:rPr>
                <w:rFonts w:ascii="Arial" w:cs="Arial" w:eastAsia="Arial" w:hAnsi="Arial"/>
                <w:sz w:val="18"/>
                <w:szCs w:val="18"/>
                <w:color w:val="auto"/>
              </w:rPr>
              <w:t>$</w:t>
            </w:r>
          </w:p>
        </w:tc>
        <w:tc>
          <w:tcPr>
            <w:tcW w:w="920" w:type="dxa"/>
            <w:vAlign w:val="bottom"/>
            <w:gridSpan w:val="2"/>
          </w:tcPr>
          <w:p>
            <w:pPr>
              <w:jc w:val="right"/>
              <w:ind w:right="320"/>
              <w:spacing w:after="0"/>
              <w:rPr>
                <w:sz w:val="20"/>
                <w:szCs w:val="20"/>
                <w:color w:val="auto"/>
              </w:rPr>
            </w:pPr>
            <w:r>
              <w:rPr>
                <w:rFonts w:ascii="Arial" w:cs="Arial" w:eastAsia="Arial" w:hAnsi="Arial"/>
                <w:sz w:val="18"/>
                <w:szCs w:val="18"/>
                <w:color w:val="auto"/>
              </w:rPr>
              <w:t>(1,526)</w:t>
            </w:r>
          </w:p>
        </w:tc>
        <w:tc>
          <w:tcPr>
            <w:tcW w:w="120" w:type="dxa"/>
            <w:vAlign w:val="bottom"/>
          </w:tcPr>
          <w:p>
            <w:pPr>
              <w:ind w:left="20"/>
              <w:spacing w:after="0"/>
              <w:rPr>
                <w:sz w:val="20"/>
                <w:szCs w:val="20"/>
                <w:color w:val="auto"/>
              </w:rPr>
            </w:pPr>
            <w:r>
              <w:rPr>
                <w:rFonts w:ascii="Arial" w:cs="Arial" w:eastAsia="Arial" w:hAnsi="Arial"/>
                <w:sz w:val="18"/>
                <w:szCs w:val="18"/>
                <w:color w:val="auto"/>
                <w:w w:val="79"/>
              </w:rPr>
              <w:t>$</w:t>
            </w:r>
          </w:p>
        </w:tc>
        <w:tc>
          <w:tcPr>
            <w:tcW w:w="600" w:type="dxa"/>
            <w:vAlign w:val="bottom"/>
            <w:gridSpan w:val="2"/>
          </w:tcPr>
          <w:p>
            <w:pPr>
              <w:jc w:val="right"/>
              <w:ind w:right="60"/>
              <w:spacing w:after="0"/>
              <w:rPr>
                <w:sz w:val="20"/>
                <w:szCs w:val="20"/>
                <w:color w:val="auto"/>
              </w:rPr>
            </w:pPr>
            <w:r>
              <w:rPr>
                <w:rFonts w:ascii="Arial" w:cs="Arial" w:eastAsia="Arial" w:hAnsi="Arial"/>
                <w:sz w:val="18"/>
                <w:szCs w:val="18"/>
                <w:color w:val="auto"/>
              </w:rPr>
              <w:t>6,299</w:t>
            </w:r>
          </w:p>
        </w:tc>
        <w:tc>
          <w:tcPr>
            <w:tcW w:w="0" w:type="dxa"/>
            <w:vAlign w:val="bottom"/>
          </w:tcPr>
          <w:p>
            <w:pPr>
              <w:spacing w:after="0"/>
              <w:rPr>
                <w:sz w:val="1"/>
                <w:szCs w:val="1"/>
                <w:color w:val="auto"/>
              </w:rPr>
            </w:pPr>
          </w:p>
        </w:tc>
      </w:tr>
      <w:tr>
        <w:trPr>
          <w:trHeight w:val="216"/>
        </w:trPr>
        <w:tc>
          <w:tcPr>
            <w:tcW w:w="47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December 31, 2020</w:t>
            </w:r>
          </w:p>
        </w:tc>
        <w:tc>
          <w:tcPr>
            <w:tcW w:w="22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4780" w:type="dxa"/>
            <w:vAlign w:val="bottom"/>
          </w:tcPr>
          <w:p>
            <w:pPr>
              <w:ind w:left="360"/>
              <w:spacing w:after="0"/>
              <w:rPr>
                <w:sz w:val="20"/>
                <w:szCs w:val="20"/>
                <w:color w:val="auto"/>
              </w:rPr>
            </w:pPr>
            <w:r>
              <w:rPr>
                <w:rFonts w:ascii="Arial" w:cs="Arial" w:eastAsia="Arial" w:hAnsi="Arial"/>
                <w:sz w:val="18"/>
                <w:szCs w:val="18"/>
                <w:color w:val="auto"/>
              </w:rPr>
              <w:t>Accounts receivable, allowance for doubtful accounts</w:t>
            </w:r>
          </w:p>
        </w:tc>
        <w:tc>
          <w:tcPr>
            <w:tcW w:w="2400" w:type="dxa"/>
            <w:vAlign w:val="bottom"/>
            <w:gridSpan w:val="2"/>
          </w:tcPr>
          <w:p>
            <w:pPr>
              <w:ind w:left="2220"/>
              <w:spacing w:after="0"/>
              <w:rPr>
                <w:sz w:val="20"/>
                <w:szCs w:val="20"/>
                <w:color w:val="auto"/>
              </w:rPr>
            </w:pPr>
            <w:r>
              <w:rPr>
                <w:rFonts w:ascii="Arial" w:cs="Arial" w:eastAsia="Arial" w:hAnsi="Arial"/>
                <w:sz w:val="18"/>
                <w:szCs w:val="18"/>
                <w:color w:val="auto"/>
              </w:rPr>
              <w:t>$</w:t>
            </w:r>
          </w:p>
        </w:tc>
        <w:tc>
          <w:tcPr>
            <w:tcW w:w="780" w:type="dxa"/>
            <w:vAlign w:val="bottom"/>
            <w:gridSpan w:val="2"/>
          </w:tcPr>
          <w:p>
            <w:pPr>
              <w:jc w:val="right"/>
              <w:ind w:right="180"/>
              <w:spacing w:after="0"/>
              <w:rPr>
                <w:sz w:val="20"/>
                <w:szCs w:val="20"/>
                <w:color w:val="auto"/>
              </w:rPr>
            </w:pPr>
            <w:r>
              <w:rPr>
                <w:rFonts w:ascii="Arial" w:cs="Arial" w:eastAsia="Arial" w:hAnsi="Arial"/>
                <w:sz w:val="18"/>
                <w:szCs w:val="18"/>
                <w:color w:val="auto"/>
              </w:rPr>
              <w:t>6,299</w:t>
            </w:r>
          </w:p>
        </w:tc>
        <w:tc>
          <w:tcPr>
            <w:tcW w:w="260" w:type="dxa"/>
            <w:vAlign w:val="bottom"/>
            <w:gridSpan w:val="2"/>
          </w:tcPr>
          <w:p>
            <w:pPr>
              <w:ind w:left="180"/>
              <w:spacing w:after="0"/>
              <w:rPr>
                <w:sz w:val="20"/>
                <w:szCs w:val="20"/>
                <w:color w:val="auto"/>
              </w:rPr>
            </w:pPr>
            <w:r>
              <w:rPr>
                <w:rFonts w:ascii="Arial" w:cs="Arial" w:eastAsia="Arial" w:hAnsi="Arial"/>
                <w:sz w:val="15"/>
                <w:szCs w:val="15"/>
                <w:color w:val="auto"/>
                <w:w w:val="71"/>
              </w:rPr>
              <w:t>$</w:t>
            </w:r>
          </w:p>
        </w:tc>
        <w:tc>
          <w:tcPr>
            <w:tcW w:w="1000" w:type="dxa"/>
            <w:vAlign w:val="bottom"/>
            <w:gridSpan w:val="2"/>
          </w:tcPr>
          <w:p>
            <w:pPr>
              <w:jc w:val="right"/>
              <w:ind w:right="320"/>
              <w:spacing w:after="0"/>
              <w:rPr>
                <w:sz w:val="20"/>
                <w:szCs w:val="20"/>
                <w:color w:val="auto"/>
              </w:rPr>
            </w:pPr>
            <w:r>
              <w:rPr>
                <w:rFonts w:ascii="Arial" w:cs="Arial" w:eastAsia="Arial" w:hAnsi="Arial"/>
                <w:sz w:val="18"/>
                <w:szCs w:val="18"/>
                <w:color w:val="auto"/>
              </w:rPr>
              <w:t>(3,149)</w:t>
            </w:r>
          </w:p>
        </w:tc>
        <w:tc>
          <w:tcPr>
            <w:tcW w:w="160" w:type="dxa"/>
            <w:vAlign w:val="bottom"/>
          </w:tcPr>
          <w:p>
            <w:pPr>
              <w:ind w:left="20"/>
              <w:spacing w:after="0"/>
              <w:rPr>
                <w:sz w:val="20"/>
                <w:szCs w:val="20"/>
                <w:color w:val="auto"/>
              </w:rPr>
            </w:pPr>
            <w:r>
              <w:rPr>
                <w:rFonts w:ascii="Arial" w:cs="Arial" w:eastAsia="Arial" w:hAnsi="Arial"/>
                <w:sz w:val="18"/>
                <w:szCs w:val="18"/>
                <w:color w:val="auto"/>
              </w:rPr>
              <w:t>$</w:t>
            </w:r>
          </w:p>
        </w:tc>
        <w:tc>
          <w:tcPr>
            <w:tcW w:w="920" w:type="dxa"/>
            <w:vAlign w:val="bottom"/>
            <w:gridSpan w:val="2"/>
          </w:tcPr>
          <w:p>
            <w:pPr>
              <w:jc w:val="right"/>
              <w:ind w:right="320"/>
              <w:spacing w:after="0"/>
              <w:rPr>
                <w:sz w:val="20"/>
                <w:szCs w:val="20"/>
                <w:color w:val="auto"/>
              </w:rPr>
            </w:pPr>
            <w:r>
              <w:rPr>
                <w:rFonts w:ascii="Arial" w:cs="Arial" w:eastAsia="Arial" w:hAnsi="Arial"/>
                <w:sz w:val="18"/>
                <w:szCs w:val="18"/>
                <w:color w:val="auto"/>
              </w:rPr>
              <w:t>(487)</w:t>
            </w:r>
          </w:p>
        </w:tc>
        <w:tc>
          <w:tcPr>
            <w:tcW w:w="120" w:type="dxa"/>
            <w:vAlign w:val="bottom"/>
          </w:tcPr>
          <w:p>
            <w:pPr>
              <w:ind w:left="20"/>
              <w:spacing w:after="0"/>
              <w:rPr>
                <w:sz w:val="20"/>
                <w:szCs w:val="20"/>
                <w:color w:val="auto"/>
              </w:rPr>
            </w:pPr>
            <w:r>
              <w:rPr>
                <w:rFonts w:ascii="Arial" w:cs="Arial" w:eastAsia="Arial" w:hAnsi="Arial"/>
                <w:sz w:val="18"/>
                <w:szCs w:val="18"/>
                <w:color w:val="auto"/>
                <w:w w:val="79"/>
              </w:rPr>
              <w:t>$</w:t>
            </w:r>
          </w:p>
        </w:tc>
        <w:tc>
          <w:tcPr>
            <w:tcW w:w="600" w:type="dxa"/>
            <w:vAlign w:val="bottom"/>
            <w:gridSpan w:val="2"/>
          </w:tcPr>
          <w:p>
            <w:pPr>
              <w:jc w:val="right"/>
              <w:ind w:right="60"/>
              <w:spacing w:after="0"/>
              <w:rPr>
                <w:sz w:val="20"/>
                <w:szCs w:val="20"/>
                <w:color w:val="auto"/>
              </w:rPr>
            </w:pPr>
            <w:r>
              <w:rPr>
                <w:rFonts w:ascii="Arial" w:cs="Arial" w:eastAsia="Arial" w:hAnsi="Arial"/>
                <w:sz w:val="18"/>
                <w:szCs w:val="18"/>
                <w:color w:val="auto"/>
              </w:rPr>
              <w:t>2,663</w:t>
            </w:r>
          </w:p>
        </w:tc>
        <w:tc>
          <w:tcPr>
            <w:tcW w:w="0" w:type="dxa"/>
            <w:vAlign w:val="bottom"/>
          </w:tcPr>
          <w:p>
            <w:pPr>
              <w:spacing w:after="0"/>
              <w:rPr>
                <w:sz w:val="1"/>
                <w:szCs w:val="1"/>
                <w:color w:val="auto"/>
              </w:rPr>
            </w:pPr>
          </w:p>
        </w:tc>
      </w:tr>
      <w:tr>
        <w:trPr>
          <w:trHeight w:val="350"/>
        </w:trPr>
        <w:tc>
          <w:tcPr>
            <w:tcW w:w="4780" w:type="dxa"/>
            <w:vAlign w:val="bottom"/>
          </w:tcPr>
          <w:p>
            <w:pPr>
              <w:spacing w:after="0"/>
              <w:rPr>
                <w:sz w:val="24"/>
                <w:szCs w:val="24"/>
                <w:color w:val="auto"/>
              </w:rPr>
            </w:pPr>
          </w:p>
        </w:tc>
        <w:tc>
          <w:tcPr>
            <w:tcW w:w="2400" w:type="dxa"/>
            <w:vAlign w:val="bottom"/>
            <w:gridSpan w:val="2"/>
          </w:tcPr>
          <w:p>
            <w:pPr>
              <w:ind w:left="560"/>
              <w:spacing w:after="0"/>
              <w:rPr>
                <w:sz w:val="20"/>
                <w:szCs w:val="20"/>
                <w:color w:val="auto"/>
              </w:rPr>
            </w:pPr>
            <w:r>
              <w:rPr>
                <w:rFonts w:ascii="Arial" w:cs="Arial" w:eastAsia="Arial" w:hAnsi="Arial"/>
                <w:sz w:val="18"/>
                <w:szCs w:val="18"/>
                <w:color w:val="auto"/>
              </w:rPr>
              <w:t>F-53</w:t>
            </w:r>
          </w:p>
        </w:tc>
        <w:tc>
          <w:tcPr>
            <w:tcW w:w="6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020"/>
          </w:cols>
          <w:pgMar w:left="440" w:top="270" w:right="439" w:bottom="1440" w:gutter="0" w:footer="0" w:header="0"/>
        </w:sectPr>
      </w:pPr>
    </w:p>
    <w:bookmarkStart w:id="167" w:name="page168"/>
    <w:bookmarkEnd w:id="167"/>
    <w:p>
      <w:pPr>
        <w:spacing w:after="0"/>
        <w:tabs>
          <w:tab w:leader="none" w:pos="1060" w:val="left"/>
        </w:tabs>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7174865" cy="38735"/>
                    </a:xfrm>
                    <a:prstGeom prst="rect">
                      <a:avLst/>
                    </a:prstGeom>
                    <a:noFill/>
                  </pic:spPr>
                </pic:pic>
              </a:graphicData>
            </a:graphic>
          </wp:anchor>
        </w:drawing>
        <w:t>ITEM 19.</w:t>
      </w:r>
      <w:r>
        <w:rPr>
          <w:sz w:val="20"/>
          <w:szCs w:val="20"/>
          <w:color w:val="auto"/>
        </w:rPr>
        <w:tab/>
      </w:r>
      <w:r>
        <w:rPr>
          <w:rFonts w:ascii="Arial" w:cs="Arial" w:eastAsia="Arial" w:hAnsi="Arial"/>
          <w:sz w:val="18"/>
          <w:szCs w:val="18"/>
          <w:b w:val="1"/>
          <w:bCs w:val="1"/>
          <w:color w:val="auto"/>
        </w:rPr>
        <w:t>EXHIBITS</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following exhibits are filed as part of this Annual Report on Form 20-F:</w:t>
      </w:r>
    </w:p>
    <w:p>
      <w:pPr>
        <w:spacing w:after="0" w:line="23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88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94"/>
              </w:rPr>
              <w:t>Exhibit</w:t>
            </w:r>
          </w:p>
        </w:tc>
        <w:tc>
          <w:tcPr>
            <w:tcW w:w="10140" w:type="dxa"/>
            <w:vAlign w:val="bottom"/>
            <w:vMerge w:val="restart"/>
          </w:tcPr>
          <w:p>
            <w:pPr>
              <w:ind w:left="4300"/>
              <w:spacing w:after="0"/>
              <w:rPr>
                <w:sz w:val="20"/>
                <w:szCs w:val="20"/>
                <w:color w:val="auto"/>
              </w:rPr>
            </w:pPr>
            <w:r>
              <w:rPr>
                <w:rFonts w:ascii="Arial" w:cs="Arial" w:eastAsia="Arial" w:hAnsi="Arial"/>
                <w:sz w:val="14"/>
                <w:szCs w:val="14"/>
                <w:b w:val="1"/>
                <w:bCs w:val="1"/>
                <w:color w:val="auto"/>
              </w:rPr>
              <w:t>Description of Document</w:t>
            </w:r>
          </w:p>
        </w:tc>
        <w:tc>
          <w:tcPr>
            <w:tcW w:w="0" w:type="dxa"/>
            <w:vAlign w:val="bottom"/>
          </w:tcPr>
          <w:p>
            <w:pPr>
              <w:spacing w:after="0"/>
              <w:rPr>
                <w:sz w:val="1"/>
                <w:szCs w:val="1"/>
                <w:color w:val="auto"/>
              </w:rPr>
            </w:pPr>
          </w:p>
        </w:tc>
      </w:tr>
      <w:tr>
        <w:trPr>
          <w:trHeight w:val="171"/>
        </w:trPr>
        <w:tc>
          <w:tcPr>
            <w:tcW w:w="88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98"/>
              </w:rPr>
              <w:t>Number</w:t>
            </w:r>
          </w:p>
        </w:tc>
        <w:tc>
          <w:tcPr>
            <w:tcW w:w="1014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560" w:type="dxa"/>
            <w:vAlign w:val="bottom"/>
            <w:tcBorders>
              <w:top w:val="single" w:sz="8" w:color="auto"/>
            </w:tcBorders>
          </w:tcPr>
          <w:p>
            <w:pPr>
              <w:ind w:left="180"/>
              <w:spacing w:after="0"/>
              <w:rPr>
                <w:sz w:val="20"/>
                <w:szCs w:val="20"/>
                <w:color w:val="auto"/>
              </w:rPr>
            </w:pPr>
            <w:r>
              <w:rPr>
                <w:rFonts w:ascii="Arial" w:cs="Arial" w:eastAsia="Arial" w:hAnsi="Arial"/>
                <w:sz w:val="18"/>
                <w:szCs w:val="18"/>
                <w:color w:val="auto"/>
              </w:rPr>
              <w:t>1.1</w:t>
            </w:r>
          </w:p>
        </w:tc>
        <w:tc>
          <w:tcPr>
            <w:tcW w:w="320" w:type="dxa"/>
            <w:vAlign w:val="bottom"/>
          </w:tcPr>
          <w:p>
            <w:pPr>
              <w:spacing w:after="0"/>
              <w:rPr>
                <w:sz w:val="24"/>
                <w:szCs w:val="24"/>
                <w:color w:val="auto"/>
              </w:rPr>
            </w:pPr>
          </w:p>
        </w:tc>
        <w:tc>
          <w:tcPr>
            <w:tcW w:w="10140" w:type="dxa"/>
            <w:vAlign w:val="bottom"/>
            <w:tcBorders>
              <w:top w:val="single" w:sz="8" w:color="auto"/>
            </w:tcBorders>
          </w:tcPr>
          <w:p>
            <w:pPr>
              <w:spacing w:after="0"/>
              <w:rPr>
                <w:sz w:val="20"/>
                <w:szCs w:val="20"/>
                <w:color w:val="auto"/>
              </w:rPr>
            </w:pPr>
            <w:r>
              <w:rPr>
                <w:rFonts w:ascii="Arial" w:cs="Arial" w:eastAsia="Arial" w:hAnsi="Arial"/>
                <w:sz w:val="18"/>
                <w:szCs w:val="18"/>
                <w:color w:val="auto"/>
              </w:rPr>
              <w:t>Memorandum of Association of Textainer Group Holdings Limited (1)</w:t>
            </w:r>
          </w:p>
        </w:tc>
        <w:tc>
          <w:tcPr>
            <w:tcW w:w="0" w:type="dxa"/>
            <w:vAlign w:val="bottom"/>
          </w:tcPr>
          <w:p>
            <w:pPr>
              <w:spacing w:after="0"/>
              <w:rPr>
                <w:sz w:val="1"/>
                <w:szCs w:val="1"/>
                <w:color w:val="auto"/>
              </w:rPr>
            </w:pPr>
          </w:p>
        </w:tc>
      </w:tr>
      <w:tr>
        <w:trPr>
          <w:trHeight w:val="324"/>
        </w:trPr>
        <w:tc>
          <w:tcPr>
            <w:tcW w:w="560" w:type="dxa"/>
            <w:vAlign w:val="bottom"/>
          </w:tcPr>
          <w:p>
            <w:pPr>
              <w:ind w:left="180"/>
              <w:spacing w:after="0"/>
              <w:rPr>
                <w:sz w:val="20"/>
                <w:szCs w:val="20"/>
                <w:color w:val="auto"/>
              </w:rPr>
            </w:pPr>
            <w:r>
              <w:rPr>
                <w:rFonts w:ascii="Arial" w:cs="Arial" w:eastAsia="Arial" w:hAnsi="Arial"/>
                <w:sz w:val="18"/>
                <w:szCs w:val="18"/>
                <w:color w:val="auto"/>
              </w:rPr>
              <w:t>1.2</w:t>
            </w:r>
          </w:p>
        </w:tc>
        <w:tc>
          <w:tcPr>
            <w:tcW w:w="320" w:type="dxa"/>
            <w:vAlign w:val="bottom"/>
          </w:tcPr>
          <w:p>
            <w:pPr>
              <w:spacing w:after="0"/>
              <w:rPr>
                <w:sz w:val="24"/>
                <w:szCs w:val="24"/>
                <w:color w:val="auto"/>
              </w:rPr>
            </w:pPr>
          </w:p>
        </w:tc>
        <w:tc>
          <w:tcPr>
            <w:tcW w:w="10140" w:type="dxa"/>
            <w:vAlign w:val="bottom"/>
          </w:tcPr>
          <w:p>
            <w:pPr>
              <w:spacing w:after="0"/>
              <w:rPr>
                <w:sz w:val="20"/>
                <w:szCs w:val="20"/>
                <w:color w:val="auto"/>
              </w:rPr>
            </w:pPr>
            <w:r>
              <w:rPr>
                <w:rFonts w:ascii="Arial" w:cs="Arial" w:eastAsia="Arial" w:hAnsi="Arial"/>
                <w:sz w:val="18"/>
                <w:szCs w:val="18"/>
                <w:color w:val="auto"/>
              </w:rPr>
              <w:t>Bye-laws of Textainer Group Holdings Limited (2)</w:t>
            </w:r>
          </w:p>
        </w:tc>
        <w:tc>
          <w:tcPr>
            <w:tcW w:w="0" w:type="dxa"/>
            <w:vAlign w:val="bottom"/>
          </w:tcPr>
          <w:p>
            <w:pPr>
              <w:spacing w:after="0"/>
              <w:rPr>
                <w:sz w:val="1"/>
                <w:szCs w:val="1"/>
                <w:color w:val="auto"/>
              </w:rPr>
            </w:pPr>
          </w:p>
        </w:tc>
      </w:tr>
      <w:tr>
        <w:trPr>
          <w:trHeight w:val="324"/>
        </w:trPr>
        <w:tc>
          <w:tcPr>
            <w:tcW w:w="560" w:type="dxa"/>
            <w:vAlign w:val="bottom"/>
          </w:tcPr>
          <w:p>
            <w:pPr>
              <w:ind w:left="180"/>
              <w:spacing w:after="0"/>
              <w:rPr>
                <w:sz w:val="20"/>
                <w:szCs w:val="20"/>
                <w:color w:val="auto"/>
              </w:rPr>
            </w:pPr>
            <w:r>
              <w:rPr>
                <w:rFonts w:ascii="Arial" w:cs="Arial" w:eastAsia="Arial" w:hAnsi="Arial"/>
                <w:sz w:val="18"/>
                <w:szCs w:val="18"/>
                <w:color w:val="auto"/>
              </w:rPr>
              <w:t>2.1</w:t>
            </w:r>
          </w:p>
        </w:tc>
        <w:tc>
          <w:tcPr>
            <w:tcW w:w="320" w:type="dxa"/>
            <w:vAlign w:val="bottom"/>
          </w:tcPr>
          <w:p>
            <w:pPr>
              <w:spacing w:after="0"/>
              <w:rPr>
                <w:sz w:val="24"/>
                <w:szCs w:val="24"/>
                <w:color w:val="auto"/>
              </w:rPr>
            </w:pPr>
          </w:p>
        </w:tc>
        <w:tc>
          <w:tcPr>
            <w:tcW w:w="10140" w:type="dxa"/>
            <w:vAlign w:val="bottom"/>
          </w:tcPr>
          <w:p>
            <w:pPr>
              <w:spacing w:after="0"/>
              <w:rPr>
                <w:sz w:val="20"/>
                <w:szCs w:val="20"/>
                <w:color w:val="auto"/>
              </w:rPr>
            </w:pPr>
            <w:r>
              <w:rPr>
                <w:rFonts w:ascii="Arial" w:cs="Arial" w:eastAsia="Arial" w:hAnsi="Arial"/>
                <w:sz w:val="18"/>
                <w:szCs w:val="18"/>
                <w:color w:val="auto"/>
              </w:rPr>
              <w:t>Form of Common Share Certificate (3)</w:t>
            </w:r>
          </w:p>
        </w:tc>
        <w:tc>
          <w:tcPr>
            <w:tcW w:w="0" w:type="dxa"/>
            <w:vAlign w:val="bottom"/>
          </w:tcPr>
          <w:p>
            <w:pPr>
              <w:spacing w:after="0"/>
              <w:rPr>
                <w:sz w:val="1"/>
                <w:szCs w:val="1"/>
                <w:color w:val="auto"/>
              </w:rPr>
            </w:pPr>
          </w:p>
        </w:tc>
      </w:tr>
      <w:tr>
        <w:trPr>
          <w:trHeight w:val="310"/>
        </w:trPr>
        <w:tc>
          <w:tcPr>
            <w:tcW w:w="560" w:type="dxa"/>
            <w:vAlign w:val="bottom"/>
          </w:tcPr>
          <w:p>
            <w:pPr>
              <w:ind w:left="180"/>
              <w:spacing w:after="0"/>
              <w:rPr>
                <w:sz w:val="20"/>
                <w:szCs w:val="20"/>
                <w:color w:val="auto"/>
              </w:rPr>
            </w:pPr>
            <w:r>
              <w:rPr>
                <w:rFonts w:ascii="Arial" w:cs="Arial" w:eastAsia="Arial" w:hAnsi="Arial"/>
                <w:sz w:val="18"/>
                <w:szCs w:val="18"/>
                <w:color w:val="auto"/>
              </w:rPr>
              <w:t>4.1</w:t>
            </w:r>
          </w:p>
        </w:tc>
        <w:tc>
          <w:tcPr>
            <w:tcW w:w="320" w:type="dxa"/>
            <w:vAlign w:val="bottom"/>
          </w:tcPr>
          <w:p>
            <w:pPr>
              <w:spacing w:after="0"/>
              <w:rPr>
                <w:sz w:val="24"/>
                <w:szCs w:val="24"/>
                <w:color w:val="auto"/>
              </w:rPr>
            </w:pPr>
          </w:p>
        </w:tc>
        <w:tc>
          <w:tcPr>
            <w:tcW w:w="10140" w:type="dxa"/>
            <w:vAlign w:val="bottom"/>
          </w:tcPr>
          <w:p>
            <w:pPr>
              <w:spacing w:after="0"/>
              <w:rPr>
                <w:sz w:val="20"/>
                <w:szCs w:val="20"/>
                <w:color w:val="auto"/>
              </w:rPr>
            </w:pPr>
            <w:r>
              <w:rPr>
                <w:rFonts w:ascii="Arial" w:cs="Arial" w:eastAsia="Arial" w:hAnsi="Arial"/>
                <w:sz w:val="18"/>
                <w:szCs w:val="18"/>
                <w:color w:val="auto"/>
                <w:w w:val="92"/>
              </w:rPr>
              <w:t>Office Lease, dated August 8, 2001, by and between Pivotal 650 California St., LLC and Textainer Equipment Management (U.S.) Limited</w:t>
            </w:r>
          </w:p>
        </w:tc>
        <w:tc>
          <w:tcPr>
            <w:tcW w:w="0" w:type="dxa"/>
            <w:vAlign w:val="bottom"/>
          </w:tcPr>
          <w:p>
            <w:pPr>
              <w:spacing w:after="0"/>
              <w:rPr>
                <w:sz w:val="1"/>
                <w:szCs w:val="1"/>
                <w:color w:val="auto"/>
              </w:rPr>
            </w:pPr>
          </w:p>
        </w:tc>
      </w:tr>
      <w:tr>
        <w:trPr>
          <w:trHeight w:val="230"/>
        </w:trPr>
        <w:tc>
          <w:tcPr>
            <w:tcW w:w="56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10140" w:type="dxa"/>
            <w:vAlign w:val="bottom"/>
          </w:tcPr>
          <w:p>
            <w:pPr>
              <w:spacing w:after="0"/>
              <w:rPr>
                <w:sz w:val="20"/>
                <w:szCs w:val="20"/>
                <w:color w:val="auto"/>
              </w:rPr>
            </w:pPr>
            <w:r>
              <w:rPr>
                <w:rFonts w:ascii="Arial" w:cs="Arial" w:eastAsia="Arial" w:hAnsi="Arial"/>
                <w:sz w:val="18"/>
                <w:szCs w:val="18"/>
                <w:color w:val="auto"/>
              </w:rPr>
              <w:t>(the “Office Lease”) (4)</w:t>
            </w:r>
          </w:p>
        </w:tc>
        <w:tc>
          <w:tcPr>
            <w:tcW w:w="0" w:type="dxa"/>
            <w:vAlign w:val="bottom"/>
          </w:tcPr>
          <w:p>
            <w:pPr>
              <w:spacing w:after="0"/>
              <w:rPr>
                <w:sz w:val="1"/>
                <w:szCs w:val="1"/>
                <w:color w:val="auto"/>
              </w:rPr>
            </w:pPr>
          </w:p>
        </w:tc>
      </w:tr>
      <w:tr>
        <w:trPr>
          <w:trHeight w:val="310"/>
        </w:trPr>
        <w:tc>
          <w:tcPr>
            <w:tcW w:w="560" w:type="dxa"/>
            <w:vAlign w:val="bottom"/>
          </w:tcPr>
          <w:p>
            <w:pPr>
              <w:ind w:left="180"/>
              <w:spacing w:after="0"/>
              <w:rPr>
                <w:sz w:val="20"/>
                <w:szCs w:val="20"/>
                <w:color w:val="auto"/>
              </w:rPr>
            </w:pPr>
            <w:r>
              <w:rPr>
                <w:rFonts w:ascii="Arial" w:cs="Arial" w:eastAsia="Arial" w:hAnsi="Arial"/>
                <w:sz w:val="18"/>
                <w:szCs w:val="18"/>
                <w:color w:val="auto"/>
              </w:rPr>
              <w:t>4.2</w:t>
            </w:r>
          </w:p>
        </w:tc>
        <w:tc>
          <w:tcPr>
            <w:tcW w:w="320" w:type="dxa"/>
            <w:vAlign w:val="bottom"/>
          </w:tcPr>
          <w:p>
            <w:pPr>
              <w:spacing w:after="0"/>
              <w:rPr>
                <w:sz w:val="24"/>
                <w:szCs w:val="24"/>
                <w:color w:val="auto"/>
              </w:rPr>
            </w:pPr>
          </w:p>
        </w:tc>
        <w:tc>
          <w:tcPr>
            <w:tcW w:w="10140" w:type="dxa"/>
            <w:vAlign w:val="bottom"/>
          </w:tcPr>
          <w:p>
            <w:pPr>
              <w:spacing w:after="0"/>
              <w:rPr>
                <w:sz w:val="20"/>
                <w:szCs w:val="20"/>
                <w:color w:val="auto"/>
              </w:rPr>
            </w:pPr>
            <w:r>
              <w:rPr>
                <w:rFonts w:ascii="Arial" w:cs="Arial" w:eastAsia="Arial" w:hAnsi="Arial"/>
                <w:sz w:val="18"/>
                <w:szCs w:val="18"/>
                <w:color w:val="auto"/>
                <w:w w:val="96"/>
              </w:rPr>
              <w:t>First Amendment to the Office Lease, dated as of December 23, 2008, by and between A – 650 California Street, LLC and Textainer</w:t>
            </w:r>
          </w:p>
        </w:tc>
        <w:tc>
          <w:tcPr>
            <w:tcW w:w="0" w:type="dxa"/>
            <w:vAlign w:val="bottom"/>
          </w:tcPr>
          <w:p>
            <w:pPr>
              <w:spacing w:after="0"/>
              <w:rPr>
                <w:sz w:val="1"/>
                <w:szCs w:val="1"/>
                <w:color w:val="auto"/>
              </w:rPr>
            </w:pPr>
          </w:p>
        </w:tc>
      </w:tr>
      <w:tr>
        <w:trPr>
          <w:trHeight w:val="230"/>
        </w:trPr>
        <w:tc>
          <w:tcPr>
            <w:tcW w:w="56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10140" w:type="dxa"/>
            <w:vAlign w:val="bottom"/>
          </w:tcPr>
          <w:p>
            <w:pPr>
              <w:spacing w:after="0"/>
              <w:rPr>
                <w:sz w:val="20"/>
                <w:szCs w:val="20"/>
                <w:color w:val="auto"/>
              </w:rPr>
            </w:pPr>
            <w:r>
              <w:rPr>
                <w:rFonts w:ascii="Arial" w:cs="Arial" w:eastAsia="Arial" w:hAnsi="Arial"/>
                <w:sz w:val="18"/>
                <w:szCs w:val="18"/>
                <w:color w:val="auto"/>
              </w:rPr>
              <w:t>Equipment Management (U.S.) Limited (5)</w:t>
            </w:r>
          </w:p>
        </w:tc>
        <w:tc>
          <w:tcPr>
            <w:tcW w:w="0" w:type="dxa"/>
            <w:vAlign w:val="bottom"/>
          </w:tcPr>
          <w:p>
            <w:pPr>
              <w:spacing w:after="0"/>
              <w:rPr>
                <w:sz w:val="1"/>
                <w:szCs w:val="1"/>
                <w:color w:val="auto"/>
              </w:rPr>
            </w:pPr>
          </w:p>
        </w:tc>
      </w:tr>
      <w:tr>
        <w:trPr>
          <w:trHeight w:val="310"/>
        </w:trPr>
        <w:tc>
          <w:tcPr>
            <w:tcW w:w="560" w:type="dxa"/>
            <w:vAlign w:val="bottom"/>
          </w:tcPr>
          <w:p>
            <w:pPr>
              <w:ind w:left="180"/>
              <w:spacing w:after="0"/>
              <w:rPr>
                <w:sz w:val="20"/>
                <w:szCs w:val="20"/>
                <w:color w:val="auto"/>
              </w:rPr>
            </w:pPr>
            <w:r>
              <w:rPr>
                <w:rFonts w:ascii="Arial" w:cs="Arial" w:eastAsia="Arial" w:hAnsi="Arial"/>
                <w:sz w:val="18"/>
                <w:szCs w:val="18"/>
                <w:color w:val="auto"/>
              </w:rPr>
              <w:t>4.3</w:t>
            </w:r>
          </w:p>
        </w:tc>
        <w:tc>
          <w:tcPr>
            <w:tcW w:w="320" w:type="dxa"/>
            <w:vAlign w:val="bottom"/>
          </w:tcPr>
          <w:p>
            <w:pPr>
              <w:spacing w:after="0"/>
              <w:rPr>
                <w:sz w:val="24"/>
                <w:szCs w:val="24"/>
                <w:color w:val="auto"/>
              </w:rPr>
            </w:pPr>
          </w:p>
        </w:tc>
        <w:tc>
          <w:tcPr>
            <w:tcW w:w="10140" w:type="dxa"/>
            <w:vAlign w:val="bottom"/>
          </w:tcPr>
          <w:p>
            <w:pPr>
              <w:spacing w:after="0"/>
              <w:rPr>
                <w:sz w:val="20"/>
                <w:szCs w:val="20"/>
                <w:color w:val="auto"/>
              </w:rPr>
            </w:pPr>
            <w:r>
              <w:rPr>
                <w:rFonts w:ascii="Arial" w:cs="Arial" w:eastAsia="Arial" w:hAnsi="Arial"/>
                <w:sz w:val="18"/>
                <w:szCs w:val="18"/>
                <w:color w:val="auto"/>
                <w:w w:val="95"/>
              </w:rPr>
              <w:t>Second Amendment to the Office Lease, dated as of April 23, 2015, by and between Columbia REIT – 650 California Street, LLC and</w:t>
            </w:r>
          </w:p>
        </w:tc>
        <w:tc>
          <w:tcPr>
            <w:tcW w:w="0" w:type="dxa"/>
            <w:vAlign w:val="bottom"/>
          </w:tcPr>
          <w:p>
            <w:pPr>
              <w:spacing w:after="0"/>
              <w:rPr>
                <w:sz w:val="1"/>
                <w:szCs w:val="1"/>
                <w:color w:val="auto"/>
              </w:rPr>
            </w:pPr>
          </w:p>
        </w:tc>
      </w:tr>
      <w:tr>
        <w:trPr>
          <w:trHeight w:val="230"/>
        </w:trPr>
        <w:tc>
          <w:tcPr>
            <w:tcW w:w="56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10140" w:type="dxa"/>
            <w:vAlign w:val="bottom"/>
          </w:tcPr>
          <w:p>
            <w:pPr>
              <w:spacing w:after="0"/>
              <w:rPr>
                <w:sz w:val="20"/>
                <w:szCs w:val="20"/>
                <w:color w:val="auto"/>
              </w:rPr>
            </w:pPr>
            <w:r>
              <w:rPr>
                <w:rFonts w:ascii="Arial" w:cs="Arial" w:eastAsia="Arial" w:hAnsi="Arial"/>
                <w:sz w:val="18"/>
                <w:szCs w:val="18"/>
                <w:color w:val="auto"/>
              </w:rPr>
              <w:t>Textainer Equipment Management (U.S.) Limited (6)</w:t>
            </w:r>
          </w:p>
        </w:tc>
        <w:tc>
          <w:tcPr>
            <w:tcW w:w="0" w:type="dxa"/>
            <w:vAlign w:val="bottom"/>
          </w:tcPr>
          <w:p>
            <w:pPr>
              <w:spacing w:after="0"/>
              <w:rPr>
                <w:sz w:val="1"/>
                <w:szCs w:val="1"/>
                <w:color w:val="auto"/>
              </w:rPr>
            </w:pPr>
          </w:p>
        </w:tc>
      </w:tr>
      <w:tr>
        <w:trPr>
          <w:trHeight w:val="310"/>
        </w:trPr>
        <w:tc>
          <w:tcPr>
            <w:tcW w:w="560" w:type="dxa"/>
            <w:vAlign w:val="bottom"/>
          </w:tcPr>
          <w:p>
            <w:pPr>
              <w:ind w:left="180"/>
              <w:spacing w:after="0"/>
              <w:rPr>
                <w:sz w:val="20"/>
                <w:szCs w:val="20"/>
                <w:color w:val="auto"/>
              </w:rPr>
            </w:pPr>
            <w:r>
              <w:rPr>
                <w:rFonts w:ascii="Arial" w:cs="Arial" w:eastAsia="Arial" w:hAnsi="Arial"/>
                <w:sz w:val="18"/>
                <w:szCs w:val="18"/>
                <w:color w:val="auto"/>
              </w:rPr>
              <w:t>4.4*</w:t>
            </w:r>
          </w:p>
        </w:tc>
        <w:tc>
          <w:tcPr>
            <w:tcW w:w="320" w:type="dxa"/>
            <w:vAlign w:val="bottom"/>
          </w:tcPr>
          <w:p>
            <w:pPr>
              <w:spacing w:after="0"/>
              <w:rPr>
                <w:sz w:val="24"/>
                <w:szCs w:val="24"/>
                <w:color w:val="auto"/>
              </w:rPr>
            </w:pPr>
          </w:p>
        </w:tc>
        <w:tc>
          <w:tcPr>
            <w:tcW w:w="10140" w:type="dxa"/>
            <w:vAlign w:val="bottom"/>
          </w:tcPr>
          <w:p>
            <w:pPr>
              <w:spacing w:after="0"/>
              <w:rPr>
                <w:sz w:val="20"/>
                <w:szCs w:val="20"/>
                <w:color w:val="auto"/>
              </w:rPr>
            </w:pPr>
            <w:r>
              <w:rPr>
                <w:rFonts w:ascii="Arial" w:cs="Arial" w:eastAsia="Arial" w:hAnsi="Arial"/>
                <w:sz w:val="18"/>
                <w:szCs w:val="18"/>
                <w:color w:val="auto"/>
              </w:rPr>
              <w:t>Employment Agreement, dated August 13, 2018 by and between Textainer Equipment Management (U.S.) Limited and Olivier</w:t>
            </w:r>
          </w:p>
        </w:tc>
        <w:tc>
          <w:tcPr>
            <w:tcW w:w="0" w:type="dxa"/>
            <w:vAlign w:val="bottom"/>
          </w:tcPr>
          <w:p>
            <w:pPr>
              <w:spacing w:after="0"/>
              <w:rPr>
                <w:sz w:val="1"/>
                <w:szCs w:val="1"/>
                <w:color w:val="auto"/>
              </w:rPr>
            </w:pPr>
          </w:p>
        </w:tc>
      </w:tr>
      <w:tr>
        <w:trPr>
          <w:trHeight w:val="230"/>
        </w:trPr>
        <w:tc>
          <w:tcPr>
            <w:tcW w:w="56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10140" w:type="dxa"/>
            <w:vAlign w:val="bottom"/>
          </w:tcPr>
          <w:p>
            <w:pPr>
              <w:spacing w:after="0"/>
              <w:rPr>
                <w:sz w:val="20"/>
                <w:szCs w:val="20"/>
                <w:color w:val="auto"/>
              </w:rPr>
            </w:pPr>
            <w:r>
              <w:rPr>
                <w:rFonts w:ascii="Arial" w:cs="Arial" w:eastAsia="Arial" w:hAnsi="Arial"/>
                <w:sz w:val="18"/>
                <w:szCs w:val="18"/>
                <w:color w:val="auto"/>
              </w:rPr>
              <w:t>Ghesquiere (7)</w:t>
            </w:r>
          </w:p>
        </w:tc>
        <w:tc>
          <w:tcPr>
            <w:tcW w:w="0" w:type="dxa"/>
            <w:vAlign w:val="bottom"/>
          </w:tcPr>
          <w:p>
            <w:pPr>
              <w:spacing w:after="0"/>
              <w:rPr>
                <w:sz w:val="1"/>
                <w:szCs w:val="1"/>
                <w:color w:val="auto"/>
              </w:rPr>
            </w:pPr>
          </w:p>
        </w:tc>
      </w:tr>
      <w:tr>
        <w:trPr>
          <w:trHeight w:val="310"/>
        </w:trPr>
        <w:tc>
          <w:tcPr>
            <w:tcW w:w="560" w:type="dxa"/>
            <w:vAlign w:val="bottom"/>
          </w:tcPr>
          <w:p>
            <w:pPr>
              <w:ind w:left="180"/>
              <w:spacing w:after="0"/>
              <w:rPr>
                <w:sz w:val="20"/>
                <w:szCs w:val="20"/>
                <w:color w:val="auto"/>
              </w:rPr>
            </w:pPr>
            <w:r>
              <w:rPr>
                <w:rFonts w:ascii="Arial" w:cs="Arial" w:eastAsia="Arial" w:hAnsi="Arial"/>
                <w:sz w:val="18"/>
                <w:szCs w:val="18"/>
                <w:color w:val="auto"/>
              </w:rPr>
              <w:t>4.5*</w:t>
            </w:r>
          </w:p>
        </w:tc>
        <w:tc>
          <w:tcPr>
            <w:tcW w:w="320" w:type="dxa"/>
            <w:vAlign w:val="bottom"/>
          </w:tcPr>
          <w:p>
            <w:pPr>
              <w:spacing w:after="0"/>
              <w:rPr>
                <w:sz w:val="24"/>
                <w:szCs w:val="24"/>
                <w:color w:val="auto"/>
              </w:rPr>
            </w:pPr>
          </w:p>
        </w:tc>
        <w:tc>
          <w:tcPr>
            <w:tcW w:w="10140" w:type="dxa"/>
            <w:vAlign w:val="bottom"/>
          </w:tcPr>
          <w:p>
            <w:pPr>
              <w:spacing w:after="0"/>
              <w:rPr>
                <w:sz w:val="20"/>
                <w:szCs w:val="20"/>
                <w:color w:val="auto"/>
              </w:rPr>
            </w:pPr>
            <w:r>
              <w:rPr>
                <w:rFonts w:ascii="Arial" w:cs="Arial" w:eastAsia="Arial" w:hAnsi="Arial"/>
                <w:sz w:val="18"/>
                <w:szCs w:val="18"/>
                <w:color w:val="auto"/>
                <w:w w:val="96"/>
              </w:rPr>
              <w:t>Employment Agreement, dated September 13, 2018 by and between Textainer Equipment Management (U.S.) Limited and Michael</w:t>
            </w:r>
          </w:p>
        </w:tc>
        <w:tc>
          <w:tcPr>
            <w:tcW w:w="0" w:type="dxa"/>
            <w:vAlign w:val="bottom"/>
          </w:tcPr>
          <w:p>
            <w:pPr>
              <w:spacing w:after="0"/>
              <w:rPr>
                <w:sz w:val="1"/>
                <w:szCs w:val="1"/>
                <w:color w:val="auto"/>
              </w:rPr>
            </w:pPr>
          </w:p>
        </w:tc>
      </w:tr>
      <w:tr>
        <w:trPr>
          <w:trHeight w:val="230"/>
        </w:trPr>
        <w:tc>
          <w:tcPr>
            <w:tcW w:w="56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10140" w:type="dxa"/>
            <w:vAlign w:val="bottom"/>
          </w:tcPr>
          <w:p>
            <w:pPr>
              <w:spacing w:after="0"/>
              <w:rPr>
                <w:sz w:val="20"/>
                <w:szCs w:val="20"/>
                <w:color w:val="auto"/>
              </w:rPr>
            </w:pPr>
            <w:r>
              <w:rPr>
                <w:rFonts w:ascii="Arial" w:cs="Arial" w:eastAsia="Arial" w:hAnsi="Arial"/>
                <w:sz w:val="18"/>
                <w:szCs w:val="18"/>
                <w:color w:val="auto"/>
              </w:rPr>
              <w:t>Chan (8)</w:t>
            </w:r>
          </w:p>
        </w:tc>
        <w:tc>
          <w:tcPr>
            <w:tcW w:w="0" w:type="dxa"/>
            <w:vAlign w:val="bottom"/>
          </w:tcPr>
          <w:p>
            <w:pPr>
              <w:spacing w:after="0"/>
              <w:rPr>
                <w:sz w:val="1"/>
                <w:szCs w:val="1"/>
                <w:color w:val="auto"/>
              </w:rPr>
            </w:pPr>
          </w:p>
        </w:tc>
      </w:tr>
      <w:tr>
        <w:trPr>
          <w:trHeight w:val="324"/>
        </w:trPr>
        <w:tc>
          <w:tcPr>
            <w:tcW w:w="560" w:type="dxa"/>
            <w:vAlign w:val="bottom"/>
          </w:tcPr>
          <w:p>
            <w:pPr>
              <w:ind w:left="180"/>
              <w:spacing w:after="0"/>
              <w:rPr>
                <w:sz w:val="20"/>
                <w:szCs w:val="20"/>
                <w:color w:val="auto"/>
              </w:rPr>
            </w:pPr>
            <w:r>
              <w:rPr>
                <w:rFonts w:ascii="Arial" w:cs="Arial" w:eastAsia="Arial" w:hAnsi="Arial"/>
                <w:sz w:val="18"/>
                <w:szCs w:val="18"/>
                <w:color w:val="auto"/>
              </w:rPr>
              <w:t>4.6*</w:t>
            </w:r>
          </w:p>
        </w:tc>
        <w:tc>
          <w:tcPr>
            <w:tcW w:w="320" w:type="dxa"/>
            <w:vAlign w:val="bottom"/>
          </w:tcPr>
          <w:p>
            <w:pPr>
              <w:spacing w:after="0"/>
              <w:rPr>
                <w:sz w:val="24"/>
                <w:szCs w:val="24"/>
                <w:color w:val="auto"/>
              </w:rPr>
            </w:pPr>
          </w:p>
        </w:tc>
        <w:tc>
          <w:tcPr>
            <w:tcW w:w="10140" w:type="dxa"/>
            <w:vAlign w:val="bottom"/>
          </w:tcPr>
          <w:p>
            <w:pPr>
              <w:spacing w:after="0"/>
              <w:rPr>
                <w:sz w:val="20"/>
                <w:szCs w:val="20"/>
                <w:color w:val="auto"/>
              </w:rPr>
            </w:pPr>
            <w:r>
              <w:rPr>
                <w:rFonts w:ascii="Arial" w:cs="Arial" w:eastAsia="Arial" w:hAnsi="Arial"/>
                <w:sz w:val="18"/>
                <w:szCs w:val="18"/>
                <w:color w:val="auto"/>
              </w:rPr>
              <w:t>2019 Share Incentive Plan (as amended and restated effective May 23, 2019) (9)</w:t>
            </w:r>
          </w:p>
        </w:tc>
        <w:tc>
          <w:tcPr>
            <w:tcW w:w="0" w:type="dxa"/>
            <w:vAlign w:val="bottom"/>
          </w:tcPr>
          <w:p>
            <w:pPr>
              <w:spacing w:after="0"/>
              <w:rPr>
                <w:sz w:val="1"/>
                <w:szCs w:val="1"/>
                <w:color w:val="auto"/>
              </w:rPr>
            </w:pPr>
          </w:p>
        </w:tc>
      </w:tr>
      <w:tr>
        <w:trPr>
          <w:trHeight w:val="324"/>
        </w:trPr>
        <w:tc>
          <w:tcPr>
            <w:tcW w:w="560" w:type="dxa"/>
            <w:vAlign w:val="bottom"/>
          </w:tcPr>
          <w:p>
            <w:pPr>
              <w:ind w:left="180"/>
              <w:spacing w:after="0"/>
              <w:rPr>
                <w:sz w:val="20"/>
                <w:szCs w:val="20"/>
                <w:color w:val="auto"/>
              </w:rPr>
            </w:pPr>
            <w:r>
              <w:rPr>
                <w:rFonts w:ascii="Arial" w:cs="Arial" w:eastAsia="Arial" w:hAnsi="Arial"/>
                <w:sz w:val="18"/>
                <w:szCs w:val="18"/>
                <w:color w:val="auto"/>
              </w:rPr>
              <w:t>4.7*</w:t>
            </w:r>
          </w:p>
        </w:tc>
        <w:tc>
          <w:tcPr>
            <w:tcW w:w="320" w:type="dxa"/>
            <w:vAlign w:val="bottom"/>
          </w:tcPr>
          <w:p>
            <w:pPr>
              <w:spacing w:after="0"/>
              <w:rPr>
                <w:sz w:val="24"/>
                <w:szCs w:val="24"/>
                <w:color w:val="auto"/>
              </w:rPr>
            </w:pPr>
          </w:p>
        </w:tc>
        <w:tc>
          <w:tcPr>
            <w:tcW w:w="10140" w:type="dxa"/>
            <w:vAlign w:val="bottom"/>
          </w:tcPr>
          <w:p>
            <w:pPr>
              <w:spacing w:after="0"/>
              <w:rPr>
                <w:sz w:val="20"/>
                <w:szCs w:val="20"/>
                <w:color w:val="auto"/>
              </w:rPr>
            </w:pPr>
            <w:r>
              <w:rPr>
                <w:rFonts w:ascii="Arial" w:cs="Arial" w:eastAsia="Arial" w:hAnsi="Arial"/>
                <w:sz w:val="18"/>
                <w:szCs w:val="18"/>
                <w:color w:val="auto"/>
              </w:rPr>
              <w:t>2008 Bonus Plan (10)</w:t>
            </w:r>
          </w:p>
        </w:tc>
        <w:tc>
          <w:tcPr>
            <w:tcW w:w="0" w:type="dxa"/>
            <w:vAlign w:val="bottom"/>
          </w:tcPr>
          <w:p>
            <w:pPr>
              <w:spacing w:after="0"/>
              <w:rPr>
                <w:sz w:val="1"/>
                <w:szCs w:val="1"/>
                <w:color w:val="auto"/>
              </w:rPr>
            </w:pPr>
          </w:p>
        </w:tc>
      </w:tr>
      <w:tr>
        <w:trPr>
          <w:trHeight w:val="324"/>
        </w:trPr>
        <w:tc>
          <w:tcPr>
            <w:tcW w:w="560" w:type="dxa"/>
            <w:vAlign w:val="bottom"/>
          </w:tcPr>
          <w:p>
            <w:pPr>
              <w:ind w:left="180"/>
              <w:spacing w:after="0"/>
              <w:rPr>
                <w:sz w:val="20"/>
                <w:szCs w:val="20"/>
                <w:color w:val="auto"/>
              </w:rPr>
            </w:pPr>
            <w:r>
              <w:rPr>
                <w:rFonts w:ascii="Arial" w:cs="Arial" w:eastAsia="Arial" w:hAnsi="Arial"/>
                <w:sz w:val="18"/>
                <w:szCs w:val="18"/>
                <w:color w:val="auto"/>
              </w:rPr>
              <w:t>4.8*</w:t>
            </w:r>
          </w:p>
        </w:tc>
        <w:tc>
          <w:tcPr>
            <w:tcW w:w="320" w:type="dxa"/>
            <w:vAlign w:val="bottom"/>
          </w:tcPr>
          <w:p>
            <w:pPr>
              <w:spacing w:after="0"/>
              <w:rPr>
                <w:sz w:val="24"/>
                <w:szCs w:val="24"/>
                <w:color w:val="auto"/>
              </w:rPr>
            </w:pPr>
          </w:p>
        </w:tc>
        <w:tc>
          <w:tcPr>
            <w:tcW w:w="10140" w:type="dxa"/>
            <w:vAlign w:val="bottom"/>
          </w:tcPr>
          <w:p>
            <w:pPr>
              <w:spacing w:after="0"/>
              <w:rPr>
                <w:sz w:val="20"/>
                <w:szCs w:val="20"/>
                <w:color w:val="auto"/>
              </w:rPr>
            </w:pPr>
            <w:r>
              <w:rPr>
                <w:rFonts w:ascii="Arial" w:cs="Arial" w:eastAsia="Arial" w:hAnsi="Arial"/>
                <w:sz w:val="18"/>
                <w:szCs w:val="18"/>
                <w:color w:val="auto"/>
              </w:rPr>
              <w:t>Form of Indemnification Agreement (11)</w:t>
            </w:r>
          </w:p>
        </w:tc>
        <w:tc>
          <w:tcPr>
            <w:tcW w:w="0" w:type="dxa"/>
            <w:vAlign w:val="bottom"/>
          </w:tcPr>
          <w:p>
            <w:pPr>
              <w:spacing w:after="0"/>
              <w:rPr>
                <w:sz w:val="1"/>
                <w:szCs w:val="1"/>
                <w:color w:val="auto"/>
              </w:rPr>
            </w:pPr>
          </w:p>
        </w:tc>
      </w:tr>
      <w:tr>
        <w:trPr>
          <w:trHeight w:val="310"/>
        </w:trPr>
        <w:tc>
          <w:tcPr>
            <w:tcW w:w="560" w:type="dxa"/>
            <w:vAlign w:val="bottom"/>
          </w:tcPr>
          <w:p>
            <w:pPr>
              <w:ind w:left="180"/>
              <w:spacing w:after="0"/>
              <w:rPr>
                <w:sz w:val="20"/>
                <w:szCs w:val="20"/>
                <w:color w:val="auto"/>
              </w:rPr>
            </w:pPr>
            <w:r>
              <w:rPr>
                <w:rFonts w:ascii="Arial" w:cs="Arial" w:eastAsia="Arial" w:hAnsi="Arial"/>
                <w:sz w:val="18"/>
                <w:szCs w:val="18"/>
                <w:color w:val="auto"/>
              </w:rPr>
              <w:t>4.9</w:t>
            </w:r>
          </w:p>
        </w:tc>
        <w:tc>
          <w:tcPr>
            <w:tcW w:w="320" w:type="dxa"/>
            <w:vAlign w:val="bottom"/>
          </w:tcPr>
          <w:p>
            <w:pPr>
              <w:spacing w:after="0"/>
              <w:rPr>
                <w:sz w:val="24"/>
                <w:szCs w:val="24"/>
                <w:color w:val="auto"/>
              </w:rPr>
            </w:pPr>
          </w:p>
        </w:tc>
        <w:tc>
          <w:tcPr>
            <w:tcW w:w="10140" w:type="dxa"/>
            <w:vAlign w:val="bottom"/>
          </w:tcPr>
          <w:p>
            <w:pPr>
              <w:spacing w:after="0"/>
              <w:rPr>
                <w:sz w:val="20"/>
                <w:szCs w:val="20"/>
                <w:color w:val="auto"/>
              </w:rPr>
            </w:pPr>
            <w:r>
              <w:rPr>
                <w:rFonts w:ascii="Arial" w:cs="Arial" w:eastAsia="Arial" w:hAnsi="Arial"/>
                <w:sz w:val="18"/>
                <w:szCs w:val="18"/>
                <w:color w:val="auto"/>
                <w:w w:val="94"/>
              </w:rPr>
              <w:t>Amended and Restated Credit Agreement, dated September 26, 2018, by and among, Textainer Limited, as borrower, Textainer Group</w:t>
            </w:r>
          </w:p>
        </w:tc>
        <w:tc>
          <w:tcPr>
            <w:tcW w:w="0" w:type="dxa"/>
            <w:vAlign w:val="bottom"/>
          </w:tcPr>
          <w:p>
            <w:pPr>
              <w:spacing w:after="0"/>
              <w:rPr>
                <w:sz w:val="1"/>
                <w:szCs w:val="1"/>
                <w:color w:val="auto"/>
              </w:rPr>
            </w:pPr>
          </w:p>
        </w:tc>
      </w:tr>
      <w:tr>
        <w:trPr>
          <w:trHeight w:val="230"/>
        </w:trPr>
        <w:tc>
          <w:tcPr>
            <w:tcW w:w="56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10140" w:type="dxa"/>
            <w:vAlign w:val="bottom"/>
          </w:tcPr>
          <w:p>
            <w:pPr>
              <w:spacing w:after="0"/>
              <w:rPr>
                <w:sz w:val="20"/>
                <w:szCs w:val="20"/>
                <w:color w:val="auto"/>
              </w:rPr>
            </w:pPr>
            <w:r>
              <w:rPr>
                <w:rFonts w:ascii="Arial" w:cs="Arial" w:eastAsia="Arial" w:hAnsi="Arial"/>
                <w:sz w:val="18"/>
                <w:szCs w:val="18"/>
                <w:color w:val="auto"/>
              </w:rPr>
              <w:t>Holdings Limited, as guarantor, Wells Fargo Bank, N.A., as agent and the lenders party thereto (“TL Credit Agreement”) (12)</w:t>
            </w:r>
          </w:p>
        </w:tc>
        <w:tc>
          <w:tcPr>
            <w:tcW w:w="0" w:type="dxa"/>
            <w:vAlign w:val="bottom"/>
          </w:tcPr>
          <w:p>
            <w:pPr>
              <w:spacing w:after="0"/>
              <w:rPr>
                <w:sz w:val="1"/>
                <w:szCs w:val="1"/>
                <w:color w:val="auto"/>
              </w:rPr>
            </w:pPr>
          </w:p>
        </w:tc>
      </w:tr>
      <w:tr>
        <w:trPr>
          <w:trHeight w:val="310"/>
        </w:trPr>
        <w:tc>
          <w:tcPr>
            <w:tcW w:w="560" w:type="dxa"/>
            <w:vAlign w:val="bottom"/>
          </w:tcPr>
          <w:p>
            <w:pPr>
              <w:ind w:left="180"/>
              <w:spacing w:after="0"/>
              <w:rPr>
                <w:sz w:val="20"/>
                <w:szCs w:val="20"/>
                <w:color w:val="auto"/>
              </w:rPr>
            </w:pPr>
            <w:r>
              <w:rPr>
                <w:rFonts w:ascii="Arial" w:cs="Arial" w:eastAsia="Arial" w:hAnsi="Arial"/>
                <w:sz w:val="18"/>
                <w:szCs w:val="18"/>
                <w:color w:val="auto"/>
              </w:rPr>
              <w:t>4.10</w:t>
            </w:r>
          </w:p>
        </w:tc>
        <w:tc>
          <w:tcPr>
            <w:tcW w:w="320" w:type="dxa"/>
            <w:vAlign w:val="bottom"/>
          </w:tcPr>
          <w:p>
            <w:pPr>
              <w:spacing w:after="0"/>
              <w:rPr>
                <w:sz w:val="24"/>
                <w:szCs w:val="24"/>
                <w:color w:val="auto"/>
              </w:rPr>
            </w:pPr>
          </w:p>
        </w:tc>
        <w:tc>
          <w:tcPr>
            <w:tcW w:w="10140" w:type="dxa"/>
            <w:vAlign w:val="bottom"/>
          </w:tcPr>
          <w:p>
            <w:pPr>
              <w:spacing w:after="0"/>
              <w:rPr>
                <w:sz w:val="20"/>
                <w:szCs w:val="20"/>
                <w:color w:val="auto"/>
              </w:rPr>
            </w:pPr>
            <w:r>
              <w:rPr>
                <w:rFonts w:ascii="Arial" w:cs="Arial" w:eastAsia="Arial" w:hAnsi="Arial"/>
                <w:sz w:val="18"/>
                <w:szCs w:val="18"/>
                <w:color w:val="auto"/>
                <w:w w:val="93"/>
              </w:rPr>
              <w:t>Second Amended and Restated Indenture, dated August 31, 2017,by and between Textainer Marine Containers Limited II, as issuer and</w:t>
            </w:r>
          </w:p>
        </w:tc>
        <w:tc>
          <w:tcPr>
            <w:tcW w:w="0" w:type="dxa"/>
            <w:vAlign w:val="bottom"/>
          </w:tcPr>
          <w:p>
            <w:pPr>
              <w:spacing w:after="0"/>
              <w:rPr>
                <w:sz w:val="1"/>
                <w:szCs w:val="1"/>
                <w:color w:val="auto"/>
              </w:rPr>
            </w:pPr>
          </w:p>
        </w:tc>
      </w:tr>
      <w:tr>
        <w:trPr>
          <w:trHeight w:val="230"/>
        </w:trPr>
        <w:tc>
          <w:tcPr>
            <w:tcW w:w="56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10140" w:type="dxa"/>
            <w:vAlign w:val="bottom"/>
          </w:tcPr>
          <w:p>
            <w:pPr>
              <w:spacing w:after="0"/>
              <w:rPr>
                <w:sz w:val="20"/>
                <w:szCs w:val="20"/>
                <w:color w:val="auto"/>
              </w:rPr>
            </w:pPr>
            <w:r>
              <w:rPr>
                <w:rFonts w:ascii="Arial" w:cs="Arial" w:eastAsia="Arial" w:hAnsi="Arial"/>
                <w:sz w:val="18"/>
                <w:szCs w:val="18"/>
                <w:color w:val="auto"/>
              </w:rPr>
              <w:t>Wells Fargo Bank, National Association, as indenture trustee (“TMCL II Indenture”) (13)</w:t>
            </w:r>
          </w:p>
        </w:tc>
        <w:tc>
          <w:tcPr>
            <w:tcW w:w="0" w:type="dxa"/>
            <w:vAlign w:val="bottom"/>
          </w:tcPr>
          <w:p>
            <w:pPr>
              <w:spacing w:after="0"/>
              <w:rPr>
                <w:sz w:val="1"/>
                <w:szCs w:val="1"/>
                <w:color w:val="auto"/>
              </w:rPr>
            </w:pPr>
          </w:p>
        </w:tc>
      </w:tr>
      <w:tr>
        <w:trPr>
          <w:trHeight w:val="310"/>
        </w:trPr>
        <w:tc>
          <w:tcPr>
            <w:tcW w:w="560" w:type="dxa"/>
            <w:vAlign w:val="bottom"/>
          </w:tcPr>
          <w:p>
            <w:pPr>
              <w:ind w:left="180"/>
              <w:spacing w:after="0"/>
              <w:rPr>
                <w:sz w:val="20"/>
                <w:szCs w:val="20"/>
                <w:color w:val="auto"/>
              </w:rPr>
            </w:pPr>
            <w:r>
              <w:rPr>
                <w:rFonts w:ascii="Arial" w:cs="Arial" w:eastAsia="Arial" w:hAnsi="Arial"/>
                <w:sz w:val="18"/>
                <w:szCs w:val="18"/>
                <w:color w:val="auto"/>
              </w:rPr>
              <w:t>4.11</w:t>
            </w:r>
          </w:p>
        </w:tc>
        <w:tc>
          <w:tcPr>
            <w:tcW w:w="320" w:type="dxa"/>
            <w:vAlign w:val="bottom"/>
          </w:tcPr>
          <w:p>
            <w:pPr>
              <w:spacing w:after="0"/>
              <w:rPr>
                <w:sz w:val="24"/>
                <w:szCs w:val="24"/>
                <w:color w:val="auto"/>
              </w:rPr>
            </w:pPr>
          </w:p>
        </w:tc>
        <w:tc>
          <w:tcPr>
            <w:tcW w:w="10140" w:type="dxa"/>
            <w:vAlign w:val="bottom"/>
          </w:tcPr>
          <w:p>
            <w:pPr>
              <w:spacing w:after="0"/>
              <w:rPr>
                <w:sz w:val="20"/>
                <w:szCs w:val="20"/>
                <w:color w:val="auto"/>
              </w:rPr>
            </w:pPr>
            <w:r>
              <w:rPr>
                <w:rFonts w:ascii="Arial" w:cs="Arial" w:eastAsia="Arial" w:hAnsi="Arial"/>
                <w:sz w:val="18"/>
                <w:szCs w:val="18"/>
                <w:color w:val="auto"/>
                <w:w w:val="92"/>
              </w:rPr>
              <w:t>Second Amended and Restated Textainer Marine Containers Limited II Series 2012-1 Supplement, dated August 31, 2017 to the TMCL II</w:t>
            </w:r>
          </w:p>
        </w:tc>
        <w:tc>
          <w:tcPr>
            <w:tcW w:w="0" w:type="dxa"/>
            <w:vAlign w:val="bottom"/>
          </w:tcPr>
          <w:p>
            <w:pPr>
              <w:spacing w:after="0"/>
              <w:rPr>
                <w:sz w:val="1"/>
                <w:szCs w:val="1"/>
                <w:color w:val="auto"/>
              </w:rPr>
            </w:pPr>
          </w:p>
        </w:tc>
      </w:tr>
      <w:tr>
        <w:trPr>
          <w:trHeight w:val="230"/>
        </w:trPr>
        <w:tc>
          <w:tcPr>
            <w:tcW w:w="56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10140" w:type="dxa"/>
            <w:vAlign w:val="bottom"/>
          </w:tcPr>
          <w:p>
            <w:pPr>
              <w:spacing w:after="0"/>
              <w:rPr>
                <w:sz w:val="20"/>
                <w:szCs w:val="20"/>
                <w:color w:val="auto"/>
              </w:rPr>
            </w:pPr>
            <w:r>
              <w:rPr>
                <w:rFonts w:ascii="Arial" w:cs="Arial" w:eastAsia="Arial" w:hAnsi="Arial"/>
                <w:sz w:val="18"/>
                <w:szCs w:val="18"/>
                <w:color w:val="auto"/>
              </w:rPr>
              <w:t>Indenture (the “Series 2012-1 Supplement”) (14)</w:t>
            </w:r>
          </w:p>
        </w:tc>
        <w:tc>
          <w:tcPr>
            <w:tcW w:w="0" w:type="dxa"/>
            <w:vAlign w:val="bottom"/>
          </w:tcPr>
          <w:p>
            <w:pPr>
              <w:spacing w:after="0"/>
              <w:rPr>
                <w:sz w:val="1"/>
                <w:szCs w:val="1"/>
                <w:color w:val="auto"/>
              </w:rPr>
            </w:pPr>
          </w:p>
        </w:tc>
      </w:tr>
      <w:tr>
        <w:trPr>
          <w:trHeight w:val="310"/>
        </w:trPr>
        <w:tc>
          <w:tcPr>
            <w:tcW w:w="560" w:type="dxa"/>
            <w:vAlign w:val="bottom"/>
          </w:tcPr>
          <w:p>
            <w:pPr>
              <w:ind w:left="180"/>
              <w:spacing w:after="0"/>
              <w:rPr>
                <w:sz w:val="20"/>
                <w:szCs w:val="20"/>
                <w:color w:val="auto"/>
              </w:rPr>
            </w:pPr>
            <w:r>
              <w:rPr>
                <w:rFonts w:ascii="Arial" w:cs="Arial" w:eastAsia="Arial" w:hAnsi="Arial"/>
                <w:sz w:val="18"/>
                <w:szCs w:val="18"/>
                <w:color w:val="auto"/>
              </w:rPr>
              <w:t>4.12</w:t>
            </w:r>
          </w:p>
        </w:tc>
        <w:tc>
          <w:tcPr>
            <w:tcW w:w="320" w:type="dxa"/>
            <w:vAlign w:val="bottom"/>
          </w:tcPr>
          <w:p>
            <w:pPr>
              <w:spacing w:after="0"/>
              <w:rPr>
                <w:sz w:val="24"/>
                <w:szCs w:val="24"/>
                <w:color w:val="auto"/>
              </w:rPr>
            </w:pPr>
          </w:p>
        </w:tc>
        <w:tc>
          <w:tcPr>
            <w:tcW w:w="10140" w:type="dxa"/>
            <w:vAlign w:val="bottom"/>
          </w:tcPr>
          <w:p>
            <w:pPr>
              <w:spacing w:after="0"/>
              <w:rPr>
                <w:sz w:val="20"/>
                <w:szCs w:val="20"/>
                <w:color w:val="auto"/>
              </w:rPr>
            </w:pPr>
            <w:r>
              <w:rPr>
                <w:rFonts w:ascii="Arial" w:cs="Arial" w:eastAsia="Arial" w:hAnsi="Arial"/>
                <w:sz w:val="18"/>
                <w:szCs w:val="18"/>
                <w:color w:val="auto"/>
                <w:w w:val="93"/>
              </w:rPr>
              <w:t>Amendment No. 1 to TMCL II Indenture, dated July 24, 2019, by and among, Textainer Marine Containers Limited II, as issuer and Wells</w:t>
            </w:r>
          </w:p>
        </w:tc>
        <w:tc>
          <w:tcPr>
            <w:tcW w:w="0" w:type="dxa"/>
            <w:vAlign w:val="bottom"/>
          </w:tcPr>
          <w:p>
            <w:pPr>
              <w:spacing w:after="0"/>
              <w:rPr>
                <w:sz w:val="1"/>
                <w:szCs w:val="1"/>
                <w:color w:val="auto"/>
              </w:rPr>
            </w:pPr>
          </w:p>
        </w:tc>
      </w:tr>
      <w:tr>
        <w:trPr>
          <w:trHeight w:val="230"/>
        </w:trPr>
        <w:tc>
          <w:tcPr>
            <w:tcW w:w="56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10140" w:type="dxa"/>
            <w:vAlign w:val="bottom"/>
          </w:tcPr>
          <w:p>
            <w:pPr>
              <w:spacing w:after="0"/>
              <w:rPr>
                <w:sz w:val="20"/>
                <w:szCs w:val="20"/>
                <w:color w:val="auto"/>
              </w:rPr>
            </w:pPr>
            <w:r>
              <w:rPr>
                <w:rFonts w:ascii="Arial" w:cs="Arial" w:eastAsia="Arial" w:hAnsi="Arial"/>
                <w:sz w:val="18"/>
                <w:szCs w:val="18"/>
                <w:color w:val="auto"/>
              </w:rPr>
              <w:t>Fargo Bank, National Association, as indenture trustee) (15)</w:t>
            </w:r>
          </w:p>
        </w:tc>
        <w:tc>
          <w:tcPr>
            <w:tcW w:w="0" w:type="dxa"/>
            <w:vAlign w:val="bottom"/>
          </w:tcPr>
          <w:p>
            <w:pPr>
              <w:spacing w:after="0"/>
              <w:rPr>
                <w:sz w:val="1"/>
                <w:szCs w:val="1"/>
                <w:color w:val="auto"/>
              </w:rPr>
            </w:pPr>
          </w:p>
        </w:tc>
      </w:tr>
      <w:tr>
        <w:trPr>
          <w:trHeight w:val="324"/>
        </w:trPr>
        <w:tc>
          <w:tcPr>
            <w:tcW w:w="560" w:type="dxa"/>
            <w:vAlign w:val="bottom"/>
          </w:tcPr>
          <w:p>
            <w:pPr>
              <w:ind w:left="180"/>
              <w:spacing w:after="0"/>
              <w:rPr>
                <w:sz w:val="20"/>
                <w:szCs w:val="20"/>
                <w:color w:val="auto"/>
              </w:rPr>
            </w:pPr>
            <w:r>
              <w:rPr>
                <w:rFonts w:ascii="Arial" w:cs="Arial" w:eastAsia="Arial" w:hAnsi="Arial"/>
                <w:sz w:val="18"/>
                <w:szCs w:val="18"/>
                <w:color w:val="auto"/>
              </w:rPr>
              <w:t>4.13</w:t>
            </w:r>
          </w:p>
        </w:tc>
        <w:tc>
          <w:tcPr>
            <w:tcW w:w="320" w:type="dxa"/>
            <w:vAlign w:val="bottom"/>
          </w:tcPr>
          <w:p>
            <w:pPr>
              <w:spacing w:after="0"/>
              <w:rPr>
                <w:sz w:val="24"/>
                <w:szCs w:val="24"/>
                <w:color w:val="auto"/>
              </w:rPr>
            </w:pPr>
          </w:p>
        </w:tc>
        <w:tc>
          <w:tcPr>
            <w:tcW w:w="10140" w:type="dxa"/>
            <w:vAlign w:val="bottom"/>
          </w:tcPr>
          <w:p>
            <w:pPr>
              <w:spacing w:after="0"/>
              <w:rPr>
                <w:sz w:val="20"/>
                <w:szCs w:val="20"/>
                <w:color w:val="auto"/>
              </w:rPr>
            </w:pPr>
            <w:r>
              <w:rPr>
                <w:rFonts w:ascii="Arial" w:cs="Arial" w:eastAsia="Arial" w:hAnsi="Arial"/>
                <w:sz w:val="18"/>
                <w:szCs w:val="18"/>
                <w:color w:val="auto"/>
              </w:rPr>
              <w:t>Amendment No. 1 to the Series 2012-1 Supplement, dated July 24, 2019 (16)</w:t>
            </w:r>
          </w:p>
        </w:tc>
        <w:tc>
          <w:tcPr>
            <w:tcW w:w="0" w:type="dxa"/>
            <w:vAlign w:val="bottom"/>
          </w:tcPr>
          <w:p>
            <w:pPr>
              <w:spacing w:after="0"/>
              <w:rPr>
                <w:sz w:val="1"/>
                <w:szCs w:val="1"/>
                <w:color w:val="auto"/>
              </w:rPr>
            </w:pPr>
          </w:p>
        </w:tc>
      </w:tr>
      <w:tr>
        <w:trPr>
          <w:trHeight w:val="310"/>
        </w:trPr>
        <w:tc>
          <w:tcPr>
            <w:tcW w:w="560" w:type="dxa"/>
            <w:vAlign w:val="bottom"/>
          </w:tcPr>
          <w:p>
            <w:pPr>
              <w:ind w:left="180"/>
              <w:spacing w:after="0"/>
              <w:rPr>
                <w:sz w:val="20"/>
                <w:szCs w:val="20"/>
                <w:color w:val="auto"/>
              </w:rPr>
            </w:pPr>
            <w:r>
              <w:rPr>
                <w:rFonts w:ascii="Arial" w:cs="Arial" w:eastAsia="Arial" w:hAnsi="Arial"/>
                <w:sz w:val="18"/>
                <w:szCs w:val="18"/>
                <w:color w:val="auto"/>
              </w:rPr>
              <w:t>4.14</w:t>
            </w:r>
          </w:p>
        </w:tc>
        <w:tc>
          <w:tcPr>
            <w:tcW w:w="320" w:type="dxa"/>
            <w:vAlign w:val="bottom"/>
          </w:tcPr>
          <w:p>
            <w:pPr>
              <w:spacing w:after="0"/>
              <w:rPr>
                <w:sz w:val="24"/>
                <w:szCs w:val="24"/>
                <w:color w:val="auto"/>
              </w:rPr>
            </w:pPr>
          </w:p>
        </w:tc>
        <w:tc>
          <w:tcPr>
            <w:tcW w:w="10140" w:type="dxa"/>
            <w:vAlign w:val="bottom"/>
          </w:tcPr>
          <w:p>
            <w:pPr>
              <w:spacing w:after="0"/>
              <w:rPr>
                <w:sz w:val="20"/>
                <w:szCs w:val="20"/>
                <w:color w:val="auto"/>
              </w:rPr>
            </w:pPr>
            <w:r>
              <w:rPr>
                <w:rFonts w:ascii="Arial" w:cs="Arial" w:eastAsia="Arial" w:hAnsi="Arial"/>
                <w:sz w:val="18"/>
                <w:szCs w:val="18"/>
                <w:color w:val="auto"/>
                <w:w w:val="89"/>
              </w:rPr>
              <w:t>Container Management Services Agreement, dated as of December 1, 2016, by and between Maccarone Container Fund, LLC and Textainer</w:t>
            </w:r>
          </w:p>
        </w:tc>
        <w:tc>
          <w:tcPr>
            <w:tcW w:w="0" w:type="dxa"/>
            <w:vAlign w:val="bottom"/>
          </w:tcPr>
          <w:p>
            <w:pPr>
              <w:spacing w:after="0"/>
              <w:rPr>
                <w:sz w:val="1"/>
                <w:szCs w:val="1"/>
                <w:color w:val="auto"/>
              </w:rPr>
            </w:pPr>
          </w:p>
        </w:tc>
      </w:tr>
      <w:tr>
        <w:trPr>
          <w:trHeight w:val="230"/>
        </w:trPr>
        <w:tc>
          <w:tcPr>
            <w:tcW w:w="56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10140" w:type="dxa"/>
            <w:vAlign w:val="bottom"/>
          </w:tcPr>
          <w:p>
            <w:pPr>
              <w:spacing w:after="0"/>
              <w:rPr>
                <w:sz w:val="20"/>
                <w:szCs w:val="20"/>
                <w:color w:val="auto"/>
              </w:rPr>
            </w:pPr>
            <w:r>
              <w:rPr>
                <w:rFonts w:ascii="Arial" w:cs="Arial" w:eastAsia="Arial" w:hAnsi="Arial"/>
                <w:sz w:val="18"/>
                <w:szCs w:val="18"/>
                <w:color w:val="auto"/>
              </w:rPr>
              <w:t>Equipment Management Limited (17)</w:t>
            </w:r>
          </w:p>
        </w:tc>
        <w:tc>
          <w:tcPr>
            <w:tcW w:w="0" w:type="dxa"/>
            <w:vAlign w:val="bottom"/>
          </w:tcPr>
          <w:p>
            <w:pPr>
              <w:spacing w:after="0"/>
              <w:rPr>
                <w:sz w:val="1"/>
                <w:szCs w:val="1"/>
                <w:color w:val="auto"/>
              </w:rPr>
            </w:pPr>
          </w:p>
        </w:tc>
      </w:tr>
      <w:tr>
        <w:trPr>
          <w:trHeight w:val="324"/>
        </w:trPr>
        <w:tc>
          <w:tcPr>
            <w:tcW w:w="880" w:type="dxa"/>
            <w:vAlign w:val="bottom"/>
            <w:gridSpan w:val="2"/>
          </w:tcPr>
          <w:p>
            <w:pPr>
              <w:ind w:left="180"/>
              <w:spacing w:after="0"/>
              <w:rPr>
                <w:sz w:val="20"/>
                <w:szCs w:val="20"/>
                <w:color w:val="auto"/>
              </w:rPr>
            </w:pPr>
            <w:r>
              <w:rPr>
                <w:rFonts w:ascii="Arial" w:cs="Arial" w:eastAsia="Arial" w:hAnsi="Arial"/>
                <w:sz w:val="18"/>
                <w:szCs w:val="18"/>
                <w:color w:val="auto"/>
              </w:rPr>
              <w:t>8.1†</w:t>
            </w:r>
          </w:p>
        </w:tc>
        <w:tc>
          <w:tcPr>
            <w:tcW w:w="10140" w:type="dxa"/>
            <w:vAlign w:val="bottom"/>
          </w:tcPr>
          <w:p>
            <w:pPr>
              <w:spacing w:after="0"/>
              <w:rPr>
                <w:sz w:val="20"/>
                <w:szCs w:val="20"/>
                <w:color w:val="auto"/>
              </w:rPr>
            </w:pPr>
            <w:r>
              <w:rPr>
                <w:rFonts w:ascii="Arial" w:cs="Arial" w:eastAsia="Arial" w:hAnsi="Arial"/>
                <w:sz w:val="18"/>
                <w:szCs w:val="18"/>
                <w:color w:val="auto"/>
              </w:rPr>
              <w:t>Subsidiaries of the Registrant</w:t>
            </w:r>
          </w:p>
        </w:tc>
        <w:tc>
          <w:tcPr>
            <w:tcW w:w="0" w:type="dxa"/>
            <w:vAlign w:val="bottom"/>
          </w:tcPr>
          <w:p>
            <w:pPr>
              <w:spacing w:after="0"/>
              <w:rPr>
                <w:sz w:val="1"/>
                <w:szCs w:val="1"/>
                <w:color w:val="auto"/>
              </w:rPr>
            </w:pPr>
          </w:p>
        </w:tc>
      </w:tr>
      <w:tr>
        <w:trPr>
          <w:trHeight w:val="310"/>
        </w:trPr>
        <w:tc>
          <w:tcPr>
            <w:tcW w:w="880" w:type="dxa"/>
            <w:vAlign w:val="bottom"/>
            <w:gridSpan w:val="2"/>
          </w:tcPr>
          <w:p>
            <w:pPr>
              <w:jc w:val="center"/>
              <w:ind w:right="300"/>
              <w:spacing w:after="0"/>
              <w:rPr>
                <w:sz w:val="20"/>
                <w:szCs w:val="20"/>
                <w:color w:val="auto"/>
              </w:rPr>
            </w:pPr>
            <w:r>
              <w:rPr>
                <w:rFonts w:ascii="Arial" w:cs="Arial" w:eastAsia="Arial" w:hAnsi="Arial"/>
                <w:sz w:val="18"/>
                <w:szCs w:val="18"/>
                <w:color w:val="auto"/>
                <w:w w:val="93"/>
              </w:rPr>
              <w:t>12.1†</w:t>
            </w:r>
          </w:p>
        </w:tc>
        <w:tc>
          <w:tcPr>
            <w:tcW w:w="10140" w:type="dxa"/>
            <w:vAlign w:val="bottom"/>
          </w:tcPr>
          <w:p>
            <w:pPr>
              <w:spacing w:after="0"/>
              <w:rPr>
                <w:sz w:val="20"/>
                <w:szCs w:val="20"/>
                <w:color w:val="auto"/>
              </w:rPr>
            </w:pPr>
            <w:r>
              <w:rPr>
                <w:rFonts w:ascii="Arial" w:cs="Arial" w:eastAsia="Arial" w:hAnsi="Arial"/>
                <w:sz w:val="18"/>
                <w:szCs w:val="18"/>
                <w:color w:val="auto"/>
                <w:w w:val="94"/>
              </w:rPr>
              <w:t>Certification of the Chief Executive Officer required by Rule 13a-14(a) or Rule 15d-14(a) under the Securities Exchange Act of 1934, as</w:t>
            </w:r>
          </w:p>
        </w:tc>
        <w:tc>
          <w:tcPr>
            <w:tcW w:w="0" w:type="dxa"/>
            <w:vAlign w:val="bottom"/>
          </w:tcPr>
          <w:p>
            <w:pPr>
              <w:spacing w:after="0"/>
              <w:rPr>
                <w:sz w:val="1"/>
                <w:szCs w:val="1"/>
                <w:color w:val="auto"/>
              </w:rPr>
            </w:pPr>
          </w:p>
        </w:tc>
      </w:tr>
      <w:tr>
        <w:trPr>
          <w:trHeight w:val="230"/>
        </w:trPr>
        <w:tc>
          <w:tcPr>
            <w:tcW w:w="56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10140" w:type="dxa"/>
            <w:vAlign w:val="bottom"/>
          </w:tcPr>
          <w:p>
            <w:pPr>
              <w:spacing w:after="0"/>
              <w:rPr>
                <w:sz w:val="20"/>
                <w:szCs w:val="20"/>
                <w:color w:val="auto"/>
              </w:rPr>
            </w:pPr>
            <w:r>
              <w:rPr>
                <w:rFonts w:ascii="Arial" w:cs="Arial" w:eastAsia="Arial" w:hAnsi="Arial"/>
                <w:sz w:val="18"/>
                <w:szCs w:val="18"/>
                <w:color w:val="auto"/>
              </w:rPr>
              <w:t>amended, as adopted pursuant to Section 302 of the Sarbanes-Oxley Act of 2002</w:t>
            </w:r>
          </w:p>
        </w:tc>
        <w:tc>
          <w:tcPr>
            <w:tcW w:w="0" w:type="dxa"/>
            <w:vAlign w:val="bottom"/>
          </w:tcPr>
          <w:p>
            <w:pPr>
              <w:spacing w:after="0"/>
              <w:rPr>
                <w:sz w:val="1"/>
                <w:szCs w:val="1"/>
                <w:color w:val="auto"/>
              </w:rPr>
            </w:pPr>
          </w:p>
        </w:tc>
      </w:tr>
      <w:tr>
        <w:trPr>
          <w:trHeight w:val="310"/>
        </w:trPr>
        <w:tc>
          <w:tcPr>
            <w:tcW w:w="880" w:type="dxa"/>
            <w:vAlign w:val="bottom"/>
            <w:gridSpan w:val="2"/>
          </w:tcPr>
          <w:p>
            <w:pPr>
              <w:jc w:val="center"/>
              <w:ind w:right="300"/>
              <w:spacing w:after="0"/>
              <w:rPr>
                <w:sz w:val="20"/>
                <w:szCs w:val="20"/>
                <w:color w:val="auto"/>
              </w:rPr>
            </w:pPr>
            <w:r>
              <w:rPr>
                <w:rFonts w:ascii="Arial" w:cs="Arial" w:eastAsia="Arial" w:hAnsi="Arial"/>
                <w:sz w:val="18"/>
                <w:szCs w:val="18"/>
                <w:color w:val="auto"/>
                <w:w w:val="93"/>
              </w:rPr>
              <w:t>12.2†</w:t>
            </w:r>
          </w:p>
        </w:tc>
        <w:tc>
          <w:tcPr>
            <w:tcW w:w="10140" w:type="dxa"/>
            <w:vAlign w:val="bottom"/>
          </w:tcPr>
          <w:p>
            <w:pPr>
              <w:spacing w:after="0"/>
              <w:rPr>
                <w:sz w:val="20"/>
                <w:szCs w:val="20"/>
                <w:color w:val="auto"/>
              </w:rPr>
            </w:pPr>
            <w:r>
              <w:rPr>
                <w:rFonts w:ascii="Arial" w:cs="Arial" w:eastAsia="Arial" w:hAnsi="Arial"/>
                <w:sz w:val="18"/>
                <w:szCs w:val="18"/>
                <w:color w:val="auto"/>
                <w:w w:val="94"/>
              </w:rPr>
              <w:t>Certification of the Chief Financial Officer required by Rule 13a-14(a) or Rule 15d-14(a) under the Securities Exchange Act of 1934, as</w:t>
            </w:r>
          </w:p>
        </w:tc>
        <w:tc>
          <w:tcPr>
            <w:tcW w:w="0" w:type="dxa"/>
            <w:vAlign w:val="bottom"/>
          </w:tcPr>
          <w:p>
            <w:pPr>
              <w:spacing w:after="0"/>
              <w:rPr>
                <w:sz w:val="1"/>
                <w:szCs w:val="1"/>
                <w:color w:val="auto"/>
              </w:rPr>
            </w:pPr>
          </w:p>
        </w:tc>
      </w:tr>
      <w:tr>
        <w:trPr>
          <w:trHeight w:val="230"/>
        </w:trPr>
        <w:tc>
          <w:tcPr>
            <w:tcW w:w="56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10140" w:type="dxa"/>
            <w:vAlign w:val="bottom"/>
          </w:tcPr>
          <w:p>
            <w:pPr>
              <w:spacing w:after="0"/>
              <w:rPr>
                <w:sz w:val="20"/>
                <w:szCs w:val="20"/>
                <w:color w:val="auto"/>
              </w:rPr>
            </w:pPr>
            <w:r>
              <w:rPr>
                <w:rFonts w:ascii="Arial" w:cs="Arial" w:eastAsia="Arial" w:hAnsi="Arial"/>
                <w:sz w:val="18"/>
                <w:szCs w:val="18"/>
                <w:color w:val="auto"/>
              </w:rPr>
              <w:t>amended, as adopted pursuant to Section 302 of the Sarbanes-Oxley Act of 2002</w:t>
            </w:r>
          </w:p>
        </w:tc>
        <w:tc>
          <w:tcPr>
            <w:tcW w:w="0" w:type="dxa"/>
            <w:vAlign w:val="bottom"/>
          </w:tcPr>
          <w:p>
            <w:pPr>
              <w:spacing w:after="0"/>
              <w:rPr>
                <w:sz w:val="1"/>
                <w:szCs w:val="1"/>
                <w:color w:val="auto"/>
              </w:rPr>
            </w:pPr>
          </w:p>
        </w:tc>
      </w:tr>
      <w:tr>
        <w:trPr>
          <w:trHeight w:val="364"/>
        </w:trPr>
        <w:tc>
          <w:tcPr>
            <w:tcW w:w="56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0140" w:type="dxa"/>
            <w:vAlign w:val="bottom"/>
          </w:tcPr>
          <w:p>
            <w:pPr>
              <w:ind w:left="4500"/>
              <w:spacing w:after="0"/>
              <w:rPr>
                <w:sz w:val="20"/>
                <w:szCs w:val="20"/>
                <w:color w:val="auto"/>
              </w:rPr>
            </w:pPr>
            <w:r>
              <w:rPr>
                <w:rFonts w:ascii="Arial" w:cs="Arial" w:eastAsia="Arial" w:hAnsi="Arial"/>
                <w:sz w:val="18"/>
                <w:szCs w:val="18"/>
                <w:color w:val="auto"/>
              </w:rPr>
              <w:t>111</w:t>
            </w:r>
          </w:p>
        </w:tc>
        <w:tc>
          <w:tcPr>
            <w:tcW w:w="0" w:type="dxa"/>
            <w:vAlign w:val="bottom"/>
          </w:tcPr>
          <w:p>
            <w:pPr>
              <w:spacing w:after="0"/>
              <w:rPr>
                <w:sz w:val="1"/>
                <w:szCs w:val="1"/>
                <w:color w:val="auto"/>
              </w:rPr>
            </w:pPr>
          </w:p>
        </w:tc>
      </w:tr>
    </w:tbl>
    <w:p>
      <w:pPr>
        <w:sectPr>
          <w:pgSz w:w="11900" w:h="16838" w:orient="portrait"/>
          <w:cols w:equalWidth="0" w:num="1">
            <w:col w:w="11020"/>
          </w:cols>
          <w:pgMar w:left="440" w:top="270" w:right="439" w:bottom="1440" w:gutter="0" w:footer="0" w:header="0"/>
        </w:sectPr>
      </w:pPr>
    </w:p>
    <w:bookmarkStart w:id="168" w:name="page169"/>
    <w:bookmarkEnd w:id="168"/>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p>
    <w:tbl>
      <w:tblPr>
        <w:tblLayout w:type="fixed"/>
        <w:tblInd w:w="4" w:type="dxa"/>
        <w:tblCellMar>
          <w:top w:w="0" w:type="dxa"/>
          <w:left w:w="0" w:type="dxa"/>
          <w:bottom w:w="0" w:type="dxa"/>
          <w:right w:w="0" w:type="dxa"/>
        </w:tblCellMar>
      </w:tblPr>
      <w:tr>
        <w:trPr>
          <w:trHeight w:val="161"/>
        </w:trPr>
        <w:tc>
          <w:tcPr>
            <w:tcW w:w="1220" w:type="dxa"/>
            <w:vAlign w:val="bottom"/>
            <w:gridSpan w:val="2"/>
          </w:tcPr>
          <w:p>
            <w:pPr>
              <w:ind w:left="220"/>
              <w:spacing w:after="0"/>
              <w:rPr>
                <w:sz w:val="20"/>
                <w:szCs w:val="20"/>
                <w:color w:val="auto"/>
              </w:rPr>
            </w:pPr>
            <w:r>
              <w:rPr>
                <w:rFonts w:ascii="Arial" w:cs="Arial" w:eastAsia="Arial" w:hAnsi="Arial"/>
                <w:sz w:val="14"/>
                <w:szCs w:val="14"/>
                <w:b w:val="1"/>
                <w:bCs w:val="1"/>
                <w:color w:val="auto"/>
              </w:rPr>
              <w:t>Exhibit</w:t>
            </w:r>
          </w:p>
        </w:tc>
        <w:tc>
          <w:tcPr>
            <w:tcW w:w="9800" w:type="dxa"/>
            <w:vAlign w:val="bottom"/>
            <w:vMerge w:val="restart"/>
          </w:tcPr>
          <w:p>
            <w:pPr>
              <w:ind w:left="4120"/>
              <w:spacing w:after="0"/>
              <w:rPr>
                <w:sz w:val="20"/>
                <w:szCs w:val="20"/>
                <w:color w:val="auto"/>
              </w:rPr>
            </w:pPr>
            <w:r>
              <w:rPr>
                <w:rFonts w:ascii="Arial" w:cs="Arial" w:eastAsia="Arial" w:hAnsi="Arial"/>
                <w:sz w:val="14"/>
                <w:szCs w:val="14"/>
                <w:b w:val="1"/>
                <w:bCs w:val="1"/>
                <w:color w:val="auto"/>
              </w:rPr>
              <w:t>Description of Document</w:t>
            </w:r>
          </w:p>
        </w:tc>
        <w:tc>
          <w:tcPr>
            <w:tcW w:w="0" w:type="dxa"/>
            <w:vAlign w:val="bottom"/>
          </w:tcPr>
          <w:p>
            <w:pPr>
              <w:spacing w:after="0"/>
              <w:rPr>
                <w:sz w:val="1"/>
                <w:szCs w:val="1"/>
                <w:color w:val="auto"/>
              </w:rPr>
            </w:pPr>
          </w:p>
        </w:tc>
      </w:tr>
      <w:tr>
        <w:trPr>
          <w:trHeight w:val="171"/>
        </w:trPr>
        <w:tc>
          <w:tcPr>
            <w:tcW w:w="880" w:type="dxa"/>
            <w:vAlign w:val="bottom"/>
            <w:tcBorders>
              <w:bottom w:val="single" w:sz="8" w:color="auto"/>
            </w:tcBorders>
          </w:tcPr>
          <w:p>
            <w:pPr>
              <w:ind w:left="180"/>
              <w:spacing w:after="0"/>
              <w:rPr>
                <w:sz w:val="20"/>
                <w:szCs w:val="20"/>
                <w:color w:val="auto"/>
              </w:rPr>
            </w:pPr>
            <w:r>
              <w:rPr>
                <w:rFonts w:ascii="Arial" w:cs="Arial" w:eastAsia="Arial" w:hAnsi="Arial"/>
                <w:sz w:val="14"/>
                <w:szCs w:val="14"/>
                <w:b w:val="1"/>
                <w:bCs w:val="1"/>
                <w:color w:val="auto"/>
              </w:rPr>
              <w:t>Number</w:t>
            </w:r>
          </w:p>
        </w:tc>
        <w:tc>
          <w:tcPr>
            <w:tcW w:w="340" w:type="dxa"/>
            <w:vAlign w:val="bottom"/>
          </w:tcPr>
          <w:p>
            <w:pPr>
              <w:spacing w:after="0"/>
              <w:rPr>
                <w:sz w:val="14"/>
                <w:szCs w:val="14"/>
                <w:color w:val="auto"/>
              </w:rPr>
            </w:pPr>
          </w:p>
        </w:tc>
        <w:tc>
          <w:tcPr>
            <w:tcW w:w="9800" w:type="dxa"/>
            <w:vAlign w:val="bottom"/>
            <w:tcBorders>
              <w:bottom w:val="single" w:sz="8" w:color="auto"/>
            </w:tcBorders>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90"/>
        </w:trPr>
        <w:tc>
          <w:tcPr>
            <w:tcW w:w="1220" w:type="dxa"/>
            <w:vAlign w:val="bottom"/>
            <w:gridSpan w:val="2"/>
          </w:tcPr>
          <w:p>
            <w:pPr>
              <w:ind w:left="80"/>
              <w:spacing w:after="0"/>
              <w:rPr>
                <w:sz w:val="20"/>
                <w:szCs w:val="20"/>
                <w:color w:val="auto"/>
              </w:rPr>
            </w:pPr>
            <w:r>
              <w:rPr>
                <w:rFonts w:ascii="Arial" w:cs="Arial" w:eastAsia="Arial" w:hAnsi="Arial"/>
                <w:sz w:val="18"/>
                <w:szCs w:val="18"/>
                <w:color w:val="auto"/>
              </w:rPr>
              <w:t>13.1†</w:t>
            </w:r>
          </w:p>
        </w:tc>
        <w:tc>
          <w:tcPr>
            <w:tcW w:w="9800" w:type="dxa"/>
            <w:vAlign w:val="bottom"/>
          </w:tcPr>
          <w:p>
            <w:pPr>
              <w:spacing w:after="0"/>
              <w:rPr>
                <w:sz w:val="20"/>
                <w:szCs w:val="20"/>
                <w:color w:val="auto"/>
              </w:rPr>
            </w:pPr>
            <w:r>
              <w:rPr>
                <w:rFonts w:ascii="Arial" w:cs="Arial" w:eastAsia="Arial" w:hAnsi="Arial"/>
                <w:sz w:val="18"/>
                <w:szCs w:val="18"/>
                <w:color w:val="auto"/>
                <w:w w:val="92"/>
              </w:rPr>
              <w:t>Certification of the Chief Executive Officer required by Rule 13a-14(b) and Section 1350 of Chapter 63 of Title 18 of the United States</w:t>
            </w:r>
          </w:p>
        </w:tc>
        <w:tc>
          <w:tcPr>
            <w:tcW w:w="0" w:type="dxa"/>
            <w:vAlign w:val="bottom"/>
          </w:tcPr>
          <w:p>
            <w:pPr>
              <w:spacing w:after="0"/>
              <w:rPr>
                <w:sz w:val="1"/>
                <w:szCs w:val="1"/>
                <w:color w:val="auto"/>
              </w:rPr>
            </w:pPr>
          </w:p>
        </w:tc>
      </w:tr>
      <w:tr>
        <w:trPr>
          <w:trHeight w:val="230"/>
        </w:trPr>
        <w:tc>
          <w:tcPr>
            <w:tcW w:w="8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9800" w:type="dxa"/>
            <w:vAlign w:val="bottom"/>
          </w:tcPr>
          <w:p>
            <w:pPr>
              <w:spacing w:after="0"/>
              <w:rPr>
                <w:sz w:val="20"/>
                <w:szCs w:val="20"/>
                <w:color w:val="auto"/>
              </w:rPr>
            </w:pPr>
            <w:r>
              <w:rPr>
                <w:rFonts w:ascii="Arial" w:cs="Arial" w:eastAsia="Arial" w:hAnsi="Arial"/>
                <w:sz w:val="18"/>
                <w:szCs w:val="18"/>
                <w:color w:val="auto"/>
              </w:rPr>
              <w:t>Code, as adopted pursuant to Section 906 of the Sarbanes-Oxley Act of 2002</w:t>
            </w:r>
          </w:p>
        </w:tc>
        <w:tc>
          <w:tcPr>
            <w:tcW w:w="0" w:type="dxa"/>
            <w:vAlign w:val="bottom"/>
          </w:tcPr>
          <w:p>
            <w:pPr>
              <w:spacing w:after="0"/>
              <w:rPr>
                <w:sz w:val="1"/>
                <w:szCs w:val="1"/>
                <w:color w:val="auto"/>
              </w:rPr>
            </w:pPr>
          </w:p>
        </w:tc>
      </w:tr>
      <w:tr>
        <w:trPr>
          <w:trHeight w:val="310"/>
        </w:trPr>
        <w:tc>
          <w:tcPr>
            <w:tcW w:w="1220" w:type="dxa"/>
            <w:vAlign w:val="bottom"/>
            <w:gridSpan w:val="2"/>
          </w:tcPr>
          <w:p>
            <w:pPr>
              <w:ind w:left="80"/>
              <w:spacing w:after="0"/>
              <w:rPr>
                <w:sz w:val="20"/>
                <w:szCs w:val="20"/>
                <w:color w:val="auto"/>
              </w:rPr>
            </w:pPr>
            <w:r>
              <w:rPr>
                <w:rFonts w:ascii="Arial" w:cs="Arial" w:eastAsia="Arial" w:hAnsi="Arial"/>
                <w:sz w:val="18"/>
                <w:szCs w:val="18"/>
                <w:color w:val="auto"/>
              </w:rPr>
              <w:t>13.2†</w:t>
            </w:r>
          </w:p>
        </w:tc>
        <w:tc>
          <w:tcPr>
            <w:tcW w:w="9800" w:type="dxa"/>
            <w:vAlign w:val="bottom"/>
          </w:tcPr>
          <w:p>
            <w:pPr>
              <w:spacing w:after="0"/>
              <w:rPr>
                <w:sz w:val="20"/>
                <w:szCs w:val="20"/>
                <w:color w:val="auto"/>
              </w:rPr>
            </w:pPr>
            <w:r>
              <w:rPr>
                <w:rFonts w:ascii="Arial" w:cs="Arial" w:eastAsia="Arial" w:hAnsi="Arial"/>
                <w:sz w:val="18"/>
                <w:szCs w:val="18"/>
                <w:color w:val="auto"/>
                <w:w w:val="92"/>
              </w:rPr>
              <w:t>Certification of the Chief Financial Officer required by Rule 13a-14(b) and Section 1350 of Chapter 63 of Title 18 of the United States</w:t>
            </w:r>
          </w:p>
        </w:tc>
        <w:tc>
          <w:tcPr>
            <w:tcW w:w="0" w:type="dxa"/>
            <w:vAlign w:val="bottom"/>
          </w:tcPr>
          <w:p>
            <w:pPr>
              <w:spacing w:after="0"/>
              <w:rPr>
                <w:sz w:val="1"/>
                <w:szCs w:val="1"/>
                <w:color w:val="auto"/>
              </w:rPr>
            </w:pPr>
          </w:p>
        </w:tc>
      </w:tr>
      <w:tr>
        <w:trPr>
          <w:trHeight w:val="230"/>
        </w:trPr>
        <w:tc>
          <w:tcPr>
            <w:tcW w:w="8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9800" w:type="dxa"/>
            <w:vAlign w:val="bottom"/>
          </w:tcPr>
          <w:p>
            <w:pPr>
              <w:spacing w:after="0"/>
              <w:rPr>
                <w:sz w:val="20"/>
                <w:szCs w:val="20"/>
                <w:color w:val="auto"/>
              </w:rPr>
            </w:pPr>
            <w:r>
              <w:rPr>
                <w:rFonts w:ascii="Arial" w:cs="Arial" w:eastAsia="Arial" w:hAnsi="Arial"/>
                <w:sz w:val="18"/>
                <w:szCs w:val="18"/>
                <w:color w:val="auto"/>
              </w:rPr>
              <w:t>Code, as adopted pursuant to Section 906 of the Sarbanes-Oxley Act of 2002</w:t>
            </w:r>
          </w:p>
        </w:tc>
        <w:tc>
          <w:tcPr>
            <w:tcW w:w="0" w:type="dxa"/>
            <w:vAlign w:val="bottom"/>
          </w:tcPr>
          <w:p>
            <w:pPr>
              <w:spacing w:after="0"/>
              <w:rPr>
                <w:sz w:val="1"/>
                <w:szCs w:val="1"/>
                <w:color w:val="auto"/>
              </w:rPr>
            </w:pPr>
          </w:p>
        </w:tc>
      </w:tr>
      <w:tr>
        <w:trPr>
          <w:trHeight w:val="324"/>
        </w:trPr>
        <w:tc>
          <w:tcPr>
            <w:tcW w:w="1220" w:type="dxa"/>
            <w:vAlign w:val="bottom"/>
            <w:gridSpan w:val="2"/>
          </w:tcPr>
          <w:p>
            <w:pPr>
              <w:ind w:left="80"/>
              <w:spacing w:after="0"/>
              <w:rPr>
                <w:sz w:val="20"/>
                <w:szCs w:val="20"/>
                <w:color w:val="auto"/>
              </w:rPr>
            </w:pPr>
            <w:r>
              <w:rPr>
                <w:rFonts w:ascii="Arial" w:cs="Arial" w:eastAsia="Arial" w:hAnsi="Arial"/>
                <w:sz w:val="18"/>
                <w:szCs w:val="18"/>
                <w:color w:val="auto"/>
              </w:rPr>
              <w:t>15.1†</w:t>
            </w:r>
          </w:p>
        </w:tc>
        <w:tc>
          <w:tcPr>
            <w:tcW w:w="9800" w:type="dxa"/>
            <w:vAlign w:val="bottom"/>
          </w:tcPr>
          <w:p>
            <w:pPr>
              <w:spacing w:after="0"/>
              <w:rPr>
                <w:sz w:val="20"/>
                <w:szCs w:val="20"/>
                <w:color w:val="auto"/>
              </w:rPr>
            </w:pPr>
            <w:r>
              <w:rPr>
                <w:rFonts w:ascii="Arial" w:cs="Arial" w:eastAsia="Arial" w:hAnsi="Arial"/>
                <w:sz w:val="18"/>
                <w:szCs w:val="18"/>
                <w:color w:val="auto"/>
              </w:rPr>
              <w:t>Consent of KPMG LLP</w:t>
            </w:r>
          </w:p>
        </w:tc>
        <w:tc>
          <w:tcPr>
            <w:tcW w:w="0" w:type="dxa"/>
            <w:vAlign w:val="bottom"/>
          </w:tcPr>
          <w:p>
            <w:pPr>
              <w:spacing w:after="0"/>
              <w:rPr>
                <w:sz w:val="1"/>
                <w:szCs w:val="1"/>
                <w:color w:val="auto"/>
              </w:rPr>
            </w:pPr>
          </w:p>
        </w:tc>
      </w:tr>
      <w:tr>
        <w:trPr>
          <w:trHeight w:val="324"/>
        </w:trPr>
        <w:tc>
          <w:tcPr>
            <w:tcW w:w="1220" w:type="dxa"/>
            <w:vAlign w:val="bottom"/>
            <w:gridSpan w:val="2"/>
          </w:tcPr>
          <w:p>
            <w:pPr>
              <w:spacing w:after="0"/>
              <w:rPr>
                <w:sz w:val="20"/>
                <w:szCs w:val="20"/>
                <w:color w:val="auto"/>
              </w:rPr>
            </w:pPr>
            <w:r>
              <w:rPr>
                <w:rFonts w:ascii="Arial" w:cs="Arial" w:eastAsia="Arial" w:hAnsi="Arial"/>
                <w:sz w:val="18"/>
                <w:szCs w:val="18"/>
                <w:color w:val="auto"/>
              </w:rPr>
              <w:t>101.INS†</w:t>
            </w:r>
          </w:p>
        </w:tc>
        <w:tc>
          <w:tcPr>
            <w:tcW w:w="9800" w:type="dxa"/>
            <w:vAlign w:val="bottom"/>
          </w:tcPr>
          <w:p>
            <w:pPr>
              <w:spacing w:after="0"/>
              <w:rPr>
                <w:sz w:val="20"/>
                <w:szCs w:val="20"/>
                <w:color w:val="auto"/>
              </w:rPr>
            </w:pPr>
            <w:r>
              <w:rPr>
                <w:rFonts w:ascii="Arial" w:cs="Arial" w:eastAsia="Arial" w:hAnsi="Arial"/>
                <w:sz w:val="18"/>
                <w:szCs w:val="18"/>
                <w:color w:val="auto"/>
              </w:rPr>
              <w:t>Inline XBRL Instance Document</w:t>
            </w:r>
          </w:p>
        </w:tc>
        <w:tc>
          <w:tcPr>
            <w:tcW w:w="0" w:type="dxa"/>
            <w:vAlign w:val="bottom"/>
          </w:tcPr>
          <w:p>
            <w:pPr>
              <w:spacing w:after="0"/>
              <w:rPr>
                <w:sz w:val="1"/>
                <w:szCs w:val="1"/>
                <w:color w:val="auto"/>
              </w:rPr>
            </w:pPr>
          </w:p>
        </w:tc>
      </w:tr>
      <w:tr>
        <w:trPr>
          <w:trHeight w:val="324"/>
        </w:trPr>
        <w:tc>
          <w:tcPr>
            <w:tcW w:w="1220" w:type="dxa"/>
            <w:vAlign w:val="bottom"/>
            <w:gridSpan w:val="2"/>
          </w:tcPr>
          <w:p>
            <w:pPr>
              <w:spacing w:after="0"/>
              <w:rPr>
                <w:sz w:val="20"/>
                <w:szCs w:val="20"/>
                <w:color w:val="auto"/>
              </w:rPr>
            </w:pPr>
            <w:r>
              <w:rPr>
                <w:rFonts w:ascii="Arial" w:cs="Arial" w:eastAsia="Arial" w:hAnsi="Arial"/>
                <w:sz w:val="18"/>
                <w:szCs w:val="18"/>
                <w:color w:val="auto"/>
              </w:rPr>
              <w:t>101.SCH†</w:t>
            </w:r>
          </w:p>
        </w:tc>
        <w:tc>
          <w:tcPr>
            <w:tcW w:w="9800" w:type="dxa"/>
            <w:vAlign w:val="bottom"/>
          </w:tcPr>
          <w:p>
            <w:pPr>
              <w:spacing w:after="0"/>
              <w:rPr>
                <w:sz w:val="20"/>
                <w:szCs w:val="20"/>
                <w:color w:val="auto"/>
              </w:rPr>
            </w:pPr>
            <w:r>
              <w:rPr>
                <w:rFonts w:ascii="Arial" w:cs="Arial" w:eastAsia="Arial" w:hAnsi="Arial"/>
                <w:sz w:val="18"/>
                <w:szCs w:val="18"/>
                <w:color w:val="auto"/>
              </w:rPr>
              <w:t>Inline XBRL Taxonomy Extension Schema Document</w:t>
            </w:r>
          </w:p>
        </w:tc>
        <w:tc>
          <w:tcPr>
            <w:tcW w:w="0" w:type="dxa"/>
            <w:vAlign w:val="bottom"/>
          </w:tcPr>
          <w:p>
            <w:pPr>
              <w:spacing w:after="0"/>
              <w:rPr>
                <w:sz w:val="1"/>
                <w:szCs w:val="1"/>
                <w:color w:val="auto"/>
              </w:rPr>
            </w:pPr>
          </w:p>
        </w:tc>
      </w:tr>
      <w:tr>
        <w:trPr>
          <w:trHeight w:val="324"/>
        </w:trPr>
        <w:tc>
          <w:tcPr>
            <w:tcW w:w="1220" w:type="dxa"/>
            <w:vAlign w:val="bottom"/>
            <w:gridSpan w:val="2"/>
          </w:tcPr>
          <w:p>
            <w:pPr>
              <w:spacing w:after="0"/>
              <w:rPr>
                <w:sz w:val="20"/>
                <w:szCs w:val="20"/>
                <w:color w:val="auto"/>
              </w:rPr>
            </w:pPr>
            <w:r>
              <w:rPr>
                <w:rFonts w:ascii="Arial" w:cs="Arial" w:eastAsia="Arial" w:hAnsi="Arial"/>
                <w:sz w:val="18"/>
                <w:szCs w:val="18"/>
                <w:color w:val="auto"/>
              </w:rPr>
              <w:t>101.CAL†</w:t>
            </w:r>
          </w:p>
        </w:tc>
        <w:tc>
          <w:tcPr>
            <w:tcW w:w="9800" w:type="dxa"/>
            <w:vAlign w:val="bottom"/>
          </w:tcPr>
          <w:p>
            <w:pPr>
              <w:spacing w:after="0"/>
              <w:rPr>
                <w:sz w:val="20"/>
                <w:szCs w:val="20"/>
                <w:color w:val="auto"/>
              </w:rPr>
            </w:pPr>
            <w:r>
              <w:rPr>
                <w:rFonts w:ascii="Arial" w:cs="Arial" w:eastAsia="Arial" w:hAnsi="Arial"/>
                <w:sz w:val="18"/>
                <w:szCs w:val="18"/>
                <w:color w:val="auto"/>
              </w:rPr>
              <w:t>Inline XBRL Taxonomy Extension Calculation Linkbase Document</w:t>
            </w:r>
          </w:p>
        </w:tc>
        <w:tc>
          <w:tcPr>
            <w:tcW w:w="0" w:type="dxa"/>
            <w:vAlign w:val="bottom"/>
          </w:tcPr>
          <w:p>
            <w:pPr>
              <w:spacing w:after="0"/>
              <w:rPr>
                <w:sz w:val="1"/>
                <w:szCs w:val="1"/>
                <w:color w:val="auto"/>
              </w:rPr>
            </w:pPr>
          </w:p>
        </w:tc>
      </w:tr>
      <w:tr>
        <w:trPr>
          <w:trHeight w:val="324"/>
        </w:trPr>
        <w:tc>
          <w:tcPr>
            <w:tcW w:w="1220" w:type="dxa"/>
            <w:vAlign w:val="bottom"/>
            <w:gridSpan w:val="2"/>
          </w:tcPr>
          <w:p>
            <w:pPr>
              <w:spacing w:after="0"/>
              <w:rPr>
                <w:sz w:val="20"/>
                <w:szCs w:val="20"/>
                <w:color w:val="auto"/>
              </w:rPr>
            </w:pPr>
            <w:r>
              <w:rPr>
                <w:rFonts w:ascii="Arial" w:cs="Arial" w:eastAsia="Arial" w:hAnsi="Arial"/>
                <w:sz w:val="18"/>
                <w:szCs w:val="18"/>
                <w:color w:val="auto"/>
              </w:rPr>
              <w:t>101.DEF†</w:t>
            </w:r>
          </w:p>
        </w:tc>
        <w:tc>
          <w:tcPr>
            <w:tcW w:w="9800" w:type="dxa"/>
            <w:vAlign w:val="bottom"/>
          </w:tcPr>
          <w:p>
            <w:pPr>
              <w:spacing w:after="0"/>
              <w:rPr>
                <w:sz w:val="20"/>
                <w:szCs w:val="20"/>
                <w:color w:val="auto"/>
              </w:rPr>
            </w:pPr>
            <w:r>
              <w:rPr>
                <w:rFonts w:ascii="Arial" w:cs="Arial" w:eastAsia="Arial" w:hAnsi="Arial"/>
                <w:sz w:val="18"/>
                <w:szCs w:val="18"/>
                <w:color w:val="auto"/>
              </w:rPr>
              <w:t>Inline XBRL Taxonomy Definition Linkbase Document</w:t>
            </w:r>
          </w:p>
        </w:tc>
        <w:tc>
          <w:tcPr>
            <w:tcW w:w="0" w:type="dxa"/>
            <w:vAlign w:val="bottom"/>
          </w:tcPr>
          <w:p>
            <w:pPr>
              <w:spacing w:after="0"/>
              <w:rPr>
                <w:sz w:val="1"/>
                <w:szCs w:val="1"/>
                <w:color w:val="auto"/>
              </w:rPr>
            </w:pPr>
          </w:p>
        </w:tc>
      </w:tr>
      <w:tr>
        <w:trPr>
          <w:trHeight w:val="324"/>
        </w:trPr>
        <w:tc>
          <w:tcPr>
            <w:tcW w:w="1220" w:type="dxa"/>
            <w:vAlign w:val="bottom"/>
            <w:gridSpan w:val="2"/>
          </w:tcPr>
          <w:p>
            <w:pPr>
              <w:spacing w:after="0"/>
              <w:rPr>
                <w:sz w:val="20"/>
                <w:szCs w:val="20"/>
                <w:color w:val="auto"/>
              </w:rPr>
            </w:pPr>
            <w:r>
              <w:rPr>
                <w:rFonts w:ascii="Arial" w:cs="Arial" w:eastAsia="Arial" w:hAnsi="Arial"/>
                <w:sz w:val="18"/>
                <w:szCs w:val="18"/>
                <w:color w:val="auto"/>
              </w:rPr>
              <w:t>101.LAB†</w:t>
            </w:r>
          </w:p>
        </w:tc>
        <w:tc>
          <w:tcPr>
            <w:tcW w:w="9800" w:type="dxa"/>
            <w:vAlign w:val="bottom"/>
          </w:tcPr>
          <w:p>
            <w:pPr>
              <w:spacing w:after="0"/>
              <w:rPr>
                <w:sz w:val="20"/>
                <w:szCs w:val="20"/>
                <w:color w:val="auto"/>
              </w:rPr>
            </w:pPr>
            <w:r>
              <w:rPr>
                <w:rFonts w:ascii="Arial" w:cs="Arial" w:eastAsia="Arial" w:hAnsi="Arial"/>
                <w:sz w:val="18"/>
                <w:szCs w:val="18"/>
                <w:color w:val="auto"/>
              </w:rPr>
              <w:t>Inline XBRL Taxonomy Extension Label Linkbase Document</w:t>
            </w:r>
          </w:p>
        </w:tc>
        <w:tc>
          <w:tcPr>
            <w:tcW w:w="0" w:type="dxa"/>
            <w:vAlign w:val="bottom"/>
          </w:tcPr>
          <w:p>
            <w:pPr>
              <w:spacing w:after="0"/>
              <w:rPr>
                <w:sz w:val="1"/>
                <w:szCs w:val="1"/>
                <w:color w:val="auto"/>
              </w:rPr>
            </w:pPr>
          </w:p>
        </w:tc>
      </w:tr>
      <w:tr>
        <w:trPr>
          <w:trHeight w:val="324"/>
        </w:trPr>
        <w:tc>
          <w:tcPr>
            <w:tcW w:w="1220" w:type="dxa"/>
            <w:vAlign w:val="bottom"/>
            <w:gridSpan w:val="2"/>
          </w:tcPr>
          <w:p>
            <w:pPr>
              <w:spacing w:after="0"/>
              <w:rPr>
                <w:sz w:val="20"/>
                <w:szCs w:val="20"/>
                <w:color w:val="auto"/>
              </w:rPr>
            </w:pPr>
            <w:r>
              <w:rPr>
                <w:rFonts w:ascii="Arial" w:cs="Arial" w:eastAsia="Arial" w:hAnsi="Arial"/>
                <w:sz w:val="18"/>
                <w:szCs w:val="18"/>
                <w:color w:val="auto"/>
              </w:rPr>
              <w:t>101.PRE†</w:t>
            </w:r>
          </w:p>
        </w:tc>
        <w:tc>
          <w:tcPr>
            <w:tcW w:w="9800" w:type="dxa"/>
            <w:vAlign w:val="bottom"/>
          </w:tcPr>
          <w:p>
            <w:pPr>
              <w:spacing w:after="0"/>
              <w:rPr>
                <w:sz w:val="20"/>
                <w:szCs w:val="20"/>
                <w:color w:val="auto"/>
              </w:rPr>
            </w:pPr>
            <w:r>
              <w:rPr>
                <w:rFonts w:ascii="Arial" w:cs="Arial" w:eastAsia="Arial" w:hAnsi="Arial"/>
                <w:sz w:val="18"/>
                <w:szCs w:val="18"/>
                <w:color w:val="auto"/>
              </w:rPr>
              <w:t>Inline XBRL Taxonomy Extension Presentation Linkbase Document</w:t>
            </w:r>
          </w:p>
        </w:tc>
        <w:tc>
          <w:tcPr>
            <w:tcW w:w="0" w:type="dxa"/>
            <w:vAlign w:val="bottom"/>
          </w:tcPr>
          <w:p>
            <w:pPr>
              <w:spacing w:after="0"/>
              <w:rPr>
                <w:sz w:val="1"/>
                <w:szCs w:val="1"/>
                <w:color w:val="auto"/>
              </w:rPr>
            </w:pPr>
          </w:p>
        </w:tc>
      </w:tr>
      <w:tr>
        <w:trPr>
          <w:trHeight w:val="324"/>
        </w:trPr>
        <w:tc>
          <w:tcPr>
            <w:tcW w:w="880" w:type="dxa"/>
            <w:vAlign w:val="bottom"/>
          </w:tcPr>
          <w:p>
            <w:pPr>
              <w:spacing w:after="0"/>
              <w:rPr>
                <w:sz w:val="20"/>
                <w:szCs w:val="20"/>
                <w:color w:val="auto"/>
              </w:rPr>
            </w:pPr>
            <w:r>
              <w:rPr>
                <w:rFonts w:ascii="Arial" w:cs="Arial" w:eastAsia="Arial" w:hAnsi="Arial"/>
                <w:sz w:val="18"/>
                <w:szCs w:val="18"/>
                <w:color w:val="auto"/>
              </w:rPr>
              <w:t>104</w:t>
            </w:r>
          </w:p>
        </w:tc>
        <w:tc>
          <w:tcPr>
            <w:tcW w:w="340" w:type="dxa"/>
            <w:vAlign w:val="bottom"/>
          </w:tcPr>
          <w:p>
            <w:pPr>
              <w:spacing w:after="0"/>
              <w:rPr>
                <w:sz w:val="24"/>
                <w:szCs w:val="24"/>
                <w:color w:val="auto"/>
              </w:rPr>
            </w:pPr>
          </w:p>
        </w:tc>
        <w:tc>
          <w:tcPr>
            <w:tcW w:w="9800" w:type="dxa"/>
            <w:vAlign w:val="bottom"/>
          </w:tcPr>
          <w:p>
            <w:pPr>
              <w:spacing w:after="0"/>
              <w:rPr>
                <w:sz w:val="20"/>
                <w:szCs w:val="20"/>
                <w:color w:val="auto"/>
              </w:rPr>
            </w:pPr>
            <w:r>
              <w:rPr>
                <w:rFonts w:ascii="Arial" w:cs="Arial" w:eastAsia="Arial" w:hAnsi="Arial"/>
                <w:sz w:val="18"/>
                <w:szCs w:val="18"/>
                <w:color w:val="auto"/>
              </w:rPr>
              <w:t>Cover Page Interactive Data File (embedded within the Inline XBRL document)</w:t>
            </w:r>
          </w:p>
        </w:tc>
        <w:tc>
          <w:tcPr>
            <w:tcW w:w="0" w:type="dxa"/>
            <w:vAlign w:val="bottom"/>
          </w:tcPr>
          <w:p>
            <w:pPr>
              <w:spacing w:after="0"/>
              <w:rPr>
                <w:sz w:val="1"/>
                <w:szCs w:val="1"/>
                <w:color w:val="auto"/>
              </w:rPr>
            </w:pPr>
          </w:p>
        </w:tc>
      </w:tr>
    </w:tbl>
    <w:p>
      <w:pPr>
        <w:spacing w:after="0" w:line="229" w:lineRule="exact"/>
        <w:rPr>
          <w:sz w:val="20"/>
          <w:szCs w:val="20"/>
          <w:color w:val="auto"/>
        </w:rPr>
      </w:pPr>
    </w:p>
    <w:p>
      <w:pPr>
        <w:ind w:left="424" w:hanging="424"/>
        <w:spacing w:after="0"/>
        <w:tabs>
          <w:tab w:leader="none" w:pos="424" w:val="left"/>
        </w:tabs>
        <w:numPr>
          <w:ilvl w:val="0"/>
          <w:numId w:val="135"/>
        </w:numPr>
        <w:rPr>
          <w:rFonts w:ascii="Arial" w:cs="Arial" w:eastAsia="Arial" w:hAnsi="Arial"/>
          <w:sz w:val="18"/>
          <w:szCs w:val="18"/>
          <w:color w:val="auto"/>
        </w:rPr>
      </w:pPr>
      <w:r>
        <w:rPr>
          <w:rFonts w:ascii="Arial" w:cs="Arial" w:eastAsia="Arial" w:hAnsi="Arial"/>
          <w:sz w:val="18"/>
          <w:szCs w:val="18"/>
          <w:color w:val="auto"/>
        </w:rPr>
        <w:t>Filed herewith.</w:t>
      </w:r>
    </w:p>
    <w:p>
      <w:pPr>
        <w:spacing w:after="0" w:line="23" w:lineRule="exact"/>
        <w:rPr>
          <w:sz w:val="20"/>
          <w:szCs w:val="20"/>
          <w:color w:val="auto"/>
        </w:rPr>
      </w:pPr>
    </w:p>
    <w:p>
      <w:pPr>
        <w:ind w:left="424" w:hanging="424"/>
        <w:spacing w:after="0"/>
        <w:tabs>
          <w:tab w:leader="none" w:pos="424" w:val="left"/>
        </w:tabs>
        <w:numPr>
          <w:ilvl w:val="0"/>
          <w:numId w:val="136"/>
        </w:numPr>
        <w:rPr>
          <w:rFonts w:ascii="Arial" w:cs="Arial" w:eastAsia="Arial" w:hAnsi="Arial"/>
          <w:sz w:val="18"/>
          <w:szCs w:val="18"/>
          <w:color w:val="auto"/>
        </w:rPr>
      </w:pPr>
      <w:r>
        <w:rPr>
          <w:rFonts w:ascii="Arial" w:cs="Arial" w:eastAsia="Arial" w:hAnsi="Arial"/>
          <w:sz w:val="18"/>
          <w:szCs w:val="18"/>
          <w:color w:val="auto"/>
        </w:rPr>
        <w:t>Indicates management contract or compensatory plan.</w:t>
      </w:r>
    </w:p>
    <w:p>
      <w:pPr>
        <w:spacing w:after="0" w:line="9" w:lineRule="exact"/>
        <w:rPr>
          <w:sz w:val="20"/>
          <w:szCs w:val="20"/>
          <w:color w:val="auto"/>
        </w:rPr>
      </w:pPr>
    </w:p>
    <w:p>
      <w:pPr>
        <w:ind w:left="424" w:right="660" w:hanging="424"/>
        <w:spacing w:after="0" w:line="250" w:lineRule="auto"/>
        <w:tabs>
          <w:tab w:leader="none" w:pos="424" w:val="left"/>
        </w:tabs>
        <w:numPr>
          <w:ilvl w:val="0"/>
          <w:numId w:val="137"/>
        </w:numPr>
        <w:rPr>
          <w:rFonts w:ascii="Arial" w:cs="Arial" w:eastAsia="Arial" w:hAnsi="Arial"/>
          <w:sz w:val="18"/>
          <w:szCs w:val="18"/>
          <w:color w:val="auto"/>
        </w:rPr>
      </w:pPr>
      <w:r>
        <w:rPr>
          <w:rFonts w:ascii="Arial" w:cs="Arial" w:eastAsia="Arial" w:hAnsi="Arial"/>
          <w:sz w:val="18"/>
          <w:szCs w:val="18"/>
          <w:color w:val="auto"/>
        </w:rPr>
        <w:t>Incorporated by reference to Exhibit 3.1 to the Registrant’s Registration Statement on Form F-1 (File No. 333-146304) filed with the SEC on September 26, 2007.</w:t>
      </w:r>
    </w:p>
    <w:p>
      <w:pPr>
        <w:ind w:left="424" w:right="660" w:hanging="424"/>
        <w:spacing w:after="0" w:line="250" w:lineRule="auto"/>
        <w:tabs>
          <w:tab w:leader="none" w:pos="424" w:val="left"/>
        </w:tabs>
        <w:numPr>
          <w:ilvl w:val="0"/>
          <w:numId w:val="137"/>
        </w:numPr>
        <w:rPr>
          <w:rFonts w:ascii="Arial" w:cs="Arial" w:eastAsia="Arial" w:hAnsi="Arial"/>
          <w:sz w:val="18"/>
          <w:szCs w:val="18"/>
          <w:color w:val="auto"/>
        </w:rPr>
      </w:pPr>
      <w:r>
        <w:rPr>
          <w:rFonts w:ascii="Arial" w:cs="Arial" w:eastAsia="Arial" w:hAnsi="Arial"/>
          <w:sz w:val="18"/>
          <w:szCs w:val="18"/>
          <w:color w:val="auto"/>
        </w:rPr>
        <w:t>Incorporated by reference to Exhibit 3.2 to the Registrant’s Registration Statement on Form F-1 (File No. 333-146304) filed with the SEC on September 26, 2007.</w:t>
      </w:r>
    </w:p>
    <w:p>
      <w:pPr>
        <w:ind w:left="424" w:right="660" w:hanging="424"/>
        <w:spacing w:after="0" w:line="250" w:lineRule="auto"/>
        <w:tabs>
          <w:tab w:leader="none" w:pos="424" w:val="left"/>
        </w:tabs>
        <w:numPr>
          <w:ilvl w:val="0"/>
          <w:numId w:val="137"/>
        </w:numPr>
        <w:rPr>
          <w:rFonts w:ascii="Arial" w:cs="Arial" w:eastAsia="Arial" w:hAnsi="Arial"/>
          <w:sz w:val="18"/>
          <w:szCs w:val="18"/>
          <w:color w:val="auto"/>
        </w:rPr>
      </w:pPr>
      <w:r>
        <w:rPr>
          <w:rFonts w:ascii="Arial" w:cs="Arial" w:eastAsia="Arial" w:hAnsi="Arial"/>
          <w:sz w:val="18"/>
          <w:szCs w:val="18"/>
          <w:color w:val="auto"/>
        </w:rPr>
        <w:t>Incorporated by reference to Exhibit 4.1 to the Registrant’s Registration Statement on Form F-1 (File No. 333-146304) filed with the SEC on September 26, 2007.</w:t>
      </w:r>
    </w:p>
    <w:p>
      <w:pPr>
        <w:ind w:left="424" w:right="560" w:hanging="424"/>
        <w:spacing w:after="0" w:line="250" w:lineRule="auto"/>
        <w:tabs>
          <w:tab w:leader="none" w:pos="424" w:val="left"/>
        </w:tabs>
        <w:numPr>
          <w:ilvl w:val="0"/>
          <w:numId w:val="137"/>
        </w:numPr>
        <w:rPr>
          <w:rFonts w:ascii="Arial" w:cs="Arial" w:eastAsia="Arial" w:hAnsi="Arial"/>
          <w:sz w:val="18"/>
          <w:szCs w:val="18"/>
          <w:color w:val="auto"/>
        </w:rPr>
      </w:pPr>
      <w:r>
        <w:rPr>
          <w:rFonts w:ascii="Arial" w:cs="Arial" w:eastAsia="Arial" w:hAnsi="Arial"/>
          <w:sz w:val="18"/>
          <w:szCs w:val="18"/>
          <w:color w:val="auto"/>
        </w:rPr>
        <w:t>Incorporated by reference to Exhibit 10.1 to the Registrant’s Registration Statement on Form F-1 (File No. 333-146304) filed with the SEC on September 26, 2007.</w:t>
      </w:r>
    </w:p>
    <w:p>
      <w:pPr>
        <w:ind w:left="424" w:right="1020" w:hanging="424"/>
        <w:spacing w:after="0" w:line="250" w:lineRule="auto"/>
        <w:tabs>
          <w:tab w:leader="none" w:pos="424" w:val="left"/>
        </w:tabs>
        <w:numPr>
          <w:ilvl w:val="0"/>
          <w:numId w:val="137"/>
        </w:numPr>
        <w:rPr>
          <w:rFonts w:ascii="Arial" w:cs="Arial" w:eastAsia="Arial" w:hAnsi="Arial"/>
          <w:sz w:val="18"/>
          <w:szCs w:val="18"/>
          <w:color w:val="auto"/>
        </w:rPr>
      </w:pPr>
      <w:r>
        <w:rPr>
          <w:rFonts w:ascii="Arial" w:cs="Arial" w:eastAsia="Arial" w:hAnsi="Arial"/>
          <w:sz w:val="18"/>
          <w:szCs w:val="18"/>
          <w:color w:val="auto"/>
        </w:rPr>
        <w:t>Incorporated by reference to Exhibit 4.2 to the Registrant’s Annual Report on Form 20-F (File No. 001-33725) filed with the SEC on March 16, 2009.</w:t>
      </w:r>
    </w:p>
    <w:p>
      <w:pPr>
        <w:ind w:left="424" w:right="1020" w:hanging="424"/>
        <w:spacing w:after="0" w:line="250" w:lineRule="auto"/>
        <w:tabs>
          <w:tab w:leader="none" w:pos="424" w:val="left"/>
        </w:tabs>
        <w:numPr>
          <w:ilvl w:val="0"/>
          <w:numId w:val="137"/>
        </w:numPr>
        <w:rPr>
          <w:rFonts w:ascii="Arial" w:cs="Arial" w:eastAsia="Arial" w:hAnsi="Arial"/>
          <w:sz w:val="18"/>
          <w:szCs w:val="18"/>
          <w:color w:val="auto"/>
        </w:rPr>
      </w:pPr>
      <w:r>
        <w:rPr>
          <w:rFonts w:ascii="Arial" w:cs="Arial" w:eastAsia="Arial" w:hAnsi="Arial"/>
          <w:sz w:val="18"/>
          <w:szCs w:val="18"/>
          <w:color w:val="auto"/>
        </w:rPr>
        <w:t>Incorporated by reference to Exhibit 4.3 to the Registrant’s Annual Report on Form 20-F (File No. 001-33725) filed with the SEC on March 11, 2016.</w:t>
      </w:r>
    </w:p>
    <w:p>
      <w:pPr>
        <w:ind w:left="424" w:right="1020" w:hanging="424"/>
        <w:spacing w:after="0" w:line="250" w:lineRule="auto"/>
        <w:tabs>
          <w:tab w:leader="none" w:pos="424" w:val="left"/>
        </w:tabs>
        <w:numPr>
          <w:ilvl w:val="0"/>
          <w:numId w:val="137"/>
        </w:numPr>
        <w:rPr>
          <w:rFonts w:ascii="Arial" w:cs="Arial" w:eastAsia="Arial" w:hAnsi="Arial"/>
          <w:sz w:val="18"/>
          <w:szCs w:val="18"/>
          <w:color w:val="auto"/>
        </w:rPr>
      </w:pPr>
      <w:r>
        <w:rPr>
          <w:rFonts w:ascii="Arial" w:cs="Arial" w:eastAsia="Arial" w:hAnsi="Arial"/>
          <w:sz w:val="18"/>
          <w:szCs w:val="18"/>
          <w:color w:val="auto"/>
        </w:rPr>
        <w:t>Incorporated by reference to Exhibit 4.4 to the Registrant’s Annual Report on Form 20-F (File No. 001-33725) filed with the SEC on March 25, 2019.</w:t>
      </w:r>
    </w:p>
    <w:p>
      <w:pPr>
        <w:ind w:left="424" w:right="1020" w:hanging="424"/>
        <w:spacing w:after="0" w:line="250" w:lineRule="auto"/>
        <w:tabs>
          <w:tab w:leader="none" w:pos="424" w:val="left"/>
        </w:tabs>
        <w:numPr>
          <w:ilvl w:val="0"/>
          <w:numId w:val="137"/>
        </w:numPr>
        <w:rPr>
          <w:rFonts w:ascii="Arial" w:cs="Arial" w:eastAsia="Arial" w:hAnsi="Arial"/>
          <w:sz w:val="18"/>
          <w:szCs w:val="18"/>
          <w:color w:val="auto"/>
        </w:rPr>
      </w:pPr>
      <w:r>
        <w:rPr>
          <w:rFonts w:ascii="Arial" w:cs="Arial" w:eastAsia="Arial" w:hAnsi="Arial"/>
          <w:sz w:val="18"/>
          <w:szCs w:val="18"/>
          <w:color w:val="auto"/>
        </w:rPr>
        <w:t>Incorporated by reference to Exhibit 4.5 to the Registrant’s Annual Report on Form 20-F (File No. 001-33725) filed with the SEC on March 25, 2019.</w:t>
      </w:r>
    </w:p>
    <w:p>
      <w:pPr>
        <w:ind w:left="424" w:right="660" w:hanging="424"/>
        <w:spacing w:after="0" w:line="250" w:lineRule="auto"/>
        <w:tabs>
          <w:tab w:leader="none" w:pos="424" w:val="left"/>
        </w:tabs>
        <w:numPr>
          <w:ilvl w:val="0"/>
          <w:numId w:val="137"/>
        </w:numPr>
        <w:rPr>
          <w:rFonts w:ascii="Arial" w:cs="Arial" w:eastAsia="Arial" w:hAnsi="Arial"/>
          <w:sz w:val="18"/>
          <w:szCs w:val="18"/>
          <w:color w:val="auto"/>
        </w:rPr>
      </w:pPr>
      <w:r>
        <w:rPr>
          <w:rFonts w:ascii="Arial" w:cs="Arial" w:eastAsia="Arial" w:hAnsi="Arial"/>
          <w:sz w:val="18"/>
          <w:szCs w:val="18"/>
          <w:color w:val="auto"/>
        </w:rPr>
        <w:t>Incorporated by reference to Exhibit 4.4 to the Registrant’s Registration Statement on Form S-8 (File No. 333-233323) filed with the SEC on August 16, 2019.</w:t>
      </w:r>
    </w:p>
    <w:p>
      <w:pPr>
        <w:ind w:left="424" w:right="560" w:hanging="424"/>
        <w:spacing w:after="0" w:line="250" w:lineRule="auto"/>
        <w:tabs>
          <w:tab w:leader="none" w:pos="424" w:val="left"/>
        </w:tabs>
        <w:numPr>
          <w:ilvl w:val="0"/>
          <w:numId w:val="137"/>
        </w:numPr>
        <w:rPr>
          <w:rFonts w:ascii="Arial" w:cs="Arial" w:eastAsia="Arial" w:hAnsi="Arial"/>
          <w:sz w:val="18"/>
          <w:szCs w:val="18"/>
          <w:color w:val="auto"/>
        </w:rPr>
      </w:pPr>
      <w:r>
        <w:rPr>
          <w:rFonts w:ascii="Arial" w:cs="Arial" w:eastAsia="Arial" w:hAnsi="Arial"/>
          <w:sz w:val="18"/>
          <w:szCs w:val="18"/>
          <w:color w:val="auto"/>
        </w:rPr>
        <w:t>Incorporated by reference to Exhibit 10.8 to the Registrant’s Registration Statement on Form F-1 (File No. 333-146304) filed with the SEC on September 26, 2007.</w:t>
      </w:r>
    </w:p>
    <w:p>
      <w:pPr>
        <w:ind w:left="424" w:right="920" w:hanging="424"/>
        <w:spacing w:after="0" w:line="250" w:lineRule="auto"/>
        <w:tabs>
          <w:tab w:leader="none" w:pos="424" w:val="left"/>
        </w:tabs>
        <w:numPr>
          <w:ilvl w:val="0"/>
          <w:numId w:val="137"/>
        </w:numPr>
        <w:rPr>
          <w:rFonts w:ascii="Arial" w:cs="Arial" w:eastAsia="Arial" w:hAnsi="Arial"/>
          <w:sz w:val="18"/>
          <w:szCs w:val="18"/>
          <w:color w:val="auto"/>
        </w:rPr>
      </w:pPr>
      <w:r>
        <w:rPr>
          <w:rFonts w:ascii="Arial" w:cs="Arial" w:eastAsia="Arial" w:hAnsi="Arial"/>
          <w:sz w:val="18"/>
          <w:szCs w:val="18"/>
          <w:color w:val="auto"/>
        </w:rPr>
        <w:t>Incorporated by reference to Exhibit 4.10 to the Registrant’s Annual Report on Form 20-F (File No. 001-33725) filed with the SEC on March 15, 2012.</w:t>
      </w:r>
    </w:p>
    <w:p>
      <w:pPr>
        <w:ind w:left="424" w:right="1020" w:hanging="424"/>
        <w:spacing w:after="0" w:line="250" w:lineRule="auto"/>
        <w:tabs>
          <w:tab w:leader="none" w:pos="424" w:val="left"/>
        </w:tabs>
        <w:numPr>
          <w:ilvl w:val="0"/>
          <w:numId w:val="137"/>
        </w:numPr>
        <w:rPr>
          <w:rFonts w:ascii="Arial" w:cs="Arial" w:eastAsia="Arial" w:hAnsi="Arial"/>
          <w:sz w:val="18"/>
          <w:szCs w:val="18"/>
          <w:color w:val="auto"/>
        </w:rPr>
      </w:pPr>
      <w:r>
        <w:rPr>
          <w:rFonts w:ascii="Arial" w:cs="Arial" w:eastAsia="Arial" w:hAnsi="Arial"/>
          <w:sz w:val="18"/>
          <w:szCs w:val="18"/>
          <w:color w:val="auto"/>
        </w:rPr>
        <w:t>Incorporated by reference to Exhibit 4.9 to the Registrant’s Annual Report on Form 20-F (File No. 001-33725) filed with the SEC on March 25, 2019.</w:t>
      </w:r>
    </w:p>
    <w:p>
      <w:pPr>
        <w:ind w:left="424" w:right="920" w:hanging="424"/>
        <w:spacing w:after="0" w:line="250" w:lineRule="auto"/>
        <w:tabs>
          <w:tab w:leader="none" w:pos="424" w:val="left"/>
        </w:tabs>
        <w:numPr>
          <w:ilvl w:val="0"/>
          <w:numId w:val="137"/>
        </w:numPr>
        <w:rPr>
          <w:rFonts w:ascii="Arial" w:cs="Arial" w:eastAsia="Arial" w:hAnsi="Arial"/>
          <w:sz w:val="18"/>
          <w:szCs w:val="18"/>
          <w:color w:val="auto"/>
        </w:rPr>
      </w:pPr>
      <w:r>
        <w:rPr>
          <w:rFonts w:ascii="Arial" w:cs="Arial" w:eastAsia="Arial" w:hAnsi="Arial"/>
          <w:sz w:val="18"/>
          <w:szCs w:val="18"/>
          <w:color w:val="auto"/>
        </w:rPr>
        <w:t>Incorporated by reference to Exhibit 4.10 to the Registrant’s Annual Report on Form 20-F (File No. 001-33725) filed with the SEC on March 25, 2019.</w:t>
      </w:r>
    </w:p>
    <w:p>
      <w:pPr>
        <w:ind w:left="424" w:right="920" w:hanging="424"/>
        <w:spacing w:after="0" w:line="250" w:lineRule="auto"/>
        <w:tabs>
          <w:tab w:leader="none" w:pos="424" w:val="left"/>
        </w:tabs>
        <w:numPr>
          <w:ilvl w:val="0"/>
          <w:numId w:val="137"/>
        </w:numPr>
        <w:rPr>
          <w:rFonts w:ascii="Arial" w:cs="Arial" w:eastAsia="Arial" w:hAnsi="Arial"/>
          <w:sz w:val="18"/>
          <w:szCs w:val="18"/>
          <w:color w:val="auto"/>
        </w:rPr>
      </w:pPr>
      <w:r>
        <w:rPr>
          <w:rFonts w:ascii="Arial" w:cs="Arial" w:eastAsia="Arial" w:hAnsi="Arial"/>
          <w:sz w:val="18"/>
          <w:szCs w:val="18"/>
          <w:color w:val="auto"/>
        </w:rPr>
        <w:t>Incorporated by reference to Exhibit 4.11 to the Registrant’s Annual Report on Form 20-F (File No. 001-33725) filed with the SEC on March 25, 2019.</w:t>
      </w:r>
    </w:p>
    <w:p>
      <w:pPr>
        <w:ind w:left="424" w:right="920" w:hanging="424"/>
        <w:spacing w:after="0" w:line="250" w:lineRule="auto"/>
        <w:tabs>
          <w:tab w:leader="none" w:pos="424" w:val="left"/>
        </w:tabs>
        <w:numPr>
          <w:ilvl w:val="0"/>
          <w:numId w:val="137"/>
        </w:numPr>
        <w:rPr>
          <w:rFonts w:ascii="Arial" w:cs="Arial" w:eastAsia="Arial" w:hAnsi="Arial"/>
          <w:sz w:val="18"/>
          <w:szCs w:val="18"/>
          <w:color w:val="auto"/>
        </w:rPr>
      </w:pPr>
      <w:r>
        <w:rPr>
          <w:rFonts w:ascii="Arial" w:cs="Arial" w:eastAsia="Arial" w:hAnsi="Arial"/>
          <w:sz w:val="18"/>
          <w:szCs w:val="18"/>
          <w:color w:val="auto"/>
        </w:rPr>
        <w:t>Incorporated by reference to Exhibit 4.12 to the Registrant’s Annual Report on Form 20-F (File No. 001-33725) filed with the SEC on March 30, 2020.</w:t>
      </w:r>
    </w:p>
    <w:p>
      <w:pPr>
        <w:ind w:left="424" w:right="920" w:hanging="424"/>
        <w:spacing w:after="0" w:line="250" w:lineRule="auto"/>
        <w:tabs>
          <w:tab w:leader="none" w:pos="424" w:val="left"/>
        </w:tabs>
        <w:numPr>
          <w:ilvl w:val="0"/>
          <w:numId w:val="137"/>
        </w:numPr>
        <w:rPr>
          <w:rFonts w:ascii="Arial" w:cs="Arial" w:eastAsia="Arial" w:hAnsi="Arial"/>
          <w:sz w:val="18"/>
          <w:szCs w:val="18"/>
          <w:color w:val="auto"/>
        </w:rPr>
      </w:pPr>
      <w:r>
        <w:rPr>
          <w:rFonts w:ascii="Arial" w:cs="Arial" w:eastAsia="Arial" w:hAnsi="Arial"/>
          <w:sz w:val="18"/>
          <w:szCs w:val="18"/>
          <w:color w:val="auto"/>
        </w:rPr>
        <w:t>Incorporated by reference to Exhibit 4.13 to the Registrant’s Annual Report on Form 20-F (File No. 001-33725) filed with the SEC on March 30, 2020.</w:t>
      </w:r>
    </w:p>
    <w:p>
      <w:pPr>
        <w:ind w:left="424" w:right="920" w:hanging="424"/>
        <w:spacing w:after="0" w:line="260" w:lineRule="auto"/>
        <w:tabs>
          <w:tab w:leader="none" w:pos="424" w:val="left"/>
        </w:tabs>
        <w:numPr>
          <w:ilvl w:val="0"/>
          <w:numId w:val="137"/>
        </w:numPr>
        <w:rPr>
          <w:rFonts w:ascii="Arial" w:cs="Arial" w:eastAsia="Arial" w:hAnsi="Arial"/>
          <w:sz w:val="18"/>
          <w:szCs w:val="18"/>
          <w:color w:val="auto"/>
        </w:rPr>
      </w:pPr>
      <w:r>
        <w:rPr>
          <w:rFonts w:ascii="Arial" w:cs="Arial" w:eastAsia="Arial" w:hAnsi="Arial"/>
          <w:sz w:val="18"/>
          <w:szCs w:val="18"/>
          <w:color w:val="auto"/>
        </w:rPr>
        <w:t>Incorporated by reference to Exhibit 4.21 to the Registrant’s Annual Report on Form 20-F (File No. 001-33725) filed with the SEC on March 27, 2017.</w:t>
      </w:r>
    </w:p>
    <w:p>
      <w:pPr>
        <w:spacing w:after="0" w:line="118"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112</w:t>
      </w:r>
    </w:p>
    <w:p>
      <w:pPr>
        <w:sectPr>
          <w:pgSz w:w="11900" w:h="16838" w:orient="portrait"/>
          <w:cols w:equalWidth="0" w:num="1">
            <w:col w:w="11024"/>
          </w:cols>
          <w:pgMar w:left="436" w:top="253" w:right="439" w:bottom="1440" w:gutter="0" w:footer="0" w:header="0"/>
        </w:sectPr>
      </w:pPr>
    </w:p>
    <w:bookmarkStart w:id="169" w:name="page170"/>
    <w:bookmarkEnd w:id="169"/>
    <w:p>
      <w:pPr>
        <w:jc w:val="center"/>
        <w:ind w:right="-27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7174865" cy="38735"/>
                    </a:xfrm>
                    <a:prstGeom prst="rect">
                      <a:avLst/>
                    </a:prstGeom>
                    <a:noFill/>
                  </pic:spPr>
                </pic:pic>
              </a:graphicData>
            </a:graphic>
          </wp:anchor>
        </w:drawing>
        <w:t>SIGNATURES</w:t>
      </w:r>
    </w:p>
    <w:p>
      <w:pPr>
        <w:spacing w:after="0" w:line="229" w:lineRule="exact"/>
        <w:rPr>
          <w:sz w:val="20"/>
          <w:szCs w:val="20"/>
          <w:color w:val="auto"/>
        </w:rPr>
      </w:pPr>
    </w:p>
    <w:p>
      <w:pPr>
        <w:ind w:right="480" w:firstLine="440"/>
        <w:spacing w:after="0" w:line="277" w:lineRule="auto"/>
        <w:rPr>
          <w:sz w:val="20"/>
          <w:szCs w:val="20"/>
          <w:color w:val="auto"/>
        </w:rPr>
      </w:pPr>
      <w:r>
        <w:rPr>
          <w:rFonts w:ascii="Arial" w:cs="Arial" w:eastAsia="Arial" w:hAnsi="Arial"/>
          <w:sz w:val="18"/>
          <w:szCs w:val="18"/>
          <w:color w:val="auto"/>
        </w:rPr>
        <w:t>The registrant hereby certifies that it meets all of the requirements for filing on Form 20-F and that it has duly caused and authorized the undersigned to sign this Annual Report on its behalf.</w:t>
      </w:r>
    </w:p>
    <w:p>
      <w:pPr>
        <w:spacing w:after="0" w:line="197"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Textainer Group Holdings Limited</w:t>
      </w:r>
    </w:p>
    <w:p>
      <w:pPr>
        <w:spacing w:after="0" w:line="225" w:lineRule="exact"/>
        <w:rPr>
          <w:sz w:val="20"/>
          <w:szCs w:val="20"/>
          <w:color w:val="auto"/>
        </w:rPr>
      </w:pPr>
    </w:p>
    <w:p>
      <w:pPr>
        <w:ind w:left="8020"/>
        <w:spacing w:after="0"/>
        <w:rPr>
          <w:sz w:val="20"/>
          <w:szCs w:val="20"/>
          <w:color w:val="auto"/>
        </w:rPr>
      </w:pPr>
      <w:r>
        <w:rPr>
          <w:rFonts w:ascii="Arial" w:cs="Arial" w:eastAsia="Arial" w:hAnsi="Arial"/>
          <w:sz w:val="18"/>
          <w:szCs w:val="18"/>
          <w:color w:val="auto"/>
        </w:rPr>
        <w:t>/s/ Olivier Ghesquiere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4197985</wp:posOffset>
            </wp:positionH>
            <wp:positionV relativeFrom="paragraph">
              <wp:posOffset>14605</wp:posOffset>
            </wp:positionV>
            <wp:extent cx="2794635" cy="825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2794635" cy="8255"/>
                    </a:xfrm>
                    <a:prstGeom prst="rect">
                      <a:avLst/>
                    </a:prstGeom>
                    <a:noFill/>
                  </pic:spPr>
                </pic:pic>
              </a:graphicData>
            </a:graphic>
          </wp:anchor>
        </w:drawing>
      </w:r>
    </w:p>
    <w:p>
      <w:pPr>
        <w:spacing w:after="0" w:line="16" w:lineRule="exact"/>
        <w:rPr>
          <w:sz w:val="20"/>
          <w:szCs w:val="20"/>
          <w:color w:val="auto"/>
        </w:rPr>
      </w:pPr>
    </w:p>
    <w:p>
      <w:pPr>
        <w:ind w:left="8120"/>
        <w:spacing w:after="0"/>
        <w:rPr>
          <w:sz w:val="20"/>
          <w:szCs w:val="20"/>
          <w:color w:val="auto"/>
        </w:rPr>
      </w:pPr>
      <w:r>
        <w:rPr>
          <w:rFonts w:ascii="Arial" w:cs="Arial" w:eastAsia="Arial" w:hAnsi="Arial"/>
          <w:sz w:val="18"/>
          <w:szCs w:val="18"/>
          <w:color w:val="auto"/>
        </w:rPr>
        <w:t>Olivier Ghesquiere</w:t>
      </w:r>
    </w:p>
    <w:p>
      <w:pPr>
        <w:spacing w:after="0" w:line="23" w:lineRule="exact"/>
        <w:rPr>
          <w:sz w:val="20"/>
          <w:szCs w:val="20"/>
          <w:color w:val="auto"/>
        </w:rPr>
      </w:pPr>
    </w:p>
    <w:p>
      <w:pPr>
        <w:jc w:val="center"/>
        <w:ind w:left="6600"/>
        <w:spacing w:after="0"/>
        <w:rPr>
          <w:sz w:val="20"/>
          <w:szCs w:val="20"/>
          <w:color w:val="auto"/>
        </w:rPr>
      </w:pPr>
      <w:r>
        <w:rPr>
          <w:rFonts w:ascii="Arial" w:cs="Arial" w:eastAsia="Arial" w:hAnsi="Arial"/>
          <w:sz w:val="18"/>
          <w:szCs w:val="18"/>
          <w:color w:val="auto"/>
        </w:rPr>
        <w:t>President and Chief Executive Officer</w:t>
      </w:r>
    </w:p>
    <w:p>
      <w:pPr>
        <w:spacing w:after="0" w:line="224" w:lineRule="exact"/>
        <w:rPr>
          <w:sz w:val="20"/>
          <w:szCs w:val="20"/>
          <w:color w:val="auto"/>
        </w:rPr>
      </w:pPr>
    </w:p>
    <w:p>
      <w:pPr>
        <w:jc w:val="center"/>
        <w:ind w:left="6600"/>
        <w:spacing w:after="0"/>
        <w:rPr>
          <w:sz w:val="20"/>
          <w:szCs w:val="20"/>
          <w:color w:val="auto"/>
        </w:rPr>
      </w:pPr>
      <w:r>
        <w:rPr>
          <w:rFonts w:ascii="Arial" w:cs="Arial" w:eastAsia="Arial" w:hAnsi="Arial"/>
          <w:sz w:val="18"/>
          <w:szCs w:val="18"/>
          <w:color w:val="auto"/>
        </w:rPr>
        <w:t>/s/ Michael K. Chan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4197985</wp:posOffset>
            </wp:positionH>
            <wp:positionV relativeFrom="paragraph">
              <wp:posOffset>14605</wp:posOffset>
            </wp:positionV>
            <wp:extent cx="2794635" cy="825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2794635" cy="8255"/>
                    </a:xfrm>
                    <a:prstGeom prst="rect">
                      <a:avLst/>
                    </a:prstGeom>
                    <a:noFill/>
                  </pic:spPr>
                </pic:pic>
              </a:graphicData>
            </a:graphic>
          </wp:anchor>
        </w:drawing>
      </w:r>
    </w:p>
    <w:p>
      <w:pPr>
        <w:spacing w:after="0" w:line="3" w:lineRule="exact"/>
        <w:rPr>
          <w:sz w:val="20"/>
          <w:szCs w:val="20"/>
          <w:color w:val="auto"/>
        </w:rPr>
      </w:pPr>
    </w:p>
    <w:p>
      <w:pPr>
        <w:jc w:val="center"/>
        <w:ind w:left="6600"/>
        <w:spacing w:after="0"/>
        <w:rPr>
          <w:sz w:val="20"/>
          <w:szCs w:val="20"/>
          <w:color w:val="auto"/>
        </w:rPr>
      </w:pPr>
      <w:r>
        <w:rPr>
          <w:rFonts w:ascii="Arial" w:cs="Arial" w:eastAsia="Arial" w:hAnsi="Arial"/>
          <w:sz w:val="18"/>
          <w:szCs w:val="18"/>
          <w:color w:val="auto"/>
        </w:rPr>
        <w:t>Michael K. Chan</w:t>
      </w:r>
    </w:p>
    <w:p>
      <w:pPr>
        <w:spacing w:after="0" w:line="23" w:lineRule="exact"/>
        <w:rPr>
          <w:sz w:val="20"/>
          <w:szCs w:val="20"/>
          <w:color w:val="auto"/>
        </w:rPr>
      </w:pPr>
    </w:p>
    <w:p>
      <w:pPr>
        <w:jc w:val="center"/>
        <w:ind w:left="6600"/>
        <w:spacing w:after="0"/>
        <w:rPr>
          <w:sz w:val="20"/>
          <w:szCs w:val="20"/>
          <w:color w:val="auto"/>
        </w:rPr>
      </w:pPr>
      <w:r>
        <w:rPr>
          <w:rFonts w:ascii="Arial" w:cs="Arial" w:eastAsia="Arial" w:hAnsi="Arial"/>
          <w:sz w:val="16"/>
          <w:szCs w:val="16"/>
          <w:color w:val="auto"/>
        </w:rPr>
        <w:t>Executive Vice President and Chief Financial Officer</w:t>
      </w:r>
    </w:p>
    <w:p>
      <w:pPr>
        <w:spacing w:after="0" w:line="247" w:lineRule="exact"/>
        <w:rPr>
          <w:sz w:val="20"/>
          <w:szCs w:val="20"/>
          <w:color w:val="auto"/>
        </w:rPr>
      </w:pPr>
    </w:p>
    <w:p>
      <w:pPr>
        <w:spacing w:after="0"/>
        <w:rPr>
          <w:sz w:val="20"/>
          <w:szCs w:val="20"/>
          <w:color w:val="auto"/>
        </w:rPr>
      </w:pPr>
      <w:r>
        <w:rPr>
          <w:rFonts w:ascii="Arial" w:cs="Arial" w:eastAsia="Arial" w:hAnsi="Arial"/>
          <w:sz w:val="18"/>
          <w:szCs w:val="18"/>
          <w:color w:val="auto"/>
        </w:rPr>
        <w:t>March 18, 2021</w:t>
      </w:r>
    </w:p>
    <w:p>
      <w:pPr>
        <w:spacing w:after="0" w:line="158" w:lineRule="exact"/>
        <w:rPr>
          <w:sz w:val="20"/>
          <w:szCs w:val="20"/>
          <w:color w:val="auto"/>
        </w:rPr>
      </w:pPr>
    </w:p>
    <w:p>
      <w:pPr>
        <w:jc w:val="center"/>
        <w:ind w:right="-279"/>
        <w:spacing w:after="0"/>
        <w:rPr>
          <w:sz w:val="20"/>
          <w:szCs w:val="20"/>
          <w:color w:val="auto"/>
        </w:rPr>
      </w:pPr>
      <w:r>
        <w:rPr>
          <w:rFonts w:ascii="Arial" w:cs="Arial" w:eastAsia="Arial" w:hAnsi="Arial"/>
          <w:sz w:val="18"/>
          <w:szCs w:val="18"/>
          <w:color w:val="auto"/>
        </w:rPr>
        <w:t>113</w:t>
      </w:r>
    </w:p>
    <w:p>
      <w:pPr>
        <w:sectPr>
          <w:pgSz w:w="11900" w:h="16838" w:orient="portrait"/>
          <w:cols w:equalWidth="0" w:num="1">
            <w:col w:w="10720"/>
          </w:cols>
          <w:pgMar w:left="440" w:top="270" w:right="739" w:bottom="1440" w:gutter="0" w:footer="0" w:header="0"/>
        </w:sectPr>
      </w:pPr>
    </w:p>
    <w:bookmarkStart w:id="170" w:name="page171"/>
    <w:bookmarkEnd w:id="170"/>
    <w:p>
      <w:pPr>
        <w:ind w:left="4"/>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CORPORATE INFORMATION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111760</wp:posOffset>
            </wp:positionV>
            <wp:extent cx="6995160" cy="2603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6995160" cy="26035"/>
                    </a:xfrm>
                    <a:prstGeom prst="rect">
                      <a:avLst/>
                    </a:prstGeom>
                    <a:noFill/>
                  </pic:spPr>
                </pic:pic>
              </a:graphicData>
            </a:graphic>
          </wp:anchor>
        </w:drawing>
      </w:r>
    </w:p>
    <w:p>
      <w:pPr>
        <w:spacing w:after="0" w:line="327" w:lineRule="exact"/>
        <w:rPr>
          <w:sz w:val="20"/>
          <w:szCs w:val="20"/>
          <w:color w:val="auto"/>
        </w:rPr>
      </w:pPr>
    </w:p>
    <w:tbl>
      <w:tblPr>
        <w:tblLayout w:type="fixed"/>
        <w:tblInd w:w="4" w:type="dxa"/>
        <w:tblCellMar>
          <w:top w:w="0" w:type="dxa"/>
          <w:left w:w="0" w:type="dxa"/>
          <w:bottom w:w="0" w:type="dxa"/>
          <w:right w:w="0" w:type="dxa"/>
        </w:tblCellMar>
      </w:tblPr>
      <w:tr>
        <w:trPr>
          <w:trHeight w:val="234"/>
        </w:trPr>
        <w:tc>
          <w:tcPr>
            <w:tcW w:w="3080" w:type="dxa"/>
            <w:vAlign w:val="bottom"/>
          </w:tcPr>
          <w:p>
            <w:pPr>
              <w:spacing w:after="0"/>
              <w:rPr>
                <w:sz w:val="20"/>
                <w:szCs w:val="20"/>
                <w:color w:val="auto"/>
              </w:rPr>
            </w:pPr>
            <w:r>
              <w:rPr>
                <w:rFonts w:ascii="Arial" w:cs="Arial" w:eastAsia="Arial" w:hAnsi="Arial"/>
                <w:sz w:val="18"/>
                <w:szCs w:val="18"/>
                <w:b w:val="1"/>
                <w:bCs w:val="1"/>
                <w:color w:val="auto"/>
              </w:rPr>
              <w:t>BOARD OF DIRECTORS</w:t>
            </w:r>
          </w:p>
        </w:tc>
        <w:tc>
          <w:tcPr>
            <w:tcW w:w="4800" w:type="dxa"/>
            <w:vAlign w:val="bottom"/>
          </w:tcPr>
          <w:p>
            <w:pPr>
              <w:ind w:left="340"/>
              <w:spacing w:after="0"/>
              <w:rPr>
                <w:sz w:val="20"/>
                <w:szCs w:val="20"/>
                <w:color w:val="auto"/>
              </w:rPr>
            </w:pPr>
            <w:r>
              <w:rPr>
                <w:rFonts w:ascii="Arial" w:cs="Arial" w:eastAsia="Arial" w:hAnsi="Arial"/>
                <w:sz w:val="18"/>
                <w:szCs w:val="18"/>
                <w:b w:val="1"/>
                <w:bCs w:val="1"/>
                <w:color w:val="auto"/>
              </w:rPr>
              <w:t>OFFICERS</w:t>
            </w:r>
          </w:p>
        </w:tc>
        <w:tc>
          <w:tcPr>
            <w:tcW w:w="50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2"/>
        </w:trPr>
        <w:tc>
          <w:tcPr>
            <w:tcW w:w="3080" w:type="dxa"/>
            <w:vAlign w:val="bottom"/>
            <w:tcBorders>
              <w:bottom w:val="single" w:sz="8" w:color="auto"/>
            </w:tcBorders>
          </w:tcPr>
          <w:p>
            <w:pPr>
              <w:spacing w:after="0"/>
              <w:rPr>
                <w:sz w:val="12"/>
                <w:szCs w:val="12"/>
                <w:color w:val="auto"/>
              </w:rPr>
            </w:pPr>
          </w:p>
        </w:tc>
        <w:tc>
          <w:tcPr>
            <w:tcW w:w="4800" w:type="dxa"/>
            <w:vAlign w:val="bottom"/>
            <w:tcBorders>
              <w:bottom w:val="single" w:sz="8" w:color="auto"/>
            </w:tcBorders>
          </w:tcPr>
          <w:p>
            <w:pPr>
              <w:spacing w:after="0"/>
              <w:rPr>
                <w:sz w:val="12"/>
                <w:szCs w:val="12"/>
                <w:color w:val="auto"/>
              </w:rPr>
            </w:pPr>
          </w:p>
        </w:tc>
        <w:tc>
          <w:tcPr>
            <w:tcW w:w="500" w:type="dxa"/>
            <w:vAlign w:val="bottom"/>
            <w:tcBorders>
              <w:bottom w:val="single" w:sz="8" w:color="auto"/>
            </w:tcBorders>
          </w:tcPr>
          <w:p>
            <w:pPr>
              <w:spacing w:after="0"/>
              <w:rPr>
                <w:sz w:val="12"/>
                <w:szCs w:val="12"/>
                <w:color w:val="auto"/>
              </w:rPr>
            </w:pPr>
          </w:p>
        </w:tc>
        <w:tc>
          <w:tcPr>
            <w:tcW w:w="780" w:type="dxa"/>
            <w:vAlign w:val="bottom"/>
            <w:tcBorders>
              <w:bottom w:val="single" w:sz="8" w:color="auto"/>
            </w:tcBorders>
          </w:tcPr>
          <w:p>
            <w:pPr>
              <w:spacing w:after="0"/>
              <w:rPr>
                <w:sz w:val="12"/>
                <w:szCs w:val="12"/>
                <w:color w:val="auto"/>
              </w:rPr>
            </w:pPr>
          </w:p>
        </w:tc>
        <w:tc>
          <w:tcPr>
            <w:tcW w:w="740" w:type="dxa"/>
            <w:vAlign w:val="bottom"/>
            <w:tcBorders>
              <w:bottom w:val="single" w:sz="8" w:color="auto"/>
            </w:tcBorders>
          </w:tcPr>
          <w:p>
            <w:pPr>
              <w:spacing w:after="0"/>
              <w:rPr>
                <w:sz w:val="12"/>
                <w:szCs w:val="12"/>
                <w:color w:val="auto"/>
              </w:rPr>
            </w:pPr>
          </w:p>
        </w:tc>
        <w:tc>
          <w:tcPr>
            <w:tcW w:w="820" w:type="dxa"/>
            <w:vAlign w:val="bottom"/>
            <w:tcBorders>
              <w:bottom w:val="single" w:sz="8" w:color="auto"/>
            </w:tcBorders>
          </w:tcPr>
          <w:p>
            <w:pPr>
              <w:spacing w:after="0"/>
              <w:rPr>
                <w:sz w:val="12"/>
                <w:szCs w:val="12"/>
                <w:color w:val="auto"/>
              </w:rPr>
            </w:pPr>
          </w:p>
        </w:tc>
        <w:tc>
          <w:tcPr>
            <w:tcW w:w="300" w:type="dxa"/>
            <w:vAlign w:val="bottom"/>
            <w:tcBorders>
              <w:bottom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76"/>
        </w:trPr>
        <w:tc>
          <w:tcPr>
            <w:tcW w:w="3080" w:type="dxa"/>
            <w:vAlign w:val="bottom"/>
          </w:tcPr>
          <w:p>
            <w:pPr>
              <w:spacing w:after="0" w:line="176" w:lineRule="exact"/>
              <w:rPr>
                <w:sz w:val="20"/>
                <w:szCs w:val="20"/>
                <w:color w:val="auto"/>
              </w:rPr>
            </w:pPr>
            <w:r>
              <w:rPr>
                <w:rFonts w:ascii="Arial" w:cs="Arial" w:eastAsia="Arial" w:hAnsi="Arial"/>
                <w:sz w:val="18"/>
                <w:szCs w:val="18"/>
                <w:b w:val="1"/>
                <w:bCs w:val="1"/>
                <w:color w:val="auto"/>
              </w:rPr>
              <w:t xml:space="preserve">Hyman Shwiel </w:t>
            </w:r>
            <w:r>
              <w:rPr>
                <w:rFonts w:ascii="Arial" w:cs="Arial" w:eastAsia="Arial" w:hAnsi="Arial"/>
                <w:sz w:val="15"/>
                <w:szCs w:val="15"/>
                <w:b w:val="1"/>
                <w:bCs w:val="1"/>
                <w:color w:val="auto"/>
              </w:rPr>
              <w:t>(1) (2) (3)</w:t>
            </w:r>
          </w:p>
        </w:tc>
        <w:tc>
          <w:tcPr>
            <w:tcW w:w="4800" w:type="dxa"/>
            <w:vAlign w:val="bottom"/>
          </w:tcPr>
          <w:p>
            <w:pPr>
              <w:ind w:left="340"/>
              <w:spacing w:after="0" w:line="176" w:lineRule="exact"/>
              <w:rPr>
                <w:sz w:val="20"/>
                <w:szCs w:val="20"/>
                <w:color w:val="auto"/>
              </w:rPr>
            </w:pPr>
            <w:r>
              <w:rPr>
                <w:rFonts w:ascii="Arial" w:cs="Arial" w:eastAsia="Arial" w:hAnsi="Arial"/>
                <w:sz w:val="18"/>
                <w:szCs w:val="18"/>
                <w:b w:val="1"/>
                <w:bCs w:val="1"/>
                <w:color w:val="auto"/>
              </w:rPr>
              <w:t>Olivier Ghesquiere</w:t>
            </w:r>
          </w:p>
        </w:tc>
        <w:tc>
          <w:tcPr>
            <w:tcW w:w="3140" w:type="dxa"/>
            <w:vAlign w:val="bottom"/>
            <w:gridSpan w:val="5"/>
          </w:tcPr>
          <w:p>
            <w:pPr>
              <w:ind w:left="500"/>
              <w:spacing w:after="0" w:line="176" w:lineRule="exact"/>
              <w:rPr>
                <w:sz w:val="20"/>
                <w:szCs w:val="20"/>
                <w:color w:val="auto"/>
              </w:rPr>
            </w:pPr>
            <w:r>
              <w:rPr>
                <w:rFonts w:ascii="Arial" w:cs="Arial" w:eastAsia="Arial" w:hAnsi="Arial"/>
                <w:sz w:val="18"/>
                <w:szCs w:val="18"/>
                <w:b w:val="1"/>
                <w:bCs w:val="1"/>
                <w:color w:val="auto"/>
              </w:rPr>
              <w:t>HEADQUARTERS</w:t>
            </w:r>
          </w:p>
        </w:tc>
        <w:tc>
          <w:tcPr>
            <w:tcW w:w="0" w:type="dxa"/>
            <w:vAlign w:val="bottom"/>
          </w:tcPr>
          <w:p>
            <w:pPr>
              <w:spacing w:after="0"/>
              <w:rPr>
                <w:sz w:val="1"/>
                <w:szCs w:val="1"/>
                <w:color w:val="auto"/>
              </w:rPr>
            </w:pPr>
          </w:p>
        </w:tc>
      </w:tr>
      <w:tr>
        <w:trPr>
          <w:trHeight w:val="20"/>
        </w:trPr>
        <w:tc>
          <w:tcPr>
            <w:tcW w:w="3080" w:type="dxa"/>
            <w:vAlign w:val="bottom"/>
            <w:vMerge w:val="restart"/>
          </w:tcPr>
          <w:p>
            <w:pPr>
              <w:spacing w:after="0"/>
              <w:rPr>
                <w:sz w:val="20"/>
                <w:szCs w:val="20"/>
                <w:color w:val="auto"/>
              </w:rPr>
            </w:pPr>
            <w:r>
              <w:rPr>
                <w:rFonts w:ascii="Arial" w:cs="Arial" w:eastAsia="Arial" w:hAnsi="Arial"/>
                <w:sz w:val="18"/>
                <w:szCs w:val="18"/>
                <w:color w:val="auto"/>
              </w:rPr>
              <w:t>Chairman</w:t>
            </w:r>
          </w:p>
        </w:tc>
        <w:tc>
          <w:tcPr>
            <w:tcW w:w="4800" w:type="dxa"/>
            <w:vAlign w:val="bottom"/>
            <w:vMerge w:val="restart"/>
          </w:tcPr>
          <w:p>
            <w:pPr>
              <w:ind w:left="340"/>
              <w:spacing w:after="0"/>
              <w:rPr>
                <w:sz w:val="20"/>
                <w:szCs w:val="20"/>
                <w:color w:val="auto"/>
              </w:rPr>
            </w:pPr>
            <w:r>
              <w:rPr>
                <w:rFonts w:ascii="Arial" w:cs="Arial" w:eastAsia="Arial" w:hAnsi="Arial"/>
                <w:sz w:val="18"/>
                <w:szCs w:val="18"/>
                <w:color w:val="auto"/>
              </w:rPr>
              <w:t>President and Chief Executive Officer</w:t>
            </w:r>
          </w:p>
        </w:tc>
        <w:tc>
          <w:tcPr>
            <w:tcW w:w="500" w:type="dxa"/>
            <w:vAlign w:val="bottom"/>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2"/>
        </w:trPr>
        <w:tc>
          <w:tcPr>
            <w:tcW w:w="3080" w:type="dxa"/>
            <w:vAlign w:val="bottom"/>
            <w:vMerge w:val="continue"/>
          </w:tcPr>
          <w:p>
            <w:pPr>
              <w:spacing w:after="0"/>
              <w:rPr>
                <w:sz w:val="19"/>
                <w:szCs w:val="19"/>
                <w:color w:val="auto"/>
              </w:rPr>
            </w:pPr>
          </w:p>
        </w:tc>
        <w:tc>
          <w:tcPr>
            <w:tcW w:w="4800" w:type="dxa"/>
            <w:vAlign w:val="bottom"/>
            <w:vMerge w:val="continue"/>
          </w:tcPr>
          <w:p>
            <w:pPr>
              <w:spacing w:after="0"/>
              <w:rPr>
                <w:sz w:val="19"/>
                <w:szCs w:val="19"/>
                <w:color w:val="auto"/>
              </w:rPr>
            </w:pPr>
          </w:p>
        </w:tc>
        <w:tc>
          <w:tcPr>
            <w:tcW w:w="3140" w:type="dxa"/>
            <w:vAlign w:val="bottom"/>
            <w:gridSpan w:val="5"/>
            <w:vMerge w:val="restart"/>
          </w:tcPr>
          <w:p>
            <w:pPr>
              <w:ind w:left="500"/>
              <w:spacing w:after="0"/>
              <w:rPr>
                <w:sz w:val="20"/>
                <w:szCs w:val="20"/>
                <w:color w:val="auto"/>
              </w:rPr>
            </w:pPr>
            <w:r>
              <w:rPr>
                <w:rFonts w:ascii="Arial" w:cs="Arial" w:eastAsia="Arial" w:hAnsi="Arial"/>
                <w:sz w:val="18"/>
                <w:szCs w:val="18"/>
                <w:b w:val="1"/>
                <w:bCs w:val="1"/>
                <w:color w:val="auto"/>
              </w:rPr>
              <w:t>TEXTAINER GROUP</w:t>
            </w:r>
          </w:p>
        </w:tc>
        <w:tc>
          <w:tcPr>
            <w:tcW w:w="0" w:type="dxa"/>
            <w:vAlign w:val="bottom"/>
          </w:tcPr>
          <w:p>
            <w:pPr>
              <w:spacing w:after="0"/>
              <w:rPr>
                <w:sz w:val="1"/>
                <w:szCs w:val="1"/>
                <w:color w:val="auto"/>
              </w:rPr>
            </w:pPr>
          </w:p>
        </w:tc>
      </w:tr>
      <w:tr>
        <w:trPr>
          <w:trHeight w:val="77"/>
        </w:trPr>
        <w:tc>
          <w:tcPr>
            <w:tcW w:w="3080" w:type="dxa"/>
            <w:vAlign w:val="bottom"/>
            <w:vMerge w:val="restart"/>
          </w:tcPr>
          <w:p>
            <w:pPr>
              <w:spacing w:after="0"/>
              <w:rPr>
                <w:sz w:val="20"/>
                <w:szCs w:val="20"/>
                <w:color w:val="auto"/>
              </w:rPr>
            </w:pPr>
            <w:r>
              <w:rPr>
                <w:rFonts w:ascii="Arial" w:cs="Arial" w:eastAsia="Arial" w:hAnsi="Arial"/>
                <w:sz w:val="18"/>
                <w:szCs w:val="18"/>
                <w:color w:val="auto"/>
              </w:rPr>
              <w:t>Textainer Group Holdings Limited</w:t>
            </w:r>
          </w:p>
        </w:tc>
        <w:tc>
          <w:tcPr>
            <w:tcW w:w="4800" w:type="dxa"/>
            <w:vAlign w:val="bottom"/>
            <w:vMerge w:val="restart"/>
          </w:tcPr>
          <w:p>
            <w:pPr>
              <w:ind w:left="340"/>
              <w:spacing w:after="0"/>
              <w:rPr>
                <w:sz w:val="20"/>
                <w:szCs w:val="20"/>
                <w:color w:val="auto"/>
              </w:rPr>
            </w:pPr>
            <w:r>
              <w:rPr>
                <w:rFonts w:ascii="Arial" w:cs="Arial" w:eastAsia="Arial" w:hAnsi="Arial"/>
                <w:sz w:val="18"/>
                <w:szCs w:val="18"/>
                <w:color w:val="auto"/>
              </w:rPr>
              <w:t>Textainer Group Holdings Limited</w:t>
            </w:r>
          </w:p>
        </w:tc>
        <w:tc>
          <w:tcPr>
            <w:tcW w:w="3140" w:type="dxa"/>
            <w:vAlign w:val="bottom"/>
            <w:gridSpan w:val="5"/>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39"/>
        </w:trPr>
        <w:tc>
          <w:tcPr>
            <w:tcW w:w="3080" w:type="dxa"/>
            <w:vAlign w:val="bottom"/>
            <w:vMerge w:val="continue"/>
          </w:tcPr>
          <w:p>
            <w:pPr>
              <w:spacing w:after="0"/>
              <w:rPr>
                <w:sz w:val="12"/>
                <w:szCs w:val="12"/>
                <w:color w:val="auto"/>
              </w:rPr>
            </w:pPr>
          </w:p>
        </w:tc>
        <w:tc>
          <w:tcPr>
            <w:tcW w:w="4800" w:type="dxa"/>
            <w:vAlign w:val="bottom"/>
            <w:vMerge w:val="continue"/>
          </w:tcPr>
          <w:p>
            <w:pPr>
              <w:spacing w:after="0"/>
              <w:rPr>
                <w:sz w:val="12"/>
                <w:szCs w:val="12"/>
                <w:color w:val="auto"/>
              </w:rPr>
            </w:pPr>
          </w:p>
        </w:tc>
        <w:tc>
          <w:tcPr>
            <w:tcW w:w="3140" w:type="dxa"/>
            <w:vAlign w:val="bottom"/>
            <w:gridSpan w:val="5"/>
            <w:vMerge w:val="restart"/>
          </w:tcPr>
          <w:p>
            <w:pPr>
              <w:ind w:left="500"/>
              <w:spacing w:after="0"/>
              <w:rPr>
                <w:sz w:val="20"/>
                <w:szCs w:val="20"/>
                <w:color w:val="auto"/>
              </w:rPr>
            </w:pPr>
            <w:r>
              <w:rPr>
                <w:rFonts w:ascii="Arial" w:cs="Arial" w:eastAsia="Arial" w:hAnsi="Arial"/>
                <w:sz w:val="18"/>
                <w:szCs w:val="18"/>
                <w:b w:val="1"/>
                <w:bCs w:val="1"/>
                <w:color w:val="auto"/>
              </w:rPr>
              <w:t>HOLDINGS LIMITED</w:t>
            </w:r>
          </w:p>
        </w:tc>
        <w:tc>
          <w:tcPr>
            <w:tcW w:w="0" w:type="dxa"/>
            <w:vAlign w:val="bottom"/>
          </w:tcPr>
          <w:p>
            <w:pPr>
              <w:spacing w:after="0"/>
              <w:rPr>
                <w:sz w:val="1"/>
                <w:szCs w:val="1"/>
                <w:color w:val="auto"/>
              </w:rPr>
            </w:pPr>
          </w:p>
        </w:tc>
      </w:tr>
      <w:tr>
        <w:trPr>
          <w:trHeight w:val="81"/>
        </w:trPr>
        <w:tc>
          <w:tcPr>
            <w:tcW w:w="3080" w:type="dxa"/>
            <w:vAlign w:val="bottom"/>
            <w:vMerge w:val="restart"/>
          </w:tcPr>
          <w:p>
            <w:pPr>
              <w:spacing w:after="0"/>
              <w:rPr>
                <w:sz w:val="20"/>
                <w:szCs w:val="20"/>
                <w:color w:val="auto"/>
              </w:rPr>
            </w:pPr>
            <w:r>
              <w:rPr>
                <w:rFonts w:ascii="Arial" w:cs="Arial" w:eastAsia="Arial" w:hAnsi="Arial"/>
                <w:sz w:val="18"/>
                <w:szCs w:val="18"/>
                <w:color w:val="auto"/>
              </w:rPr>
              <w:t>Former Partner</w:t>
            </w:r>
          </w:p>
        </w:tc>
        <w:tc>
          <w:tcPr>
            <w:tcW w:w="4800" w:type="dxa"/>
            <w:vAlign w:val="bottom"/>
            <w:vMerge w:val="restart"/>
          </w:tcPr>
          <w:p>
            <w:pPr>
              <w:ind w:left="340"/>
              <w:spacing w:after="0"/>
              <w:rPr>
                <w:sz w:val="20"/>
                <w:szCs w:val="20"/>
                <w:color w:val="auto"/>
              </w:rPr>
            </w:pPr>
            <w:r>
              <w:rPr>
                <w:rFonts w:ascii="Arial" w:cs="Arial" w:eastAsia="Arial" w:hAnsi="Arial"/>
                <w:sz w:val="18"/>
                <w:szCs w:val="18"/>
                <w:b w:val="1"/>
                <w:bCs w:val="1"/>
                <w:color w:val="auto"/>
              </w:rPr>
              <w:t>Michael K. Chan</w:t>
            </w:r>
          </w:p>
        </w:tc>
        <w:tc>
          <w:tcPr>
            <w:tcW w:w="3140" w:type="dxa"/>
            <w:vAlign w:val="bottom"/>
            <w:gridSpan w:val="5"/>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35"/>
        </w:trPr>
        <w:tc>
          <w:tcPr>
            <w:tcW w:w="3080" w:type="dxa"/>
            <w:vAlign w:val="bottom"/>
            <w:vMerge w:val="continue"/>
          </w:tcPr>
          <w:p>
            <w:pPr>
              <w:spacing w:after="0"/>
              <w:rPr>
                <w:sz w:val="11"/>
                <w:szCs w:val="11"/>
                <w:color w:val="auto"/>
              </w:rPr>
            </w:pPr>
          </w:p>
        </w:tc>
        <w:tc>
          <w:tcPr>
            <w:tcW w:w="4800" w:type="dxa"/>
            <w:vAlign w:val="bottom"/>
            <w:vMerge w:val="continue"/>
          </w:tcPr>
          <w:p>
            <w:pPr>
              <w:spacing w:after="0"/>
              <w:rPr>
                <w:sz w:val="11"/>
                <w:szCs w:val="11"/>
                <w:color w:val="auto"/>
              </w:rPr>
            </w:pPr>
          </w:p>
        </w:tc>
        <w:tc>
          <w:tcPr>
            <w:tcW w:w="3140" w:type="dxa"/>
            <w:vAlign w:val="bottom"/>
            <w:gridSpan w:val="5"/>
            <w:vMerge w:val="restart"/>
          </w:tcPr>
          <w:p>
            <w:pPr>
              <w:ind w:left="500"/>
              <w:spacing w:after="0"/>
              <w:rPr>
                <w:sz w:val="20"/>
                <w:szCs w:val="20"/>
                <w:color w:val="auto"/>
              </w:rPr>
            </w:pPr>
            <w:r>
              <w:rPr>
                <w:rFonts w:ascii="Arial" w:cs="Arial" w:eastAsia="Arial" w:hAnsi="Arial"/>
                <w:sz w:val="18"/>
                <w:szCs w:val="18"/>
                <w:color w:val="auto"/>
              </w:rPr>
              <w:t>Century House</w:t>
            </w:r>
          </w:p>
        </w:tc>
        <w:tc>
          <w:tcPr>
            <w:tcW w:w="0" w:type="dxa"/>
            <w:vAlign w:val="bottom"/>
          </w:tcPr>
          <w:p>
            <w:pPr>
              <w:spacing w:after="0"/>
              <w:rPr>
                <w:sz w:val="1"/>
                <w:szCs w:val="1"/>
                <w:color w:val="auto"/>
              </w:rPr>
            </w:pPr>
          </w:p>
        </w:tc>
      </w:tr>
      <w:tr>
        <w:trPr>
          <w:trHeight w:val="81"/>
        </w:trPr>
        <w:tc>
          <w:tcPr>
            <w:tcW w:w="3080" w:type="dxa"/>
            <w:vAlign w:val="bottom"/>
            <w:vMerge w:val="restart"/>
          </w:tcPr>
          <w:p>
            <w:pPr>
              <w:spacing w:after="0"/>
              <w:rPr>
                <w:sz w:val="20"/>
                <w:szCs w:val="20"/>
                <w:color w:val="auto"/>
              </w:rPr>
            </w:pPr>
            <w:r>
              <w:rPr>
                <w:rFonts w:ascii="Arial" w:cs="Arial" w:eastAsia="Arial" w:hAnsi="Arial"/>
                <w:sz w:val="18"/>
                <w:szCs w:val="18"/>
                <w:color w:val="auto"/>
              </w:rPr>
              <w:t>Ernst &amp; Young</w:t>
            </w:r>
          </w:p>
        </w:tc>
        <w:tc>
          <w:tcPr>
            <w:tcW w:w="4800" w:type="dxa"/>
            <w:vAlign w:val="bottom"/>
            <w:vMerge w:val="continue"/>
          </w:tcPr>
          <w:p>
            <w:pPr>
              <w:spacing w:after="0"/>
              <w:rPr>
                <w:sz w:val="7"/>
                <w:szCs w:val="7"/>
                <w:color w:val="auto"/>
              </w:rPr>
            </w:pPr>
          </w:p>
        </w:tc>
        <w:tc>
          <w:tcPr>
            <w:tcW w:w="3140" w:type="dxa"/>
            <w:vAlign w:val="bottom"/>
            <w:gridSpan w:val="5"/>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49"/>
        </w:trPr>
        <w:tc>
          <w:tcPr>
            <w:tcW w:w="3080" w:type="dxa"/>
            <w:vAlign w:val="bottom"/>
            <w:vMerge w:val="continue"/>
          </w:tcPr>
          <w:p>
            <w:pPr>
              <w:spacing w:after="0"/>
              <w:rPr>
                <w:sz w:val="12"/>
                <w:szCs w:val="12"/>
                <w:color w:val="auto"/>
              </w:rPr>
            </w:pPr>
          </w:p>
        </w:tc>
        <w:tc>
          <w:tcPr>
            <w:tcW w:w="4800" w:type="dxa"/>
            <w:vAlign w:val="bottom"/>
            <w:vMerge w:val="restart"/>
          </w:tcPr>
          <w:p>
            <w:pPr>
              <w:ind w:left="340"/>
              <w:spacing w:after="0"/>
              <w:rPr>
                <w:sz w:val="20"/>
                <w:szCs w:val="20"/>
                <w:color w:val="auto"/>
              </w:rPr>
            </w:pPr>
            <w:r>
              <w:rPr>
                <w:rFonts w:ascii="Arial" w:cs="Arial" w:eastAsia="Arial" w:hAnsi="Arial"/>
                <w:sz w:val="18"/>
                <w:szCs w:val="18"/>
                <w:color w:val="auto"/>
              </w:rPr>
              <w:t>Executive Vice President, Chief Financial Officer</w:t>
            </w:r>
          </w:p>
        </w:tc>
        <w:tc>
          <w:tcPr>
            <w:tcW w:w="3140" w:type="dxa"/>
            <w:vAlign w:val="bottom"/>
            <w:gridSpan w:val="5"/>
            <w:vMerge w:val="restart"/>
          </w:tcPr>
          <w:p>
            <w:pPr>
              <w:ind w:left="500"/>
              <w:spacing w:after="0"/>
              <w:rPr>
                <w:sz w:val="20"/>
                <w:szCs w:val="20"/>
                <w:color w:val="auto"/>
              </w:rPr>
            </w:pPr>
            <w:r>
              <w:rPr>
                <w:rFonts w:ascii="Arial" w:cs="Arial" w:eastAsia="Arial" w:hAnsi="Arial"/>
                <w:sz w:val="18"/>
                <w:szCs w:val="18"/>
                <w:color w:val="auto"/>
              </w:rPr>
              <w:t>16 Par-La-Ville Road</w:t>
            </w:r>
          </w:p>
        </w:tc>
        <w:tc>
          <w:tcPr>
            <w:tcW w:w="0" w:type="dxa"/>
            <w:vAlign w:val="bottom"/>
          </w:tcPr>
          <w:p>
            <w:pPr>
              <w:spacing w:after="0"/>
              <w:rPr>
                <w:sz w:val="1"/>
                <w:szCs w:val="1"/>
                <w:color w:val="auto"/>
              </w:rPr>
            </w:pPr>
          </w:p>
        </w:tc>
      </w:tr>
      <w:tr>
        <w:trPr>
          <w:trHeight w:val="67"/>
        </w:trPr>
        <w:tc>
          <w:tcPr>
            <w:tcW w:w="3080" w:type="dxa"/>
            <w:vAlign w:val="bottom"/>
            <w:vMerge w:val="restart"/>
          </w:tcPr>
          <w:p>
            <w:pPr>
              <w:spacing w:after="0"/>
              <w:rPr>
                <w:sz w:val="20"/>
                <w:szCs w:val="20"/>
                <w:color w:val="auto"/>
              </w:rPr>
            </w:pPr>
            <w:r>
              <w:rPr>
                <w:rFonts w:ascii="Arial" w:cs="Arial" w:eastAsia="Arial" w:hAnsi="Arial"/>
                <w:sz w:val="18"/>
                <w:szCs w:val="18"/>
                <w:b w:val="1"/>
                <w:bCs w:val="1"/>
                <w:color w:val="auto"/>
              </w:rPr>
              <w:t xml:space="preserve">Dudley R. Cottingham </w:t>
            </w:r>
            <w:r>
              <w:rPr>
                <w:rFonts w:ascii="Arial" w:cs="Arial" w:eastAsia="Arial" w:hAnsi="Arial"/>
                <w:sz w:val="15"/>
                <w:szCs w:val="15"/>
                <w:b w:val="1"/>
                <w:bCs w:val="1"/>
                <w:color w:val="auto"/>
              </w:rPr>
              <w:t>(1)(2)(3)</w:t>
            </w:r>
          </w:p>
        </w:tc>
        <w:tc>
          <w:tcPr>
            <w:tcW w:w="4800" w:type="dxa"/>
            <w:vAlign w:val="bottom"/>
            <w:vMerge w:val="continue"/>
          </w:tcPr>
          <w:p>
            <w:pPr>
              <w:spacing w:after="0"/>
              <w:rPr>
                <w:sz w:val="5"/>
                <w:szCs w:val="5"/>
                <w:color w:val="auto"/>
              </w:rPr>
            </w:pPr>
          </w:p>
        </w:tc>
        <w:tc>
          <w:tcPr>
            <w:tcW w:w="3140" w:type="dxa"/>
            <w:vAlign w:val="bottom"/>
            <w:gridSpan w:val="5"/>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16"/>
        </w:trPr>
        <w:tc>
          <w:tcPr>
            <w:tcW w:w="3080" w:type="dxa"/>
            <w:vAlign w:val="bottom"/>
            <w:vMerge w:val="continue"/>
          </w:tcPr>
          <w:p>
            <w:pPr>
              <w:spacing w:after="0"/>
              <w:rPr>
                <w:sz w:val="18"/>
                <w:szCs w:val="18"/>
                <w:color w:val="auto"/>
              </w:rPr>
            </w:pPr>
          </w:p>
        </w:tc>
        <w:tc>
          <w:tcPr>
            <w:tcW w:w="4800" w:type="dxa"/>
            <w:vAlign w:val="bottom"/>
          </w:tcPr>
          <w:p>
            <w:pPr>
              <w:ind w:left="340"/>
              <w:spacing w:after="0"/>
              <w:rPr>
                <w:sz w:val="20"/>
                <w:szCs w:val="20"/>
                <w:color w:val="auto"/>
              </w:rPr>
            </w:pPr>
            <w:r>
              <w:rPr>
                <w:rFonts w:ascii="Arial" w:cs="Arial" w:eastAsia="Arial" w:hAnsi="Arial"/>
                <w:sz w:val="18"/>
                <w:szCs w:val="18"/>
                <w:color w:val="auto"/>
              </w:rPr>
              <w:t>Textainer Group Holdings Limited</w:t>
            </w:r>
          </w:p>
        </w:tc>
        <w:tc>
          <w:tcPr>
            <w:tcW w:w="3140" w:type="dxa"/>
            <w:vAlign w:val="bottom"/>
            <w:gridSpan w:val="5"/>
          </w:tcPr>
          <w:p>
            <w:pPr>
              <w:ind w:left="500"/>
              <w:spacing w:after="0"/>
              <w:rPr>
                <w:sz w:val="20"/>
                <w:szCs w:val="20"/>
                <w:color w:val="auto"/>
              </w:rPr>
            </w:pPr>
            <w:r>
              <w:rPr>
                <w:rFonts w:ascii="Arial" w:cs="Arial" w:eastAsia="Arial" w:hAnsi="Arial"/>
                <w:sz w:val="18"/>
                <w:szCs w:val="18"/>
                <w:color w:val="auto"/>
              </w:rPr>
              <w:t>Hamilton HM 08</w:t>
            </w:r>
          </w:p>
        </w:tc>
        <w:tc>
          <w:tcPr>
            <w:tcW w:w="0" w:type="dxa"/>
            <w:vAlign w:val="bottom"/>
          </w:tcPr>
          <w:p>
            <w:pPr>
              <w:spacing w:after="0"/>
              <w:rPr>
                <w:sz w:val="1"/>
                <w:szCs w:val="1"/>
                <w:color w:val="auto"/>
              </w:rPr>
            </w:pPr>
          </w:p>
        </w:tc>
      </w:tr>
      <w:tr>
        <w:trPr>
          <w:trHeight w:val="216"/>
        </w:trPr>
        <w:tc>
          <w:tcPr>
            <w:tcW w:w="3080" w:type="dxa"/>
            <w:vAlign w:val="bottom"/>
          </w:tcPr>
          <w:p>
            <w:pPr>
              <w:spacing w:after="0"/>
              <w:rPr>
                <w:sz w:val="20"/>
                <w:szCs w:val="20"/>
                <w:color w:val="auto"/>
              </w:rPr>
            </w:pPr>
            <w:r>
              <w:rPr>
                <w:rFonts w:ascii="Arial" w:cs="Arial" w:eastAsia="Arial" w:hAnsi="Arial"/>
                <w:sz w:val="18"/>
                <w:szCs w:val="18"/>
                <w:color w:val="auto"/>
              </w:rPr>
              <w:t>Managing Director</w:t>
            </w:r>
          </w:p>
        </w:tc>
        <w:tc>
          <w:tcPr>
            <w:tcW w:w="4800" w:type="dxa"/>
            <w:vAlign w:val="bottom"/>
            <w:vMerge w:val="restart"/>
          </w:tcPr>
          <w:p>
            <w:pPr>
              <w:ind w:left="340"/>
              <w:spacing w:after="0"/>
              <w:rPr>
                <w:sz w:val="20"/>
                <w:szCs w:val="20"/>
                <w:color w:val="auto"/>
              </w:rPr>
            </w:pPr>
            <w:r>
              <w:rPr>
                <w:rFonts w:ascii="Arial" w:cs="Arial" w:eastAsia="Arial" w:hAnsi="Arial"/>
                <w:sz w:val="18"/>
                <w:szCs w:val="18"/>
                <w:b w:val="1"/>
                <w:bCs w:val="1"/>
                <w:color w:val="auto"/>
              </w:rPr>
              <w:t>Alvin V. Chong</w:t>
            </w:r>
          </w:p>
        </w:tc>
        <w:tc>
          <w:tcPr>
            <w:tcW w:w="3140" w:type="dxa"/>
            <w:vAlign w:val="bottom"/>
            <w:gridSpan w:val="5"/>
          </w:tcPr>
          <w:p>
            <w:pPr>
              <w:ind w:left="500"/>
              <w:spacing w:after="0"/>
              <w:rPr>
                <w:sz w:val="20"/>
                <w:szCs w:val="20"/>
                <w:color w:val="auto"/>
              </w:rPr>
            </w:pPr>
            <w:r>
              <w:rPr>
                <w:rFonts w:ascii="Arial" w:cs="Arial" w:eastAsia="Arial" w:hAnsi="Arial"/>
                <w:sz w:val="18"/>
                <w:szCs w:val="18"/>
                <w:color w:val="auto"/>
              </w:rPr>
              <w:t>Bermuda</w:t>
            </w:r>
          </w:p>
        </w:tc>
        <w:tc>
          <w:tcPr>
            <w:tcW w:w="0" w:type="dxa"/>
            <w:vAlign w:val="bottom"/>
          </w:tcPr>
          <w:p>
            <w:pPr>
              <w:spacing w:after="0"/>
              <w:rPr>
                <w:sz w:val="1"/>
                <w:szCs w:val="1"/>
                <w:color w:val="auto"/>
              </w:rPr>
            </w:pPr>
          </w:p>
        </w:tc>
      </w:tr>
      <w:tr>
        <w:trPr>
          <w:trHeight w:val="81"/>
        </w:trPr>
        <w:tc>
          <w:tcPr>
            <w:tcW w:w="3080" w:type="dxa"/>
            <w:vAlign w:val="bottom"/>
            <w:vMerge w:val="restart"/>
          </w:tcPr>
          <w:p>
            <w:pPr>
              <w:spacing w:after="0"/>
              <w:rPr>
                <w:sz w:val="20"/>
                <w:szCs w:val="20"/>
                <w:color w:val="auto"/>
              </w:rPr>
            </w:pPr>
            <w:r>
              <w:rPr>
                <w:rFonts w:ascii="Arial" w:cs="Arial" w:eastAsia="Arial" w:hAnsi="Arial"/>
                <w:sz w:val="18"/>
                <w:szCs w:val="18"/>
                <w:color w:val="auto"/>
              </w:rPr>
              <w:t>Arthur Morris &amp; Company Limited</w:t>
            </w:r>
          </w:p>
        </w:tc>
        <w:tc>
          <w:tcPr>
            <w:tcW w:w="4800" w:type="dxa"/>
            <w:vAlign w:val="bottom"/>
            <w:vMerge w:val="continue"/>
          </w:tcPr>
          <w:p>
            <w:pPr>
              <w:spacing w:after="0"/>
              <w:rPr>
                <w:sz w:val="7"/>
                <w:szCs w:val="7"/>
                <w:color w:val="auto"/>
              </w:rPr>
            </w:pPr>
          </w:p>
        </w:tc>
        <w:tc>
          <w:tcPr>
            <w:tcW w:w="3140" w:type="dxa"/>
            <w:vAlign w:val="bottom"/>
            <w:gridSpan w:val="5"/>
            <w:vMerge w:val="restart"/>
          </w:tcPr>
          <w:p>
            <w:pPr>
              <w:ind w:left="500"/>
              <w:spacing w:after="0"/>
              <w:rPr>
                <w:sz w:val="20"/>
                <w:szCs w:val="20"/>
                <w:color w:val="auto"/>
              </w:rPr>
            </w:pPr>
            <w:r>
              <w:rPr>
                <w:rFonts w:ascii="Arial" w:cs="Arial" w:eastAsia="Arial" w:hAnsi="Arial"/>
                <w:sz w:val="18"/>
                <w:szCs w:val="18"/>
                <w:b w:val="1"/>
                <w:bCs w:val="1"/>
                <w:color w:val="auto"/>
              </w:rPr>
              <w:t>ADMINISTRATIVE OFFICE</w:t>
            </w:r>
          </w:p>
        </w:tc>
        <w:tc>
          <w:tcPr>
            <w:tcW w:w="0" w:type="dxa"/>
            <w:vAlign w:val="bottom"/>
          </w:tcPr>
          <w:p>
            <w:pPr>
              <w:spacing w:after="0"/>
              <w:rPr>
                <w:sz w:val="1"/>
                <w:szCs w:val="1"/>
                <w:color w:val="auto"/>
              </w:rPr>
            </w:pPr>
          </w:p>
        </w:tc>
      </w:tr>
      <w:tr>
        <w:trPr>
          <w:trHeight w:val="149"/>
        </w:trPr>
        <w:tc>
          <w:tcPr>
            <w:tcW w:w="3080" w:type="dxa"/>
            <w:vAlign w:val="bottom"/>
            <w:vMerge w:val="continue"/>
          </w:tcPr>
          <w:p>
            <w:pPr>
              <w:spacing w:after="0"/>
              <w:rPr>
                <w:sz w:val="12"/>
                <w:szCs w:val="12"/>
                <w:color w:val="auto"/>
              </w:rPr>
            </w:pPr>
          </w:p>
        </w:tc>
        <w:tc>
          <w:tcPr>
            <w:tcW w:w="4800" w:type="dxa"/>
            <w:vAlign w:val="bottom"/>
            <w:vMerge w:val="restart"/>
          </w:tcPr>
          <w:p>
            <w:pPr>
              <w:ind w:left="340"/>
              <w:spacing w:after="0" w:line="190" w:lineRule="exact"/>
              <w:rPr>
                <w:sz w:val="20"/>
                <w:szCs w:val="20"/>
                <w:color w:val="auto"/>
              </w:rPr>
            </w:pPr>
            <w:r>
              <w:rPr>
                <w:rFonts w:ascii="Arial" w:cs="Arial" w:eastAsia="Arial" w:hAnsi="Arial"/>
                <w:sz w:val="18"/>
                <w:szCs w:val="18"/>
                <w:color w:val="auto"/>
              </w:rPr>
              <w:t>Global Vice President-Resale</w:t>
            </w:r>
          </w:p>
        </w:tc>
        <w:tc>
          <w:tcPr>
            <w:tcW w:w="3140" w:type="dxa"/>
            <w:vAlign w:val="bottom"/>
            <w:gridSpan w:val="5"/>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41"/>
        </w:trPr>
        <w:tc>
          <w:tcPr>
            <w:tcW w:w="3080" w:type="dxa"/>
            <w:vAlign w:val="bottom"/>
            <w:vMerge w:val="restart"/>
          </w:tcPr>
          <w:p>
            <w:pPr>
              <w:spacing w:after="0"/>
              <w:rPr>
                <w:sz w:val="20"/>
                <w:szCs w:val="20"/>
                <w:color w:val="auto"/>
              </w:rPr>
            </w:pPr>
            <w:r>
              <w:rPr>
                <w:rFonts w:ascii="Arial" w:cs="Arial" w:eastAsia="Arial" w:hAnsi="Arial"/>
                <w:sz w:val="18"/>
                <w:szCs w:val="18"/>
                <w:b w:val="1"/>
                <w:bCs w:val="1"/>
                <w:color w:val="auto"/>
              </w:rPr>
              <w:t>Olivier Ghesquiere</w:t>
            </w:r>
          </w:p>
        </w:tc>
        <w:tc>
          <w:tcPr>
            <w:tcW w:w="4800" w:type="dxa"/>
            <w:vAlign w:val="bottom"/>
            <w:vMerge w:val="continue"/>
          </w:tcPr>
          <w:p>
            <w:pPr>
              <w:spacing w:after="0"/>
              <w:rPr>
                <w:sz w:val="3"/>
                <w:szCs w:val="3"/>
                <w:color w:val="auto"/>
              </w:rPr>
            </w:pPr>
          </w:p>
        </w:tc>
        <w:tc>
          <w:tcPr>
            <w:tcW w:w="3140" w:type="dxa"/>
            <w:vAlign w:val="bottom"/>
            <w:gridSpan w:val="5"/>
            <w:vMerge w:val="continue"/>
          </w:tcPr>
          <w:p>
            <w:pPr>
              <w:spacing w:after="0"/>
              <w:rPr>
                <w:sz w:val="3"/>
                <w:szCs w:val="3"/>
                <w:color w:val="auto"/>
              </w:rPr>
            </w:pPr>
          </w:p>
        </w:tc>
        <w:tc>
          <w:tcPr>
            <w:tcW w:w="0" w:type="dxa"/>
            <w:vAlign w:val="bottom"/>
          </w:tcPr>
          <w:p>
            <w:pPr>
              <w:spacing w:after="0"/>
              <w:rPr>
                <w:sz w:val="1"/>
                <w:szCs w:val="1"/>
                <w:color w:val="auto"/>
              </w:rPr>
            </w:pPr>
          </w:p>
        </w:tc>
      </w:tr>
      <w:tr>
        <w:trPr>
          <w:trHeight w:val="20"/>
        </w:trPr>
        <w:tc>
          <w:tcPr>
            <w:tcW w:w="3080" w:type="dxa"/>
            <w:vAlign w:val="bottom"/>
            <w:vMerge w:val="continue"/>
          </w:tcPr>
          <w:p>
            <w:pPr>
              <w:spacing w:after="0" w:line="20" w:lineRule="exact"/>
              <w:rPr>
                <w:sz w:val="1"/>
                <w:szCs w:val="1"/>
                <w:color w:val="auto"/>
              </w:rPr>
            </w:pPr>
          </w:p>
        </w:tc>
        <w:tc>
          <w:tcPr>
            <w:tcW w:w="4800" w:type="dxa"/>
            <w:vAlign w:val="bottom"/>
            <w:vMerge w:val="restart"/>
          </w:tcPr>
          <w:p>
            <w:pPr>
              <w:ind w:left="340"/>
              <w:spacing w:after="0"/>
              <w:rPr>
                <w:sz w:val="20"/>
                <w:szCs w:val="20"/>
                <w:color w:val="auto"/>
              </w:rPr>
            </w:pPr>
            <w:r>
              <w:rPr>
                <w:rFonts w:ascii="Arial" w:cs="Arial" w:eastAsia="Arial" w:hAnsi="Arial"/>
                <w:sz w:val="18"/>
                <w:szCs w:val="18"/>
                <w:color w:val="auto"/>
              </w:rPr>
              <w:t>Textainer Equipment Management Limited</w:t>
            </w:r>
          </w:p>
        </w:tc>
        <w:tc>
          <w:tcPr>
            <w:tcW w:w="500" w:type="dxa"/>
            <w:vAlign w:val="bottom"/>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2"/>
        </w:trPr>
        <w:tc>
          <w:tcPr>
            <w:tcW w:w="3080" w:type="dxa"/>
            <w:vAlign w:val="bottom"/>
            <w:vMerge w:val="continue"/>
          </w:tcPr>
          <w:p>
            <w:pPr>
              <w:spacing w:after="0"/>
              <w:rPr>
                <w:sz w:val="19"/>
                <w:szCs w:val="19"/>
                <w:color w:val="auto"/>
              </w:rPr>
            </w:pPr>
          </w:p>
        </w:tc>
        <w:tc>
          <w:tcPr>
            <w:tcW w:w="4800" w:type="dxa"/>
            <w:vAlign w:val="bottom"/>
            <w:vMerge w:val="continue"/>
          </w:tcPr>
          <w:p>
            <w:pPr>
              <w:spacing w:after="0"/>
              <w:rPr>
                <w:sz w:val="19"/>
                <w:szCs w:val="19"/>
                <w:color w:val="auto"/>
              </w:rPr>
            </w:pPr>
          </w:p>
        </w:tc>
        <w:tc>
          <w:tcPr>
            <w:tcW w:w="3140" w:type="dxa"/>
            <w:vAlign w:val="bottom"/>
            <w:gridSpan w:val="5"/>
            <w:vMerge w:val="restart"/>
          </w:tcPr>
          <w:p>
            <w:pPr>
              <w:ind w:left="500"/>
              <w:spacing w:after="0"/>
              <w:rPr>
                <w:sz w:val="20"/>
                <w:szCs w:val="20"/>
                <w:color w:val="auto"/>
              </w:rPr>
            </w:pPr>
            <w:r>
              <w:rPr>
                <w:rFonts w:ascii="Arial" w:cs="Arial" w:eastAsia="Arial" w:hAnsi="Arial"/>
                <w:sz w:val="18"/>
                <w:szCs w:val="18"/>
                <w:b w:val="1"/>
                <w:bCs w:val="1"/>
                <w:color w:val="auto"/>
              </w:rPr>
              <w:t>TEXTAINER EQUIPMENT</w:t>
            </w:r>
          </w:p>
        </w:tc>
        <w:tc>
          <w:tcPr>
            <w:tcW w:w="0" w:type="dxa"/>
            <w:vAlign w:val="bottom"/>
          </w:tcPr>
          <w:p>
            <w:pPr>
              <w:spacing w:after="0"/>
              <w:rPr>
                <w:sz w:val="1"/>
                <w:szCs w:val="1"/>
                <w:color w:val="auto"/>
              </w:rPr>
            </w:pPr>
          </w:p>
        </w:tc>
      </w:tr>
      <w:tr>
        <w:trPr>
          <w:trHeight w:val="77"/>
        </w:trPr>
        <w:tc>
          <w:tcPr>
            <w:tcW w:w="3080" w:type="dxa"/>
            <w:vAlign w:val="bottom"/>
            <w:vMerge w:val="restart"/>
          </w:tcPr>
          <w:p>
            <w:pPr>
              <w:spacing w:after="0"/>
              <w:rPr>
                <w:sz w:val="20"/>
                <w:szCs w:val="20"/>
                <w:color w:val="auto"/>
              </w:rPr>
            </w:pPr>
            <w:r>
              <w:rPr>
                <w:rFonts w:ascii="Arial" w:cs="Arial" w:eastAsia="Arial" w:hAnsi="Arial"/>
                <w:sz w:val="18"/>
                <w:szCs w:val="18"/>
                <w:color w:val="auto"/>
              </w:rPr>
              <w:t>President and Chief Executive Officer</w:t>
            </w:r>
          </w:p>
        </w:tc>
        <w:tc>
          <w:tcPr>
            <w:tcW w:w="4800" w:type="dxa"/>
            <w:vAlign w:val="bottom"/>
          </w:tcPr>
          <w:p>
            <w:pPr>
              <w:spacing w:after="0"/>
              <w:rPr>
                <w:sz w:val="6"/>
                <w:szCs w:val="6"/>
                <w:color w:val="auto"/>
              </w:rPr>
            </w:pPr>
          </w:p>
        </w:tc>
        <w:tc>
          <w:tcPr>
            <w:tcW w:w="3140" w:type="dxa"/>
            <w:vAlign w:val="bottom"/>
            <w:gridSpan w:val="5"/>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39"/>
        </w:trPr>
        <w:tc>
          <w:tcPr>
            <w:tcW w:w="3080" w:type="dxa"/>
            <w:vAlign w:val="bottom"/>
            <w:vMerge w:val="continue"/>
          </w:tcPr>
          <w:p>
            <w:pPr>
              <w:spacing w:after="0"/>
              <w:rPr>
                <w:sz w:val="12"/>
                <w:szCs w:val="12"/>
                <w:color w:val="auto"/>
              </w:rPr>
            </w:pPr>
          </w:p>
        </w:tc>
        <w:tc>
          <w:tcPr>
            <w:tcW w:w="4800" w:type="dxa"/>
            <w:vAlign w:val="bottom"/>
            <w:vMerge w:val="restart"/>
          </w:tcPr>
          <w:p>
            <w:pPr>
              <w:ind w:left="340"/>
              <w:spacing w:after="0"/>
              <w:rPr>
                <w:sz w:val="20"/>
                <w:szCs w:val="20"/>
                <w:color w:val="auto"/>
              </w:rPr>
            </w:pPr>
            <w:r>
              <w:rPr>
                <w:rFonts w:ascii="Arial" w:cs="Arial" w:eastAsia="Arial" w:hAnsi="Arial"/>
                <w:sz w:val="18"/>
                <w:szCs w:val="18"/>
                <w:b w:val="1"/>
                <w:bCs w:val="1"/>
                <w:color w:val="auto"/>
              </w:rPr>
              <w:t>Gregory W. Coan</w:t>
            </w:r>
          </w:p>
        </w:tc>
        <w:tc>
          <w:tcPr>
            <w:tcW w:w="3140" w:type="dxa"/>
            <w:vAlign w:val="bottom"/>
            <w:gridSpan w:val="5"/>
            <w:vMerge w:val="restart"/>
          </w:tcPr>
          <w:p>
            <w:pPr>
              <w:ind w:left="500"/>
              <w:spacing w:after="0"/>
              <w:rPr>
                <w:sz w:val="20"/>
                <w:szCs w:val="20"/>
                <w:color w:val="auto"/>
              </w:rPr>
            </w:pPr>
            <w:r>
              <w:rPr>
                <w:rFonts w:ascii="Arial" w:cs="Arial" w:eastAsia="Arial" w:hAnsi="Arial"/>
                <w:sz w:val="18"/>
                <w:szCs w:val="18"/>
                <w:b w:val="1"/>
                <w:bCs w:val="1"/>
                <w:color w:val="auto"/>
              </w:rPr>
              <w:t>MANAGEMENT (U.S.)</w:t>
            </w:r>
          </w:p>
        </w:tc>
        <w:tc>
          <w:tcPr>
            <w:tcW w:w="0" w:type="dxa"/>
            <w:vAlign w:val="bottom"/>
          </w:tcPr>
          <w:p>
            <w:pPr>
              <w:spacing w:after="0"/>
              <w:rPr>
                <w:sz w:val="1"/>
                <w:szCs w:val="1"/>
                <w:color w:val="auto"/>
              </w:rPr>
            </w:pPr>
          </w:p>
        </w:tc>
      </w:tr>
      <w:tr>
        <w:trPr>
          <w:trHeight w:val="77"/>
        </w:trPr>
        <w:tc>
          <w:tcPr>
            <w:tcW w:w="3080" w:type="dxa"/>
            <w:vAlign w:val="bottom"/>
            <w:vMerge w:val="restart"/>
          </w:tcPr>
          <w:p>
            <w:pPr>
              <w:spacing w:after="0"/>
              <w:rPr>
                <w:sz w:val="20"/>
                <w:szCs w:val="20"/>
                <w:color w:val="auto"/>
              </w:rPr>
            </w:pPr>
            <w:r>
              <w:rPr>
                <w:rFonts w:ascii="Arial" w:cs="Arial" w:eastAsia="Arial" w:hAnsi="Arial"/>
                <w:sz w:val="18"/>
                <w:szCs w:val="18"/>
                <w:color w:val="auto"/>
              </w:rPr>
              <w:t>Textainer Group Holdings Limited</w:t>
            </w:r>
          </w:p>
        </w:tc>
        <w:tc>
          <w:tcPr>
            <w:tcW w:w="4800" w:type="dxa"/>
            <w:vAlign w:val="bottom"/>
            <w:vMerge w:val="continue"/>
          </w:tcPr>
          <w:p>
            <w:pPr>
              <w:spacing w:after="0"/>
              <w:rPr>
                <w:sz w:val="6"/>
                <w:szCs w:val="6"/>
                <w:color w:val="auto"/>
              </w:rPr>
            </w:pPr>
          </w:p>
        </w:tc>
        <w:tc>
          <w:tcPr>
            <w:tcW w:w="3140" w:type="dxa"/>
            <w:vAlign w:val="bottom"/>
            <w:gridSpan w:val="5"/>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53"/>
        </w:trPr>
        <w:tc>
          <w:tcPr>
            <w:tcW w:w="3080" w:type="dxa"/>
            <w:vAlign w:val="bottom"/>
            <w:vMerge w:val="continue"/>
          </w:tcPr>
          <w:p>
            <w:pPr>
              <w:spacing w:after="0"/>
              <w:rPr>
                <w:sz w:val="13"/>
                <w:szCs w:val="13"/>
                <w:color w:val="auto"/>
              </w:rPr>
            </w:pPr>
          </w:p>
        </w:tc>
        <w:tc>
          <w:tcPr>
            <w:tcW w:w="4800" w:type="dxa"/>
            <w:vAlign w:val="bottom"/>
            <w:vMerge w:val="restart"/>
          </w:tcPr>
          <w:p>
            <w:pPr>
              <w:ind w:left="340"/>
              <w:spacing w:after="0"/>
              <w:rPr>
                <w:sz w:val="20"/>
                <w:szCs w:val="20"/>
                <w:color w:val="auto"/>
              </w:rPr>
            </w:pPr>
            <w:r>
              <w:rPr>
                <w:rFonts w:ascii="Arial" w:cs="Arial" w:eastAsia="Arial" w:hAnsi="Arial"/>
                <w:sz w:val="18"/>
                <w:szCs w:val="18"/>
                <w:color w:val="auto"/>
              </w:rPr>
              <w:t>Senior Vice President, Chief Information Officer</w:t>
            </w:r>
          </w:p>
        </w:tc>
        <w:tc>
          <w:tcPr>
            <w:tcW w:w="3140" w:type="dxa"/>
            <w:vAlign w:val="bottom"/>
            <w:gridSpan w:val="5"/>
            <w:vMerge w:val="restart"/>
          </w:tcPr>
          <w:p>
            <w:pPr>
              <w:ind w:left="500"/>
              <w:spacing w:after="0"/>
              <w:rPr>
                <w:sz w:val="20"/>
                <w:szCs w:val="20"/>
                <w:color w:val="auto"/>
              </w:rPr>
            </w:pPr>
            <w:r>
              <w:rPr>
                <w:rFonts w:ascii="Arial" w:cs="Arial" w:eastAsia="Arial" w:hAnsi="Arial"/>
                <w:sz w:val="18"/>
                <w:szCs w:val="18"/>
                <w:b w:val="1"/>
                <w:bCs w:val="1"/>
                <w:color w:val="auto"/>
              </w:rPr>
              <w:t>LIMITED</w:t>
            </w:r>
          </w:p>
        </w:tc>
        <w:tc>
          <w:tcPr>
            <w:tcW w:w="0" w:type="dxa"/>
            <w:vAlign w:val="bottom"/>
          </w:tcPr>
          <w:p>
            <w:pPr>
              <w:spacing w:after="0"/>
              <w:rPr>
                <w:sz w:val="1"/>
                <w:szCs w:val="1"/>
                <w:color w:val="auto"/>
              </w:rPr>
            </w:pPr>
          </w:p>
        </w:tc>
      </w:tr>
      <w:tr>
        <w:trPr>
          <w:trHeight w:val="67"/>
        </w:trPr>
        <w:tc>
          <w:tcPr>
            <w:tcW w:w="3080" w:type="dxa"/>
            <w:vAlign w:val="bottom"/>
            <w:vMerge w:val="restart"/>
          </w:tcPr>
          <w:p>
            <w:pPr>
              <w:spacing w:after="0"/>
              <w:rPr>
                <w:sz w:val="20"/>
                <w:szCs w:val="20"/>
                <w:color w:val="auto"/>
              </w:rPr>
            </w:pPr>
            <w:r>
              <w:rPr>
                <w:rFonts w:ascii="Arial" w:cs="Arial" w:eastAsia="Arial" w:hAnsi="Arial"/>
                <w:sz w:val="18"/>
                <w:szCs w:val="18"/>
                <w:b w:val="1"/>
                <w:bCs w:val="1"/>
                <w:color w:val="auto"/>
              </w:rPr>
              <w:t xml:space="preserve">John A. Maccarone </w:t>
            </w:r>
            <w:r>
              <w:rPr>
                <w:rFonts w:ascii="Arial" w:cs="Arial" w:eastAsia="Arial" w:hAnsi="Arial"/>
                <w:sz w:val="11"/>
                <w:szCs w:val="11"/>
                <w:b w:val="1"/>
                <w:bCs w:val="1"/>
                <w:color w:val="auto"/>
              </w:rPr>
              <w:t>(2) (3)</w:t>
            </w:r>
          </w:p>
        </w:tc>
        <w:tc>
          <w:tcPr>
            <w:tcW w:w="4800" w:type="dxa"/>
            <w:vAlign w:val="bottom"/>
            <w:vMerge w:val="continue"/>
          </w:tcPr>
          <w:p>
            <w:pPr>
              <w:spacing w:after="0"/>
              <w:rPr>
                <w:sz w:val="5"/>
                <w:szCs w:val="5"/>
                <w:color w:val="auto"/>
              </w:rPr>
            </w:pPr>
          </w:p>
        </w:tc>
        <w:tc>
          <w:tcPr>
            <w:tcW w:w="3140" w:type="dxa"/>
            <w:vAlign w:val="bottom"/>
            <w:gridSpan w:val="5"/>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16"/>
        </w:trPr>
        <w:tc>
          <w:tcPr>
            <w:tcW w:w="3080" w:type="dxa"/>
            <w:vAlign w:val="bottom"/>
            <w:vMerge w:val="continue"/>
          </w:tcPr>
          <w:p>
            <w:pPr>
              <w:spacing w:after="0"/>
              <w:rPr>
                <w:sz w:val="18"/>
                <w:szCs w:val="18"/>
                <w:color w:val="auto"/>
              </w:rPr>
            </w:pPr>
          </w:p>
        </w:tc>
        <w:tc>
          <w:tcPr>
            <w:tcW w:w="4800" w:type="dxa"/>
            <w:vAlign w:val="bottom"/>
          </w:tcPr>
          <w:p>
            <w:pPr>
              <w:ind w:left="340"/>
              <w:spacing w:after="0"/>
              <w:rPr>
                <w:sz w:val="20"/>
                <w:szCs w:val="20"/>
                <w:color w:val="auto"/>
              </w:rPr>
            </w:pPr>
            <w:r>
              <w:rPr>
                <w:rFonts w:ascii="Arial" w:cs="Arial" w:eastAsia="Arial" w:hAnsi="Arial"/>
                <w:sz w:val="18"/>
                <w:szCs w:val="18"/>
                <w:color w:val="auto"/>
              </w:rPr>
              <w:t>Textainer Equipment Management (U.S.) Limited</w:t>
            </w:r>
          </w:p>
        </w:tc>
        <w:tc>
          <w:tcPr>
            <w:tcW w:w="3140" w:type="dxa"/>
            <w:vAlign w:val="bottom"/>
            <w:gridSpan w:val="5"/>
          </w:tcPr>
          <w:p>
            <w:pPr>
              <w:ind w:left="500"/>
              <w:spacing w:after="0"/>
              <w:rPr>
                <w:sz w:val="20"/>
                <w:szCs w:val="20"/>
                <w:color w:val="auto"/>
              </w:rPr>
            </w:pPr>
            <w:r>
              <w:rPr>
                <w:rFonts w:ascii="Arial" w:cs="Arial" w:eastAsia="Arial" w:hAnsi="Arial"/>
                <w:sz w:val="18"/>
                <w:szCs w:val="18"/>
                <w:color w:val="auto"/>
              </w:rPr>
              <w:t>650 California Street, 16</w:t>
            </w:r>
            <w:r>
              <w:rPr>
                <w:rFonts w:ascii="Arial" w:cs="Arial" w:eastAsia="Arial" w:hAnsi="Arial"/>
                <w:sz w:val="15"/>
                <w:szCs w:val="15"/>
                <w:color w:val="auto"/>
              </w:rPr>
              <w:t>th</w:t>
            </w:r>
            <w:r>
              <w:rPr>
                <w:rFonts w:ascii="Arial" w:cs="Arial" w:eastAsia="Arial" w:hAnsi="Arial"/>
                <w:sz w:val="18"/>
                <w:szCs w:val="18"/>
                <w:color w:val="auto"/>
              </w:rPr>
              <w:t xml:space="preserve"> Floor</w:t>
            </w:r>
          </w:p>
        </w:tc>
        <w:tc>
          <w:tcPr>
            <w:tcW w:w="0" w:type="dxa"/>
            <w:vAlign w:val="bottom"/>
          </w:tcPr>
          <w:p>
            <w:pPr>
              <w:spacing w:after="0"/>
              <w:rPr>
                <w:sz w:val="1"/>
                <w:szCs w:val="1"/>
                <w:color w:val="auto"/>
              </w:rPr>
            </w:pPr>
          </w:p>
        </w:tc>
      </w:tr>
      <w:tr>
        <w:trPr>
          <w:trHeight w:val="216"/>
        </w:trPr>
        <w:tc>
          <w:tcPr>
            <w:tcW w:w="3080" w:type="dxa"/>
            <w:vAlign w:val="bottom"/>
          </w:tcPr>
          <w:p>
            <w:pPr>
              <w:spacing w:after="0"/>
              <w:rPr>
                <w:sz w:val="20"/>
                <w:szCs w:val="20"/>
                <w:color w:val="auto"/>
              </w:rPr>
            </w:pPr>
            <w:r>
              <w:rPr>
                <w:rFonts w:ascii="Arial" w:cs="Arial" w:eastAsia="Arial" w:hAnsi="Arial"/>
                <w:sz w:val="18"/>
                <w:szCs w:val="18"/>
                <w:color w:val="auto"/>
              </w:rPr>
              <w:t>Former President and</w:t>
            </w:r>
          </w:p>
        </w:tc>
        <w:tc>
          <w:tcPr>
            <w:tcW w:w="4800" w:type="dxa"/>
            <w:vAlign w:val="bottom"/>
            <w:vMerge w:val="restart"/>
          </w:tcPr>
          <w:p>
            <w:pPr>
              <w:ind w:left="340"/>
              <w:spacing w:after="0"/>
              <w:rPr>
                <w:sz w:val="20"/>
                <w:szCs w:val="20"/>
                <w:color w:val="auto"/>
              </w:rPr>
            </w:pPr>
            <w:r>
              <w:rPr>
                <w:rFonts w:ascii="Arial" w:cs="Arial" w:eastAsia="Arial" w:hAnsi="Arial"/>
                <w:sz w:val="18"/>
                <w:szCs w:val="18"/>
                <w:b w:val="1"/>
                <w:bCs w:val="1"/>
                <w:color w:val="auto"/>
              </w:rPr>
              <w:t>Daniel W. Cohen</w:t>
            </w:r>
          </w:p>
        </w:tc>
        <w:tc>
          <w:tcPr>
            <w:tcW w:w="3140" w:type="dxa"/>
            <w:vAlign w:val="bottom"/>
            <w:gridSpan w:val="5"/>
          </w:tcPr>
          <w:p>
            <w:pPr>
              <w:ind w:left="500"/>
              <w:spacing w:after="0"/>
              <w:rPr>
                <w:sz w:val="20"/>
                <w:szCs w:val="20"/>
                <w:color w:val="auto"/>
              </w:rPr>
            </w:pPr>
            <w:r>
              <w:rPr>
                <w:rFonts w:ascii="Arial" w:cs="Arial" w:eastAsia="Arial" w:hAnsi="Arial"/>
                <w:sz w:val="18"/>
                <w:szCs w:val="18"/>
                <w:color w:val="auto"/>
              </w:rPr>
              <w:t>San Francisco, CA 94108</w:t>
            </w:r>
          </w:p>
        </w:tc>
        <w:tc>
          <w:tcPr>
            <w:tcW w:w="0" w:type="dxa"/>
            <w:vAlign w:val="bottom"/>
          </w:tcPr>
          <w:p>
            <w:pPr>
              <w:spacing w:after="0"/>
              <w:rPr>
                <w:sz w:val="1"/>
                <w:szCs w:val="1"/>
                <w:color w:val="auto"/>
              </w:rPr>
            </w:pPr>
          </w:p>
        </w:tc>
      </w:tr>
      <w:tr>
        <w:trPr>
          <w:trHeight w:val="81"/>
        </w:trPr>
        <w:tc>
          <w:tcPr>
            <w:tcW w:w="3080" w:type="dxa"/>
            <w:vAlign w:val="bottom"/>
            <w:vMerge w:val="restart"/>
          </w:tcPr>
          <w:p>
            <w:pPr>
              <w:spacing w:after="0"/>
              <w:rPr>
                <w:sz w:val="20"/>
                <w:szCs w:val="20"/>
                <w:color w:val="auto"/>
              </w:rPr>
            </w:pPr>
            <w:r>
              <w:rPr>
                <w:rFonts w:ascii="Arial" w:cs="Arial" w:eastAsia="Arial" w:hAnsi="Arial"/>
                <w:sz w:val="18"/>
                <w:szCs w:val="18"/>
                <w:color w:val="auto"/>
              </w:rPr>
              <w:t>Chief Executive Officer</w:t>
            </w:r>
          </w:p>
        </w:tc>
        <w:tc>
          <w:tcPr>
            <w:tcW w:w="4800" w:type="dxa"/>
            <w:vAlign w:val="bottom"/>
            <w:vMerge w:val="continue"/>
          </w:tcPr>
          <w:p>
            <w:pPr>
              <w:spacing w:after="0"/>
              <w:rPr>
                <w:sz w:val="7"/>
                <w:szCs w:val="7"/>
                <w:color w:val="auto"/>
              </w:rPr>
            </w:pPr>
          </w:p>
        </w:tc>
        <w:tc>
          <w:tcPr>
            <w:tcW w:w="3140" w:type="dxa"/>
            <w:vAlign w:val="bottom"/>
            <w:gridSpan w:val="5"/>
            <w:vMerge w:val="restart"/>
          </w:tcPr>
          <w:p>
            <w:pPr>
              <w:ind w:left="500"/>
              <w:spacing w:after="0"/>
              <w:rPr>
                <w:sz w:val="20"/>
                <w:szCs w:val="20"/>
                <w:color w:val="auto"/>
              </w:rPr>
            </w:pPr>
            <w:r>
              <w:rPr>
                <w:rFonts w:ascii="Arial" w:cs="Arial" w:eastAsia="Arial" w:hAnsi="Arial"/>
                <w:sz w:val="18"/>
                <w:szCs w:val="18"/>
                <w:b w:val="1"/>
                <w:bCs w:val="1"/>
                <w:color w:val="auto"/>
              </w:rPr>
              <w:t>OFFICES</w:t>
            </w:r>
          </w:p>
        </w:tc>
        <w:tc>
          <w:tcPr>
            <w:tcW w:w="0" w:type="dxa"/>
            <w:vAlign w:val="bottom"/>
          </w:tcPr>
          <w:p>
            <w:pPr>
              <w:spacing w:after="0"/>
              <w:rPr>
                <w:sz w:val="1"/>
                <w:szCs w:val="1"/>
                <w:color w:val="auto"/>
              </w:rPr>
            </w:pPr>
          </w:p>
        </w:tc>
      </w:tr>
      <w:tr>
        <w:trPr>
          <w:trHeight w:val="135"/>
        </w:trPr>
        <w:tc>
          <w:tcPr>
            <w:tcW w:w="3080" w:type="dxa"/>
            <w:vAlign w:val="bottom"/>
            <w:vMerge w:val="continue"/>
          </w:tcPr>
          <w:p>
            <w:pPr>
              <w:spacing w:after="0"/>
              <w:rPr>
                <w:sz w:val="11"/>
                <w:szCs w:val="11"/>
                <w:color w:val="auto"/>
              </w:rPr>
            </w:pPr>
          </w:p>
        </w:tc>
        <w:tc>
          <w:tcPr>
            <w:tcW w:w="4800" w:type="dxa"/>
            <w:vAlign w:val="bottom"/>
            <w:vMerge w:val="restart"/>
          </w:tcPr>
          <w:p>
            <w:pPr>
              <w:ind w:left="340"/>
              <w:spacing w:after="0" w:line="190" w:lineRule="exact"/>
              <w:rPr>
                <w:sz w:val="20"/>
                <w:szCs w:val="20"/>
                <w:color w:val="auto"/>
              </w:rPr>
            </w:pPr>
            <w:r>
              <w:rPr>
                <w:rFonts w:ascii="Arial" w:cs="Arial" w:eastAsia="Arial" w:hAnsi="Arial"/>
                <w:sz w:val="18"/>
                <w:szCs w:val="18"/>
                <w:color w:val="auto"/>
              </w:rPr>
              <w:t>Vice President, General Counsel</w:t>
            </w:r>
          </w:p>
        </w:tc>
        <w:tc>
          <w:tcPr>
            <w:tcW w:w="3140" w:type="dxa"/>
            <w:vAlign w:val="bottom"/>
            <w:gridSpan w:val="5"/>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55"/>
        </w:trPr>
        <w:tc>
          <w:tcPr>
            <w:tcW w:w="3080" w:type="dxa"/>
            <w:vAlign w:val="bottom"/>
            <w:vMerge w:val="restart"/>
          </w:tcPr>
          <w:p>
            <w:pPr>
              <w:spacing w:after="0"/>
              <w:rPr>
                <w:sz w:val="20"/>
                <w:szCs w:val="20"/>
                <w:color w:val="auto"/>
              </w:rPr>
            </w:pPr>
            <w:r>
              <w:rPr>
                <w:rFonts w:ascii="Arial" w:cs="Arial" w:eastAsia="Arial" w:hAnsi="Arial"/>
                <w:sz w:val="18"/>
                <w:szCs w:val="18"/>
                <w:color w:val="auto"/>
              </w:rPr>
              <w:t>Textainer Group Holdings Limited</w:t>
            </w:r>
          </w:p>
        </w:tc>
        <w:tc>
          <w:tcPr>
            <w:tcW w:w="4800" w:type="dxa"/>
            <w:vAlign w:val="bottom"/>
            <w:vMerge w:val="continue"/>
          </w:tcPr>
          <w:p>
            <w:pPr>
              <w:spacing w:after="0"/>
              <w:rPr>
                <w:sz w:val="4"/>
                <w:szCs w:val="4"/>
                <w:color w:val="auto"/>
              </w:rPr>
            </w:pPr>
          </w:p>
        </w:tc>
        <w:tc>
          <w:tcPr>
            <w:tcW w:w="3140" w:type="dxa"/>
            <w:vAlign w:val="bottom"/>
            <w:gridSpan w:val="5"/>
            <w:vMerge w:val="continue"/>
          </w:tcPr>
          <w:p>
            <w:pPr>
              <w:spacing w:after="0"/>
              <w:rPr>
                <w:sz w:val="4"/>
                <w:szCs w:val="4"/>
                <w:color w:val="auto"/>
              </w:rPr>
            </w:pPr>
          </w:p>
        </w:tc>
        <w:tc>
          <w:tcPr>
            <w:tcW w:w="0" w:type="dxa"/>
            <w:vAlign w:val="bottom"/>
          </w:tcPr>
          <w:p>
            <w:pPr>
              <w:spacing w:after="0"/>
              <w:rPr>
                <w:sz w:val="1"/>
                <w:szCs w:val="1"/>
                <w:color w:val="auto"/>
              </w:rPr>
            </w:pPr>
          </w:p>
        </w:tc>
      </w:tr>
      <w:tr>
        <w:trPr>
          <w:trHeight w:val="20"/>
        </w:trPr>
        <w:tc>
          <w:tcPr>
            <w:tcW w:w="3080" w:type="dxa"/>
            <w:vAlign w:val="bottom"/>
            <w:vMerge w:val="continue"/>
          </w:tcPr>
          <w:p>
            <w:pPr>
              <w:spacing w:after="0" w:line="20" w:lineRule="exact"/>
              <w:rPr>
                <w:sz w:val="1"/>
                <w:szCs w:val="1"/>
                <w:color w:val="auto"/>
              </w:rPr>
            </w:pPr>
          </w:p>
        </w:tc>
        <w:tc>
          <w:tcPr>
            <w:tcW w:w="4800" w:type="dxa"/>
            <w:vAlign w:val="bottom"/>
            <w:vMerge w:val="restart"/>
          </w:tcPr>
          <w:p>
            <w:pPr>
              <w:ind w:left="340"/>
              <w:spacing w:after="0"/>
              <w:rPr>
                <w:sz w:val="20"/>
                <w:szCs w:val="20"/>
                <w:color w:val="auto"/>
              </w:rPr>
            </w:pPr>
            <w:r>
              <w:rPr>
                <w:rFonts w:ascii="Arial" w:cs="Arial" w:eastAsia="Arial" w:hAnsi="Arial"/>
                <w:sz w:val="18"/>
                <w:szCs w:val="18"/>
                <w:color w:val="auto"/>
              </w:rPr>
              <w:t>Textainer Equipment Management (U.S.) Limited</w:t>
            </w:r>
          </w:p>
        </w:tc>
        <w:tc>
          <w:tcPr>
            <w:tcW w:w="500" w:type="dxa"/>
            <w:vAlign w:val="bottom"/>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6"/>
        </w:trPr>
        <w:tc>
          <w:tcPr>
            <w:tcW w:w="3080" w:type="dxa"/>
            <w:vAlign w:val="bottom"/>
            <w:vMerge w:val="continue"/>
          </w:tcPr>
          <w:p>
            <w:pPr>
              <w:spacing w:after="0"/>
              <w:rPr>
                <w:sz w:val="13"/>
                <w:szCs w:val="13"/>
                <w:color w:val="auto"/>
              </w:rPr>
            </w:pPr>
          </w:p>
        </w:tc>
        <w:tc>
          <w:tcPr>
            <w:tcW w:w="4800" w:type="dxa"/>
            <w:vAlign w:val="bottom"/>
            <w:vMerge w:val="continue"/>
          </w:tcPr>
          <w:p>
            <w:pPr>
              <w:spacing w:after="0"/>
              <w:rPr>
                <w:sz w:val="13"/>
                <w:szCs w:val="13"/>
                <w:color w:val="auto"/>
              </w:rPr>
            </w:pPr>
          </w:p>
        </w:tc>
        <w:tc>
          <w:tcPr>
            <w:tcW w:w="3140" w:type="dxa"/>
            <w:vAlign w:val="bottom"/>
            <w:gridSpan w:val="5"/>
            <w:vMerge w:val="restart"/>
          </w:tcPr>
          <w:p>
            <w:pPr>
              <w:ind w:left="500"/>
              <w:spacing w:after="0"/>
              <w:rPr>
                <w:sz w:val="20"/>
                <w:szCs w:val="20"/>
                <w:color w:val="auto"/>
              </w:rPr>
            </w:pPr>
            <w:r>
              <w:rPr>
                <w:rFonts w:ascii="Arial" w:cs="Arial" w:eastAsia="Arial" w:hAnsi="Arial"/>
                <w:sz w:val="18"/>
                <w:szCs w:val="18"/>
                <w:color w:val="auto"/>
              </w:rPr>
              <w:t>Durban</w:t>
            </w:r>
          </w:p>
        </w:tc>
        <w:tc>
          <w:tcPr>
            <w:tcW w:w="0" w:type="dxa"/>
            <w:vAlign w:val="bottom"/>
          </w:tcPr>
          <w:p>
            <w:pPr>
              <w:spacing w:after="0"/>
              <w:rPr>
                <w:sz w:val="1"/>
                <w:szCs w:val="1"/>
                <w:color w:val="auto"/>
              </w:rPr>
            </w:pPr>
          </w:p>
        </w:tc>
      </w:tr>
      <w:tr>
        <w:trPr>
          <w:trHeight w:val="81"/>
        </w:trPr>
        <w:tc>
          <w:tcPr>
            <w:tcW w:w="3080" w:type="dxa"/>
            <w:vAlign w:val="bottom"/>
            <w:vMerge w:val="restart"/>
          </w:tcPr>
          <w:p>
            <w:pPr>
              <w:spacing w:after="0"/>
              <w:rPr>
                <w:sz w:val="20"/>
                <w:szCs w:val="20"/>
                <w:color w:val="auto"/>
              </w:rPr>
            </w:pPr>
            <w:r>
              <w:rPr>
                <w:rFonts w:ascii="Arial" w:cs="Arial" w:eastAsia="Arial" w:hAnsi="Arial"/>
                <w:sz w:val="18"/>
                <w:szCs w:val="18"/>
                <w:b w:val="1"/>
                <w:bCs w:val="1"/>
                <w:color w:val="auto"/>
              </w:rPr>
              <w:t xml:space="preserve">David M. Nurek </w:t>
            </w:r>
            <w:r>
              <w:rPr>
                <w:rFonts w:ascii="Arial" w:cs="Arial" w:eastAsia="Arial" w:hAnsi="Arial"/>
                <w:sz w:val="11"/>
                <w:szCs w:val="11"/>
                <w:b w:val="1"/>
                <w:bCs w:val="1"/>
                <w:color w:val="auto"/>
              </w:rPr>
              <w:t>(1) (2) (3)</w:t>
            </w:r>
          </w:p>
        </w:tc>
        <w:tc>
          <w:tcPr>
            <w:tcW w:w="4800" w:type="dxa"/>
            <w:vAlign w:val="bottom"/>
            <w:vMerge w:val="continue"/>
          </w:tcPr>
          <w:p>
            <w:pPr>
              <w:spacing w:after="0"/>
              <w:rPr>
                <w:sz w:val="7"/>
                <w:szCs w:val="7"/>
                <w:color w:val="auto"/>
              </w:rPr>
            </w:pPr>
          </w:p>
        </w:tc>
        <w:tc>
          <w:tcPr>
            <w:tcW w:w="3140" w:type="dxa"/>
            <w:vAlign w:val="bottom"/>
            <w:gridSpan w:val="5"/>
            <w:vMerge w:val="continue"/>
          </w:tcPr>
          <w:p>
            <w:pPr>
              <w:spacing w:after="0"/>
              <w:rPr>
                <w:sz w:val="7"/>
                <w:szCs w:val="7"/>
                <w:color w:val="auto"/>
              </w:rPr>
            </w:pPr>
          </w:p>
        </w:tc>
        <w:tc>
          <w:tcPr>
            <w:tcW w:w="0" w:type="dxa"/>
            <w:vAlign w:val="bottom"/>
          </w:tcPr>
          <w:p>
            <w:pPr>
              <w:spacing w:after="0"/>
              <w:rPr>
                <w:sz w:val="1"/>
                <w:szCs w:val="1"/>
                <w:color w:val="auto"/>
              </w:rPr>
            </w:pPr>
          </w:p>
        </w:tc>
      </w:tr>
      <w:tr>
        <w:trPr>
          <w:trHeight w:val="67"/>
        </w:trPr>
        <w:tc>
          <w:tcPr>
            <w:tcW w:w="3080" w:type="dxa"/>
            <w:vAlign w:val="bottom"/>
            <w:vMerge w:val="continue"/>
          </w:tcPr>
          <w:p>
            <w:pPr>
              <w:spacing w:after="0"/>
              <w:rPr>
                <w:sz w:val="5"/>
                <w:szCs w:val="5"/>
                <w:color w:val="auto"/>
              </w:rPr>
            </w:pPr>
          </w:p>
        </w:tc>
        <w:tc>
          <w:tcPr>
            <w:tcW w:w="4800" w:type="dxa"/>
            <w:vAlign w:val="bottom"/>
            <w:vMerge w:val="restart"/>
          </w:tcPr>
          <w:p>
            <w:pPr>
              <w:ind w:left="340"/>
              <w:spacing w:after="0"/>
              <w:rPr>
                <w:sz w:val="20"/>
                <w:szCs w:val="20"/>
                <w:color w:val="auto"/>
              </w:rPr>
            </w:pPr>
            <w:r>
              <w:rPr>
                <w:rFonts w:ascii="Arial" w:cs="Arial" w:eastAsia="Arial" w:hAnsi="Arial"/>
                <w:sz w:val="18"/>
                <w:szCs w:val="18"/>
                <w:b w:val="1"/>
                <w:bCs w:val="1"/>
                <w:color w:val="auto"/>
              </w:rPr>
              <w:t>Jack G. Figueira</w:t>
            </w:r>
          </w:p>
        </w:tc>
        <w:tc>
          <w:tcPr>
            <w:tcW w:w="3140" w:type="dxa"/>
            <w:vAlign w:val="bottom"/>
            <w:gridSpan w:val="5"/>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35"/>
        </w:trPr>
        <w:tc>
          <w:tcPr>
            <w:tcW w:w="3080" w:type="dxa"/>
            <w:vAlign w:val="bottom"/>
            <w:vMerge w:val="continue"/>
          </w:tcPr>
          <w:p>
            <w:pPr>
              <w:spacing w:after="0"/>
              <w:rPr>
                <w:sz w:val="11"/>
                <w:szCs w:val="11"/>
                <w:color w:val="auto"/>
              </w:rPr>
            </w:pPr>
          </w:p>
        </w:tc>
        <w:tc>
          <w:tcPr>
            <w:tcW w:w="4800" w:type="dxa"/>
            <w:vAlign w:val="bottom"/>
            <w:vMerge w:val="continue"/>
          </w:tcPr>
          <w:p>
            <w:pPr>
              <w:spacing w:after="0"/>
              <w:rPr>
                <w:sz w:val="11"/>
                <w:szCs w:val="11"/>
                <w:color w:val="auto"/>
              </w:rPr>
            </w:pPr>
          </w:p>
        </w:tc>
        <w:tc>
          <w:tcPr>
            <w:tcW w:w="3140" w:type="dxa"/>
            <w:vAlign w:val="bottom"/>
            <w:gridSpan w:val="5"/>
            <w:vMerge w:val="restart"/>
          </w:tcPr>
          <w:p>
            <w:pPr>
              <w:ind w:left="500"/>
              <w:spacing w:after="0"/>
              <w:rPr>
                <w:sz w:val="20"/>
                <w:szCs w:val="20"/>
                <w:color w:val="auto"/>
              </w:rPr>
            </w:pPr>
            <w:r>
              <w:rPr>
                <w:rFonts w:ascii="Arial" w:cs="Arial" w:eastAsia="Arial" w:hAnsi="Arial"/>
                <w:sz w:val="18"/>
                <w:szCs w:val="18"/>
                <w:color w:val="auto"/>
              </w:rPr>
              <w:t>Hamburg</w:t>
            </w:r>
          </w:p>
        </w:tc>
        <w:tc>
          <w:tcPr>
            <w:tcW w:w="0" w:type="dxa"/>
            <w:vAlign w:val="bottom"/>
          </w:tcPr>
          <w:p>
            <w:pPr>
              <w:spacing w:after="0"/>
              <w:rPr>
                <w:sz w:val="1"/>
                <w:szCs w:val="1"/>
                <w:color w:val="auto"/>
              </w:rPr>
            </w:pPr>
          </w:p>
        </w:tc>
      </w:tr>
      <w:tr>
        <w:trPr>
          <w:trHeight w:val="81"/>
        </w:trPr>
        <w:tc>
          <w:tcPr>
            <w:tcW w:w="3080" w:type="dxa"/>
            <w:vAlign w:val="bottom"/>
            <w:vMerge w:val="restart"/>
          </w:tcPr>
          <w:p>
            <w:pPr>
              <w:spacing w:after="0"/>
              <w:rPr>
                <w:sz w:val="20"/>
                <w:szCs w:val="20"/>
                <w:color w:val="auto"/>
              </w:rPr>
            </w:pPr>
            <w:r>
              <w:rPr>
                <w:rFonts w:ascii="Arial" w:cs="Arial" w:eastAsia="Arial" w:hAnsi="Arial"/>
                <w:sz w:val="18"/>
                <w:szCs w:val="18"/>
                <w:color w:val="auto"/>
              </w:rPr>
              <w:t>Former Executive</w:t>
            </w:r>
          </w:p>
        </w:tc>
        <w:tc>
          <w:tcPr>
            <w:tcW w:w="4800" w:type="dxa"/>
            <w:vAlign w:val="bottom"/>
            <w:vMerge w:val="continue"/>
          </w:tcPr>
          <w:p>
            <w:pPr>
              <w:spacing w:after="0"/>
              <w:rPr>
                <w:sz w:val="7"/>
                <w:szCs w:val="7"/>
                <w:color w:val="auto"/>
              </w:rPr>
            </w:pPr>
          </w:p>
        </w:tc>
        <w:tc>
          <w:tcPr>
            <w:tcW w:w="3140" w:type="dxa"/>
            <w:vAlign w:val="bottom"/>
            <w:gridSpan w:val="5"/>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35"/>
        </w:trPr>
        <w:tc>
          <w:tcPr>
            <w:tcW w:w="3080" w:type="dxa"/>
            <w:vAlign w:val="bottom"/>
            <w:vMerge w:val="continue"/>
          </w:tcPr>
          <w:p>
            <w:pPr>
              <w:spacing w:after="0"/>
              <w:rPr>
                <w:sz w:val="11"/>
                <w:szCs w:val="11"/>
                <w:color w:val="auto"/>
              </w:rPr>
            </w:pPr>
          </w:p>
        </w:tc>
        <w:tc>
          <w:tcPr>
            <w:tcW w:w="4800" w:type="dxa"/>
            <w:vAlign w:val="bottom"/>
            <w:vMerge w:val="restart"/>
          </w:tcPr>
          <w:p>
            <w:pPr>
              <w:ind w:left="340"/>
              <w:spacing w:after="0"/>
              <w:rPr>
                <w:sz w:val="20"/>
                <w:szCs w:val="20"/>
                <w:color w:val="auto"/>
              </w:rPr>
            </w:pPr>
            <w:r>
              <w:rPr>
                <w:rFonts w:ascii="Arial" w:cs="Arial" w:eastAsia="Arial" w:hAnsi="Arial"/>
                <w:sz w:val="18"/>
                <w:szCs w:val="18"/>
                <w:color w:val="auto"/>
              </w:rPr>
              <w:t>Vice President, Corporate Operations and Procurement</w:t>
            </w:r>
          </w:p>
        </w:tc>
        <w:tc>
          <w:tcPr>
            <w:tcW w:w="3140" w:type="dxa"/>
            <w:vAlign w:val="bottom"/>
            <w:gridSpan w:val="5"/>
            <w:vMerge w:val="restart"/>
          </w:tcPr>
          <w:p>
            <w:pPr>
              <w:ind w:left="500"/>
              <w:spacing w:after="0"/>
              <w:rPr>
                <w:sz w:val="20"/>
                <w:szCs w:val="20"/>
                <w:color w:val="auto"/>
              </w:rPr>
            </w:pPr>
            <w:r>
              <w:rPr>
                <w:rFonts w:ascii="Arial" w:cs="Arial" w:eastAsia="Arial" w:hAnsi="Arial"/>
                <w:sz w:val="18"/>
                <w:szCs w:val="18"/>
                <w:color w:val="auto"/>
              </w:rPr>
              <w:t>Hong Kong</w:t>
            </w:r>
          </w:p>
        </w:tc>
        <w:tc>
          <w:tcPr>
            <w:tcW w:w="0" w:type="dxa"/>
            <w:vAlign w:val="bottom"/>
          </w:tcPr>
          <w:p>
            <w:pPr>
              <w:spacing w:after="0"/>
              <w:rPr>
                <w:sz w:val="1"/>
                <w:szCs w:val="1"/>
                <w:color w:val="auto"/>
              </w:rPr>
            </w:pPr>
          </w:p>
        </w:tc>
      </w:tr>
      <w:tr>
        <w:trPr>
          <w:trHeight w:val="81"/>
        </w:trPr>
        <w:tc>
          <w:tcPr>
            <w:tcW w:w="3080" w:type="dxa"/>
            <w:vAlign w:val="bottom"/>
            <w:vMerge w:val="restart"/>
          </w:tcPr>
          <w:p>
            <w:pPr>
              <w:spacing w:after="0"/>
              <w:rPr>
                <w:sz w:val="20"/>
                <w:szCs w:val="20"/>
                <w:color w:val="auto"/>
              </w:rPr>
            </w:pPr>
            <w:r>
              <w:rPr>
                <w:rFonts w:ascii="Arial" w:cs="Arial" w:eastAsia="Arial" w:hAnsi="Arial"/>
                <w:sz w:val="18"/>
                <w:szCs w:val="18"/>
                <w:color w:val="auto"/>
              </w:rPr>
              <w:t>Investec Bank Limited</w:t>
            </w:r>
          </w:p>
        </w:tc>
        <w:tc>
          <w:tcPr>
            <w:tcW w:w="4800" w:type="dxa"/>
            <w:vAlign w:val="bottom"/>
            <w:vMerge w:val="continue"/>
          </w:tcPr>
          <w:p>
            <w:pPr>
              <w:spacing w:after="0"/>
              <w:rPr>
                <w:sz w:val="7"/>
                <w:szCs w:val="7"/>
                <w:color w:val="auto"/>
              </w:rPr>
            </w:pPr>
          </w:p>
        </w:tc>
        <w:tc>
          <w:tcPr>
            <w:tcW w:w="3140" w:type="dxa"/>
            <w:vAlign w:val="bottom"/>
            <w:gridSpan w:val="5"/>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49"/>
        </w:trPr>
        <w:tc>
          <w:tcPr>
            <w:tcW w:w="3080" w:type="dxa"/>
            <w:vAlign w:val="bottom"/>
            <w:vMerge w:val="continue"/>
          </w:tcPr>
          <w:p>
            <w:pPr>
              <w:spacing w:after="0"/>
              <w:rPr>
                <w:sz w:val="12"/>
                <w:szCs w:val="12"/>
                <w:color w:val="auto"/>
              </w:rPr>
            </w:pPr>
          </w:p>
        </w:tc>
        <w:tc>
          <w:tcPr>
            <w:tcW w:w="4800" w:type="dxa"/>
            <w:vAlign w:val="bottom"/>
            <w:vMerge w:val="restart"/>
          </w:tcPr>
          <w:p>
            <w:pPr>
              <w:ind w:left="340"/>
              <w:spacing w:after="0"/>
              <w:rPr>
                <w:sz w:val="20"/>
                <w:szCs w:val="20"/>
                <w:color w:val="auto"/>
              </w:rPr>
            </w:pPr>
            <w:r>
              <w:rPr>
                <w:rFonts w:ascii="Arial" w:cs="Arial" w:eastAsia="Arial" w:hAnsi="Arial"/>
                <w:sz w:val="18"/>
                <w:szCs w:val="18"/>
                <w:color w:val="auto"/>
              </w:rPr>
              <w:t>Textainer Equipment Management (U.S.) Limited</w:t>
            </w:r>
          </w:p>
        </w:tc>
        <w:tc>
          <w:tcPr>
            <w:tcW w:w="3140" w:type="dxa"/>
            <w:vAlign w:val="bottom"/>
            <w:gridSpan w:val="5"/>
            <w:vMerge w:val="restart"/>
          </w:tcPr>
          <w:p>
            <w:pPr>
              <w:ind w:left="500"/>
              <w:spacing w:after="0"/>
              <w:rPr>
                <w:sz w:val="20"/>
                <w:szCs w:val="20"/>
                <w:color w:val="auto"/>
              </w:rPr>
            </w:pPr>
            <w:r>
              <w:rPr>
                <w:rFonts w:ascii="Arial" w:cs="Arial" w:eastAsia="Arial" w:hAnsi="Arial"/>
                <w:sz w:val="18"/>
                <w:szCs w:val="18"/>
                <w:color w:val="auto"/>
              </w:rPr>
              <w:t>London</w:t>
            </w:r>
          </w:p>
        </w:tc>
        <w:tc>
          <w:tcPr>
            <w:tcW w:w="0" w:type="dxa"/>
            <w:vAlign w:val="bottom"/>
          </w:tcPr>
          <w:p>
            <w:pPr>
              <w:spacing w:after="0"/>
              <w:rPr>
                <w:sz w:val="1"/>
                <w:szCs w:val="1"/>
                <w:color w:val="auto"/>
              </w:rPr>
            </w:pPr>
          </w:p>
        </w:tc>
      </w:tr>
      <w:tr>
        <w:trPr>
          <w:trHeight w:val="67"/>
        </w:trPr>
        <w:tc>
          <w:tcPr>
            <w:tcW w:w="3080" w:type="dxa"/>
            <w:vAlign w:val="bottom"/>
            <w:vMerge w:val="restart"/>
          </w:tcPr>
          <w:p>
            <w:pPr>
              <w:spacing w:after="0"/>
              <w:rPr>
                <w:sz w:val="20"/>
                <w:szCs w:val="20"/>
                <w:color w:val="auto"/>
              </w:rPr>
            </w:pPr>
            <w:r>
              <w:rPr>
                <w:rFonts w:ascii="Arial" w:cs="Arial" w:eastAsia="Arial" w:hAnsi="Arial"/>
                <w:sz w:val="18"/>
                <w:szCs w:val="18"/>
                <w:b w:val="1"/>
                <w:bCs w:val="1"/>
                <w:color w:val="auto"/>
              </w:rPr>
              <w:t>Robert D. Pedersen</w:t>
            </w:r>
          </w:p>
        </w:tc>
        <w:tc>
          <w:tcPr>
            <w:tcW w:w="4800" w:type="dxa"/>
            <w:vAlign w:val="bottom"/>
            <w:vMerge w:val="continue"/>
          </w:tcPr>
          <w:p>
            <w:pPr>
              <w:spacing w:after="0"/>
              <w:rPr>
                <w:sz w:val="5"/>
                <w:szCs w:val="5"/>
                <w:color w:val="auto"/>
              </w:rPr>
            </w:pPr>
          </w:p>
        </w:tc>
        <w:tc>
          <w:tcPr>
            <w:tcW w:w="3140" w:type="dxa"/>
            <w:vAlign w:val="bottom"/>
            <w:gridSpan w:val="5"/>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16"/>
        </w:trPr>
        <w:tc>
          <w:tcPr>
            <w:tcW w:w="3080" w:type="dxa"/>
            <w:vAlign w:val="bottom"/>
            <w:vMerge w:val="continue"/>
          </w:tcPr>
          <w:p>
            <w:pPr>
              <w:spacing w:after="0"/>
              <w:rPr>
                <w:sz w:val="18"/>
                <w:szCs w:val="18"/>
                <w:color w:val="auto"/>
              </w:rPr>
            </w:pPr>
          </w:p>
        </w:tc>
        <w:tc>
          <w:tcPr>
            <w:tcW w:w="4800" w:type="dxa"/>
            <w:vAlign w:val="bottom"/>
            <w:vMerge w:val="restart"/>
          </w:tcPr>
          <w:p>
            <w:pPr>
              <w:ind w:left="340"/>
              <w:spacing w:after="0"/>
              <w:rPr>
                <w:sz w:val="20"/>
                <w:szCs w:val="20"/>
                <w:color w:val="auto"/>
              </w:rPr>
            </w:pPr>
            <w:r>
              <w:rPr>
                <w:rFonts w:ascii="Arial" w:cs="Arial" w:eastAsia="Arial" w:hAnsi="Arial"/>
                <w:sz w:val="18"/>
                <w:szCs w:val="18"/>
                <w:b w:val="1"/>
                <w:bCs w:val="1"/>
                <w:color w:val="auto"/>
              </w:rPr>
              <w:t>Giancarlo Gennaro</w:t>
            </w:r>
          </w:p>
        </w:tc>
        <w:tc>
          <w:tcPr>
            <w:tcW w:w="3140" w:type="dxa"/>
            <w:vAlign w:val="bottom"/>
            <w:gridSpan w:val="5"/>
          </w:tcPr>
          <w:p>
            <w:pPr>
              <w:ind w:left="500"/>
              <w:spacing w:after="0"/>
              <w:rPr>
                <w:sz w:val="20"/>
                <w:szCs w:val="20"/>
                <w:color w:val="auto"/>
              </w:rPr>
            </w:pPr>
            <w:r>
              <w:rPr>
                <w:rFonts w:ascii="Arial" w:cs="Arial" w:eastAsia="Arial" w:hAnsi="Arial"/>
                <w:sz w:val="18"/>
                <w:szCs w:val="18"/>
                <w:color w:val="auto"/>
              </w:rPr>
              <w:t>New York</w:t>
            </w:r>
          </w:p>
        </w:tc>
        <w:tc>
          <w:tcPr>
            <w:tcW w:w="0" w:type="dxa"/>
            <w:vAlign w:val="bottom"/>
          </w:tcPr>
          <w:p>
            <w:pPr>
              <w:spacing w:after="0"/>
              <w:rPr>
                <w:sz w:val="1"/>
                <w:szCs w:val="1"/>
                <w:color w:val="auto"/>
              </w:rPr>
            </w:pPr>
          </w:p>
        </w:tc>
      </w:tr>
      <w:tr>
        <w:trPr>
          <w:trHeight w:val="81"/>
        </w:trPr>
        <w:tc>
          <w:tcPr>
            <w:tcW w:w="3080" w:type="dxa"/>
            <w:vAlign w:val="bottom"/>
            <w:vMerge w:val="restart"/>
          </w:tcPr>
          <w:p>
            <w:pPr>
              <w:spacing w:after="0"/>
              <w:rPr>
                <w:sz w:val="20"/>
                <w:szCs w:val="20"/>
                <w:color w:val="auto"/>
              </w:rPr>
            </w:pPr>
            <w:r>
              <w:rPr>
                <w:rFonts w:ascii="Arial" w:cs="Arial" w:eastAsia="Arial" w:hAnsi="Arial"/>
                <w:sz w:val="18"/>
                <w:szCs w:val="18"/>
                <w:color w:val="auto"/>
              </w:rPr>
              <w:t>Former President and Chief</w:t>
            </w:r>
          </w:p>
        </w:tc>
        <w:tc>
          <w:tcPr>
            <w:tcW w:w="4800" w:type="dxa"/>
            <w:vAlign w:val="bottom"/>
            <w:vMerge w:val="continue"/>
          </w:tcPr>
          <w:p>
            <w:pPr>
              <w:spacing w:after="0"/>
              <w:rPr>
                <w:sz w:val="7"/>
                <w:szCs w:val="7"/>
                <w:color w:val="auto"/>
              </w:rPr>
            </w:pPr>
          </w:p>
        </w:tc>
        <w:tc>
          <w:tcPr>
            <w:tcW w:w="3140" w:type="dxa"/>
            <w:vAlign w:val="bottom"/>
            <w:gridSpan w:val="5"/>
            <w:vMerge w:val="restart"/>
          </w:tcPr>
          <w:p>
            <w:pPr>
              <w:ind w:left="500"/>
              <w:spacing w:after="0"/>
              <w:rPr>
                <w:sz w:val="20"/>
                <w:szCs w:val="20"/>
                <w:color w:val="auto"/>
              </w:rPr>
            </w:pPr>
            <w:r>
              <w:rPr>
                <w:rFonts w:ascii="Arial" w:cs="Arial" w:eastAsia="Arial" w:hAnsi="Arial"/>
                <w:sz w:val="18"/>
                <w:szCs w:val="18"/>
                <w:color w:val="auto"/>
              </w:rPr>
              <w:t>Port Klang</w:t>
            </w:r>
          </w:p>
        </w:tc>
        <w:tc>
          <w:tcPr>
            <w:tcW w:w="0" w:type="dxa"/>
            <w:vAlign w:val="bottom"/>
          </w:tcPr>
          <w:p>
            <w:pPr>
              <w:spacing w:after="0"/>
              <w:rPr>
                <w:sz w:val="1"/>
                <w:szCs w:val="1"/>
                <w:color w:val="auto"/>
              </w:rPr>
            </w:pPr>
          </w:p>
        </w:tc>
      </w:tr>
      <w:tr>
        <w:trPr>
          <w:trHeight w:val="135"/>
        </w:trPr>
        <w:tc>
          <w:tcPr>
            <w:tcW w:w="3080" w:type="dxa"/>
            <w:vAlign w:val="bottom"/>
            <w:vMerge w:val="continue"/>
          </w:tcPr>
          <w:p>
            <w:pPr>
              <w:spacing w:after="0"/>
              <w:rPr>
                <w:sz w:val="11"/>
                <w:szCs w:val="11"/>
                <w:color w:val="auto"/>
              </w:rPr>
            </w:pPr>
          </w:p>
        </w:tc>
        <w:tc>
          <w:tcPr>
            <w:tcW w:w="4800" w:type="dxa"/>
            <w:vAlign w:val="bottom"/>
            <w:vMerge w:val="restart"/>
          </w:tcPr>
          <w:p>
            <w:pPr>
              <w:ind w:left="340"/>
              <w:spacing w:after="0"/>
              <w:rPr>
                <w:sz w:val="20"/>
                <w:szCs w:val="20"/>
                <w:color w:val="auto"/>
              </w:rPr>
            </w:pPr>
            <w:r>
              <w:rPr>
                <w:rFonts w:ascii="Arial" w:cs="Arial" w:eastAsia="Arial" w:hAnsi="Arial"/>
                <w:sz w:val="18"/>
                <w:szCs w:val="18"/>
                <w:color w:val="auto"/>
              </w:rPr>
              <w:t>Vice President, Finance</w:t>
            </w:r>
          </w:p>
        </w:tc>
        <w:tc>
          <w:tcPr>
            <w:tcW w:w="3140" w:type="dxa"/>
            <w:vAlign w:val="bottom"/>
            <w:gridSpan w:val="5"/>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81"/>
        </w:trPr>
        <w:tc>
          <w:tcPr>
            <w:tcW w:w="3080" w:type="dxa"/>
            <w:vAlign w:val="bottom"/>
            <w:vMerge w:val="restart"/>
          </w:tcPr>
          <w:p>
            <w:pPr>
              <w:spacing w:after="0"/>
              <w:rPr>
                <w:sz w:val="20"/>
                <w:szCs w:val="20"/>
                <w:color w:val="auto"/>
              </w:rPr>
            </w:pPr>
            <w:r>
              <w:rPr>
                <w:rFonts w:ascii="Arial" w:cs="Arial" w:eastAsia="Arial" w:hAnsi="Arial"/>
                <w:sz w:val="18"/>
                <w:szCs w:val="18"/>
                <w:color w:val="auto"/>
              </w:rPr>
              <w:t>Executive Officer</w:t>
            </w:r>
          </w:p>
        </w:tc>
        <w:tc>
          <w:tcPr>
            <w:tcW w:w="4800" w:type="dxa"/>
            <w:vAlign w:val="bottom"/>
            <w:vMerge w:val="continue"/>
          </w:tcPr>
          <w:p>
            <w:pPr>
              <w:spacing w:after="0"/>
              <w:rPr>
                <w:sz w:val="7"/>
                <w:szCs w:val="7"/>
                <w:color w:val="auto"/>
              </w:rPr>
            </w:pPr>
          </w:p>
        </w:tc>
        <w:tc>
          <w:tcPr>
            <w:tcW w:w="3140" w:type="dxa"/>
            <w:vAlign w:val="bottom"/>
            <w:gridSpan w:val="5"/>
            <w:vMerge w:val="restart"/>
          </w:tcPr>
          <w:p>
            <w:pPr>
              <w:ind w:left="500"/>
              <w:spacing w:after="0"/>
              <w:rPr>
                <w:sz w:val="20"/>
                <w:szCs w:val="20"/>
                <w:color w:val="auto"/>
              </w:rPr>
            </w:pPr>
            <w:r>
              <w:rPr>
                <w:rFonts w:ascii="Arial" w:cs="Arial" w:eastAsia="Arial" w:hAnsi="Arial"/>
                <w:sz w:val="18"/>
                <w:szCs w:val="18"/>
                <w:color w:val="auto"/>
              </w:rPr>
              <w:t>Seoul</w:t>
            </w:r>
          </w:p>
        </w:tc>
        <w:tc>
          <w:tcPr>
            <w:tcW w:w="0" w:type="dxa"/>
            <w:vAlign w:val="bottom"/>
          </w:tcPr>
          <w:p>
            <w:pPr>
              <w:spacing w:after="0"/>
              <w:rPr>
                <w:sz w:val="1"/>
                <w:szCs w:val="1"/>
                <w:color w:val="auto"/>
              </w:rPr>
            </w:pPr>
          </w:p>
        </w:tc>
      </w:tr>
      <w:tr>
        <w:trPr>
          <w:trHeight w:val="135"/>
        </w:trPr>
        <w:tc>
          <w:tcPr>
            <w:tcW w:w="3080" w:type="dxa"/>
            <w:vAlign w:val="bottom"/>
            <w:vMerge w:val="continue"/>
          </w:tcPr>
          <w:p>
            <w:pPr>
              <w:spacing w:after="0"/>
              <w:rPr>
                <w:sz w:val="11"/>
                <w:szCs w:val="11"/>
                <w:color w:val="auto"/>
              </w:rPr>
            </w:pPr>
          </w:p>
        </w:tc>
        <w:tc>
          <w:tcPr>
            <w:tcW w:w="4800" w:type="dxa"/>
            <w:vAlign w:val="bottom"/>
            <w:vMerge w:val="restart"/>
          </w:tcPr>
          <w:p>
            <w:pPr>
              <w:ind w:left="340"/>
              <w:spacing w:after="0"/>
              <w:rPr>
                <w:sz w:val="20"/>
                <w:szCs w:val="20"/>
                <w:color w:val="auto"/>
              </w:rPr>
            </w:pPr>
            <w:r>
              <w:rPr>
                <w:rFonts w:ascii="Arial" w:cs="Arial" w:eastAsia="Arial" w:hAnsi="Arial"/>
                <w:sz w:val="18"/>
                <w:szCs w:val="18"/>
                <w:color w:val="auto"/>
              </w:rPr>
              <w:t>Textainer Equipment Management (U.S.) Limited</w:t>
            </w:r>
          </w:p>
        </w:tc>
        <w:tc>
          <w:tcPr>
            <w:tcW w:w="3140" w:type="dxa"/>
            <w:vAlign w:val="bottom"/>
            <w:gridSpan w:val="5"/>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95"/>
        </w:trPr>
        <w:tc>
          <w:tcPr>
            <w:tcW w:w="3080" w:type="dxa"/>
            <w:vAlign w:val="bottom"/>
            <w:vMerge w:val="restart"/>
          </w:tcPr>
          <w:p>
            <w:pPr>
              <w:spacing w:after="0"/>
              <w:rPr>
                <w:sz w:val="20"/>
                <w:szCs w:val="20"/>
                <w:color w:val="auto"/>
              </w:rPr>
            </w:pPr>
            <w:r>
              <w:rPr>
                <w:rFonts w:ascii="Arial" w:cs="Arial" w:eastAsia="Arial" w:hAnsi="Arial"/>
                <w:sz w:val="18"/>
                <w:szCs w:val="18"/>
                <w:color w:val="auto"/>
              </w:rPr>
              <w:t>Textainer Equipment Management</w:t>
            </w:r>
          </w:p>
        </w:tc>
        <w:tc>
          <w:tcPr>
            <w:tcW w:w="4800" w:type="dxa"/>
            <w:vAlign w:val="bottom"/>
            <w:vMerge w:val="continue"/>
          </w:tcPr>
          <w:p>
            <w:pPr>
              <w:spacing w:after="0"/>
              <w:rPr>
                <w:sz w:val="8"/>
                <w:szCs w:val="8"/>
                <w:color w:val="auto"/>
              </w:rPr>
            </w:pPr>
          </w:p>
        </w:tc>
        <w:tc>
          <w:tcPr>
            <w:tcW w:w="3140" w:type="dxa"/>
            <w:vAlign w:val="bottom"/>
            <w:gridSpan w:val="5"/>
            <w:vMerge w:val="restart"/>
          </w:tcPr>
          <w:p>
            <w:pPr>
              <w:ind w:left="500"/>
              <w:spacing w:after="0"/>
              <w:rPr>
                <w:sz w:val="20"/>
                <w:szCs w:val="20"/>
                <w:color w:val="auto"/>
              </w:rPr>
            </w:pPr>
            <w:r>
              <w:rPr>
                <w:rFonts w:ascii="Arial" w:cs="Arial" w:eastAsia="Arial" w:hAnsi="Arial"/>
                <w:sz w:val="18"/>
                <w:szCs w:val="18"/>
                <w:color w:val="auto"/>
              </w:rPr>
              <w:t>Shanghai</w:t>
            </w:r>
          </w:p>
        </w:tc>
        <w:tc>
          <w:tcPr>
            <w:tcW w:w="0" w:type="dxa"/>
            <w:vAlign w:val="bottom"/>
          </w:tcPr>
          <w:p>
            <w:pPr>
              <w:spacing w:after="0"/>
              <w:rPr>
                <w:sz w:val="1"/>
                <w:szCs w:val="1"/>
                <w:color w:val="auto"/>
              </w:rPr>
            </w:pPr>
          </w:p>
        </w:tc>
      </w:tr>
      <w:tr>
        <w:trPr>
          <w:trHeight w:val="121"/>
        </w:trPr>
        <w:tc>
          <w:tcPr>
            <w:tcW w:w="3080" w:type="dxa"/>
            <w:vAlign w:val="bottom"/>
            <w:vMerge w:val="continue"/>
          </w:tcPr>
          <w:p>
            <w:pPr>
              <w:spacing w:after="0"/>
              <w:rPr>
                <w:sz w:val="10"/>
                <w:szCs w:val="10"/>
                <w:color w:val="auto"/>
              </w:rPr>
            </w:pPr>
          </w:p>
        </w:tc>
        <w:tc>
          <w:tcPr>
            <w:tcW w:w="4800" w:type="dxa"/>
            <w:vAlign w:val="bottom"/>
            <w:vMerge w:val="restart"/>
          </w:tcPr>
          <w:p>
            <w:pPr>
              <w:ind w:left="340"/>
              <w:spacing w:after="0"/>
              <w:rPr>
                <w:sz w:val="20"/>
                <w:szCs w:val="20"/>
                <w:color w:val="auto"/>
              </w:rPr>
            </w:pPr>
            <w:r>
              <w:rPr>
                <w:rFonts w:ascii="Arial" w:cs="Arial" w:eastAsia="Arial" w:hAnsi="Arial"/>
                <w:sz w:val="18"/>
                <w:szCs w:val="18"/>
                <w:b w:val="1"/>
                <w:bCs w:val="1"/>
                <w:color w:val="auto"/>
              </w:rPr>
              <w:t>Michael Harvey</w:t>
            </w:r>
          </w:p>
        </w:tc>
        <w:tc>
          <w:tcPr>
            <w:tcW w:w="3140" w:type="dxa"/>
            <w:vAlign w:val="bottom"/>
            <w:gridSpan w:val="5"/>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76"/>
        </w:trPr>
        <w:tc>
          <w:tcPr>
            <w:tcW w:w="3080" w:type="dxa"/>
            <w:vAlign w:val="bottom"/>
          </w:tcPr>
          <w:p>
            <w:pPr>
              <w:spacing w:after="0" w:line="176" w:lineRule="exact"/>
              <w:rPr>
                <w:sz w:val="20"/>
                <w:szCs w:val="20"/>
                <w:color w:val="auto"/>
              </w:rPr>
            </w:pPr>
            <w:r>
              <w:rPr>
                <w:rFonts w:ascii="Arial" w:cs="Arial" w:eastAsia="Arial" w:hAnsi="Arial"/>
                <w:sz w:val="18"/>
                <w:szCs w:val="18"/>
                <w:color w:val="auto"/>
              </w:rPr>
              <w:t>Limited</w:t>
            </w:r>
          </w:p>
        </w:tc>
        <w:tc>
          <w:tcPr>
            <w:tcW w:w="4800" w:type="dxa"/>
            <w:vAlign w:val="bottom"/>
            <w:vMerge w:val="continue"/>
          </w:tcPr>
          <w:p>
            <w:pPr>
              <w:spacing w:after="0"/>
              <w:rPr>
                <w:sz w:val="15"/>
                <w:szCs w:val="15"/>
                <w:color w:val="auto"/>
              </w:rPr>
            </w:pPr>
          </w:p>
        </w:tc>
        <w:tc>
          <w:tcPr>
            <w:tcW w:w="3140" w:type="dxa"/>
            <w:vAlign w:val="bottom"/>
            <w:gridSpan w:val="5"/>
          </w:tcPr>
          <w:p>
            <w:pPr>
              <w:ind w:left="500"/>
              <w:spacing w:after="0" w:line="176" w:lineRule="exact"/>
              <w:rPr>
                <w:sz w:val="20"/>
                <w:szCs w:val="20"/>
                <w:color w:val="auto"/>
              </w:rPr>
            </w:pPr>
            <w:r>
              <w:rPr>
                <w:rFonts w:ascii="Arial" w:cs="Arial" w:eastAsia="Arial" w:hAnsi="Arial"/>
                <w:sz w:val="18"/>
                <w:szCs w:val="18"/>
                <w:color w:val="auto"/>
              </w:rPr>
              <w:t>Singapore</w:t>
            </w:r>
          </w:p>
        </w:tc>
        <w:tc>
          <w:tcPr>
            <w:tcW w:w="0" w:type="dxa"/>
            <w:vAlign w:val="bottom"/>
          </w:tcPr>
          <w:p>
            <w:pPr>
              <w:spacing w:after="0"/>
              <w:rPr>
                <w:sz w:val="1"/>
                <w:szCs w:val="1"/>
                <w:color w:val="auto"/>
              </w:rPr>
            </w:pPr>
          </w:p>
        </w:tc>
      </w:tr>
      <w:tr>
        <w:trPr>
          <w:trHeight w:val="216"/>
        </w:trPr>
        <w:tc>
          <w:tcPr>
            <w:tcW w:w="3080" w:type="dxa"/>
            <w:vAlign w:val="bottom"/>
            <w:vMerge w:val="restart"/>
          </w:tcPr>
          <w:p>
            <w:pPr>
              <w:spacing w:after="0"/>
              <w:rPr>
                <w:sz w:val="20"/>
                <w:szCs w:val="20"/>
                <w:color w:val="auto"/>
              </w:rPr>
            </w:pPr>
            <w:r>
              <w:rPr>
                <w:rFonts w:ascii="Arial" w:cs="Arial" w:eastAsia="Arial" w:hAnsi="Arial"/>
                <w:sz w:val="18"/>
                <w:szCs w:val="18"/>
                <w:b w:val="1"/>
                <w:bCs w:val="1"/>
                <w:color w:val="auto"/>
              </w:rPr>
              <w:t>Grace Tang</w:t>
            </w:r>
            <w:r>
              <w:rPr>
                <w:rFonts w:ascii="Arial" w:cs="Arial" w:eastAsia="Arial" w:hAnsi="Arial"/>
                <w:sz w:val="15"/>
                <w:szCs w:val="15"/>
                <w:b w:val="1"/>
                <w:bCs w:val="1"/>
                <w:color w:val="auto"/>
              </w:rPr>
              <w:t>(1)</w:t>
            </w:r>
          </w:p>
        </w:tc>
        <w:tc>
          <w:tcPr>
            <w:tcW w:w="4800" w:type="dxa"/>
            <w:vAlign w:val="bottom"/>
          </w:tcPr>
          <w:p>
            <w:pPr>
              <w:ind w:left="340"/>
              <w:spacing w:after="0"/>
              <w:rPr>
                <w:sz w:val="20"/>
                <w:szCs w:val="20"/>
                <w:color w:val="auto"/>
              </w:rPr>
            </w:pPr>
            <w:r>
              <w:rPr>
                <w:rFonts w:ascii="Arial" w:cs="Arial" w:eastAsia="Arial" w:hAnsi="Arial"/>
                <w:sz w:val="18"/>
                <w:szCs w:val="18"/>
                <w:color w:val="auto"/>
              </w:rPr>
              <w:t>Vice President</w:t>
            </w:r>
          </w:p>
        </w:tc>
        <w:tc>
          <w:tcPr>
            <w:tcW w:w="3140" w:type="dxa"/>
            <w:vAlign w:val="bottom"/>
            <w:gridSpan w:val="5"/>
          </w:tcPr>
          <w:p>
            <w:pPr>
              <w:ind w:left="500"/>
              <w:spacing w:after="0"/>
              <w:rPr>
                <w:sz w:val="20"/>
                <w:szCs w:val="20"/>
                <w:color w:val="auto"/>
              </w:rPr>
            </w:pPr>
            <w:r>
              <w:rPr>
                <w:rFonts w:ascii="Arial" w:cs="Arial" w:eastAsia="Arial" w:hAnsi="Arial"/>
                <w:sz w:val="18"/>
                <w:szCs w:val="18"/>
                <w:color w:val="auto"/>
              </w:rPr>
              <w:t>Sydney</w:t>
            </w:r>
          </w:p>
        </w:tc>
        <w:tc>
          <w:tcPr>
            <w:tcW w:w="0" w:type="dxa"/>
            <w:vAlign w:val="bottom"/>
          </w:tcPr>
          <w:p>
            <w:pPr>
              <w:spacing w:after="0"/>
              <w:rPr>
                <w:sz w:val="1"/>
                <w:szCs w:val="1"/>
                <w:color w:val="auto"/>
              </w:rPr>
            </w:pPr>
          </w:p>
        </w:tc>
      </w:tr>
      <w:tr>
        <w:trPr>
          <w:trHeight w:val="121"/>
        </w:trPr>
        <w:tc>
          <w:tcPr>
            <w:tcW w:w="3080" w:type="dxa"/>
            <w:vAlign w:val="bottom"/>
            <w:vMerge w:val="continue"/>
          </w:tcPr>
          <w:p>
            <w:pPr>
              <w:spacing w:after="0"/>
              <w:rPr>
                <w:sz w:val="10"/>
                <w:szCs w:val="10"/>
                <w:color w:val="auto"/>
              </w:rPr>
            </w:pPr>
          </w:p>
        </w:tc>
        <w:tc>
          <w:tcPr>
            <w:tcW w:w="4800" w:type="dxa"/>
            <w:vAlign w:val="bottom"/>
            <w:vMerge w:val="restart"/>
          </w:tcPr>
          <w:p>
            <w:pPr>
              <w:ind w:left="340"/>
              <w:spacing w:after="0"/>
              <w:rPr>
                <w:sz w:val="20"/>
                <w:szCs w:val="20"/>
                <w:color w:val="auto"/>
              </w:rPr>
            </w:pPr>
            <w:r>
              <w:rPr>
                <w:rFonts w:ascii="Arial" w:cs="Arial" w:eastAsia="Arial" w:hAnsi="Arial"/>
                <w:sz w:val="18"/>
                <w:szCs w:val="18"/>
                <w:color w:val="auto"/>
              </w:rPr>
              <w:t>Textainer Group Holdings Limited</w:t>
            </w:r>
          </w:p>
        </w:tc>
        <w:tc>
          <w:tcPr>
            <w:tcW w:w="3140" w:type="dxa"/>
            <w:vAlign w:val="bottom"/>
            <w:gridSpan w:val="5"/>
            <w:vMerge w:val="restart"/>
          </w:tcPr>
          <w:p>
            <w:pPr>
              <w:ind w:left="500"/>
              <w:spacing w:after="0"/>
              <w:rPr>
                <w:sz w:val="20"/>
                <w:szCs w:val="20"/>
                <w:color w:val="auto"/>
              </w:rPr>
            </w:pPr>
            <w:r>
              <w:rPr>
                <w:rFonts w:ascii="Arial" w:cs="Arial" w:eastAsia="Arial" w:hAnsi="Arial"/>
                <w:sz w:val="18"/>
                <w:szCs w:val="18"/>
                <w:color w:val="auto"/>
              </w:rPr>
              <w:t>Taipei</w:t>
            </w:r>
          </w:p>
        </w:tc>
        <w:tc>
          <w:tcPr>
            <w:tcW w:w="0" w:type="dxa"/>
            <w:vAlign w:val="bottom"/>
          </w:tcPr>
          <w:p>
            <w:pPr>
              <w:spacing w:after="0"/>
              <w:rPr>
                <w:sz w:val="1"/>
                <w:szCs w:val="1"/>
                <w:color w:val="auto"/>
              </w:rPr>
            </w:pPr>
          </w:p>
        </w:tc>
      </w:tr>
      <w:tr>
        <w:trPr>
          <w:trHeight w:val="135"/>
        </w:trPr>
        <w:tc>
          <w:tcPr>
            <w:tcW w:w="3080" w:type="dxa"/>
            <w:vAlign w:val="bottom"/>
            <w:vMerge w:val="restart"/>
          </w:tcPr>
          <w:p>
            <w:pPr>
              <w:spacing w:after="0"/>
              <w:rPr>
                <w:sz w:val="20"/>
                <w:szCs w:val="20"/>
                <w:color w:val="auto"/>
              </w:rPr>
            </w:pPr>
            <w:r>
              <w:rPr>
                <w:rFonts w:ascii="Arial" w:cs="Arial" w:eastAsia="Arial" w:hAnsi="Arial"/>
                <w:sz w:val="18"/>
                <w:szCs w:val="18"/>
                <w:color w:val="auto"/>
              </w:rPr>
              <w:t>Retired Partner</w:t>
            </w:r>
          </w:p>
        </w:tc>
        <w:tc>
          <w:tcPr>
            <w:tcW w:w="4800" w:type="dxa"/>
            <w:vAlign w:val="bottom"/>
            <w:vMerge w:val="continue"/>
          </w:tcPr>
          <w:p>
            <w:pPr>
              <w:spacing w:after="0"/>
              <w:rPr>
                <w:sz w:val="11"/>
                <w:szCs w:val="11"/>
                <w:color w:val="auto"/>
              </w:rPr>
            </w:pPr>
          </w:p>
        </w:tc>
        <w:tc>
          <w:tcPr>
            <w:tcW w:w="3140" w:type="dxa"/>
            <w:vAlign w:val="bottom"/>
            <w:gridSpan w:val="5"/>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81"/>
        </w:trPr>
        <w:tc>
          <w:tcPr>
            <w:tcW w:w="3080" w:type="dxa"/>
            <w:vAlign w:val="bottom"/>
            <w:vMerge w:val="continue"/>
          </w:tcPr>
          <w:p>
            <w:pPr>
              <w:spacing w:after="0"/>
              <w:rPr>
                <w:sz w:val="7"/>
                <w:szCs w:val="7"/>
                <w:color w:val="auto"/>
              </w:rPr>
            </w:pPr>
          </w:p>
        </w:tc>
        <w:tc>
          <w:tcPr>
            <w:tcW w:w="4800" w:type="dxa"/>
            <w:vAlign w:val="bottom"/>
            <w:vMerge w:val="restart"/>
          </w:tcPr>
          <w:p>
            <w:pPr>
              <w:ind w:left="340"/>
              <w:spacing w:after="0"/>
              <w:rPr>
                <w:sz w:val="20"/>
                <w:szCs w:val="20"/>
                <w:color w:val="auto"/>
              </w:rPr>
            </w:pPr>
            <w:r>
              <w:rPr>
                <w:rFonts w:ascii="Arial" w:cs="Arial" w:eastAsia="Arial" w:hAnsi="Arial"/>
                <w:sz w:val="18"/>
                <w:szCs w:val="18"/>
                <w:b w:val="1"/>
                <w:bCs w:val="1"/>
                <w:color w:val="auto"/>
              </w:rPr>
              <w:t>Adam H. Hopkin</w:t>
            </w:r>
          </w:p>
        </w:tc>
        <w:tc>
          <w:tcPr>
            <w:tcW w:w="3140" w:type="dxa"/>
            <w:vAlign w:val="bottom"/>
            <w:gridSpan w:val="5"/>
            <w:vMerge w:val="restart"/>
          </w:tcPr>
          <w:p>
            <w:pPr>
              <w:ind w:left="500"/>
              <w:spacing w:after="0"/>
              <w:rPr>
                <w:sz w:val="20"/>
                <w:szCs w:val="20"/>
                <w:color w:val="auto"/>
              </w:rPr>
            </w:pPr>
            <w:r>
              <w:rPr>
                <w:rFonts w:ascii="Arial" w:cs="Arial" w:eastAsia="Arial" w:hAnsi="Arial"/>
                <w:sz w:val="18"/>
                <w:szCs w:val="18"/>
                <w:color w:val="auto"/>
              </w:rPr>
              <w:t>Yokohama</w:t>
            </w:r>
          </w:p>
        </w:tc>
        <w:tc>
          <w:tcPr>
            <w:tcW w:w="0" w:type="dxa"/>
            <w:vAlign w:val="bottom"/>
          </w:tcPr>
          <w:p>
            <w:pPr>
              <w:spacing w:after="0"/>
              <w:rPr>
                <w:sz w:val="1"/>
                <w:szCs w:val="1"/>
                <w:color w:val="auto"/>
              </w:rPr>
            </w:pPr>
          </w:p>
        </w:tc>
      </w:tr>
      <w:tr>
        <w:trPr>
          <w:trHeight w:val="176"/>
        </w:trPr>
        <w:tc>
          <w:tcPr>
            <w:tcW w:w="3080" w:type="dxa"/>
            <w:vAlign w:val="bottom"/>
          </w:tcPr>
          <w:p>
            <w:pPr>
              <w:spacing w:after="0" w:line="176" w:lineRule="exact"/>
              <w:rPr>
                <w:sz w:val="20"/>
                <w:szCs w:val="20"/>
                <w:color w:val="auto"/>
              </w:rPr>
            </w:pPr>
            <w:r>
              <w:rPr>
                <w:rFonts w:ascii="Arial" w:cs="Arial" w:eastAsia="Arial" w:hAnsi="Arial"/>
                <w:sz w:val="18"/>
                <w:szCs w:val="18"/>
                <w:color w:val="auto"/>
              </w:rPr>
              <w:t>PwC</w:t>
            </w:r>
          </w:p>
        </w:tc>
        <w:tc>
          <w:tcPr>
            <w:tcW w:w="4800" w:type="dxa"/>
            <w:vAlign w:val="bottom"/>
            <w:vMerge w:val="continue"/>
          </w:tcPr>
          <w:p>
            <w:pPr>
              <w:spacing w:after="0"/>
              <w:rPr>
                <w:sz w:val="15"/>
                <w:szCs w:val="15"/>
                <w:color w:val="auto"/>
              </w:rPr>
            </w:pPr>
          </w:p>
        </w:tc>
        <w:tc>
          <w:tcPr>
            <w:tcW w:w="3140" w:type="dxa"/>
            <w:vAlign w:val="bottom"/>
            <w:gridSpan w:val="5"/>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02"/>
        </w:trPr>
        <w:tc>
          <w:tcPr>
            <w:tcW w:w="3080" w:type="dxa"/>
            <w:vAlign w:val="bottom"/>
            <w:vMerge w:val="restart"/>
          </w:tcPr>
          <w:p>
            <w:pPr>
              <w:spacing w:after="0"/>
              <w:rPr>
                <w:sz w:val="20"/>
                <w:szCs w:val="20"/>
                <w:color w:val="auto"/>
              </w:rPr>
            </w:pPr>
            <w:r>
              <w:rPr>
                <w:rFonts w:ascii="Arial" w:cs="Arial" w:eastAsia="Arial" w:hAnsi="Arial"/>
                <w:sz w:val="18"/>
                <w:szCs w:val="18"/>
                <w:b w:val="1"/>
                <w:bCs w:val="1"/>
                <w:color w:val="auto"/>
              </w:rPr>
              <w:t>Hennie Vander Merwe</w:t>
            </w:r>
          </w:p>
        </w:tc>
        <w:tc>
          <w:tcPr>
            <w:tcW w:w="4800" w:type="dxa"/>
            <w:vAlign w:val="bottom"/>
          </w:tcPr>
          <w:p>
            <w:pPr>
              <w:ind w:left="340"/>
              <w:spacing w:after="0" w:line="201" w:lineRule="exact"/>
              <w:rPr>
                <w:sz w:val="20"/>
                <w:szCs w:val="20"/>
                <w:color w:val="auto"/>
              </w:rPr>
            </w:pPr>
            <w:r>
              <w:rPr>
                <w:rFonts w:ascii="Arial" w:cs="Arial" w:eastAsia="Arial" w:hAnsi="Arial"/>
                <w:sz w:val="18"/>
                <w:szCs w:val="18"/>
                <w:color w:val="auto"/>
              </w:rPr>
              <w:t>Secretary</w:t>
            </w:r>
          </w:p>
        </w:tc>
        <w:tc>
          <w:tcPr>
            <w:tcW w:w="50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35"/>
        </w:trPr>
        <w:tc>
          <w:tcPr>
            <w:tcW w:w="3080" w:type="dxa"/>
            <w:vAlign w:val="bottom"/>
            <w:vMerge w:val="continue"/>
          </w:tcPr>
          <w:p>
            <w:pPr>
              <w:spacing w:after="0"/>
              <w:rPr>
                <w:sz w:val="11"/>
                <w:szCs w:val="11"/>
                <w:color w:val="auto"/>
              </w:rPr>
            </w:pPr>
          </w:p>
        </w:tc>
        <w:tc>
          <w:tcPr>
            <w:tcW w:w="4800" w:type="dxa"/>
            <w:vAlign w:val="bottom"/>
            <w:vMerge w:val="restart"/>
          </w:tcPr>
          <w:p>
            <w:pPr>
              <w:ind w:left="340"/>
              <w:spacing w:after="0"/>
              <w:rPr>
                <w:sz w:val="20"/>
                <w:szCs w:val="20"/>
                <w:color w:val="auto"/>
              </w:rPr>
            </w:pPr>
            <w:r>
              <w:rPr>
                <w:rFonts w:ascii="Arial" w:cs="Arial" w:eastAsia="Arial" w:hAnsi="Arial"/>
                <w:sz w:val="18"/>
                <w:szCs w:val="18"/>
                <w:color w:val="auto"/>
              </w:rPr>
              <w:t>Textainer Group Holdings Limited</w:t>
            </w:r>
          </w:p>
        </w:tc>
        <w:tc>
          <w:tcPr>
            <w:tcW w:w="50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95"/>
        </w:trPr>
        <w:tc>
          <w:tcPr>
            <w:tcW w:w="3080" w:type="dxa"/>
            <w:vAlign w:val="bottom"/>
            <w:vMerge w:val="restart"/>
          </w:tcPr>
          <w:p>
            <w:pPr>
              <w:spacing w:after="0"/>
              <w:rPr>
                <w:sz w:val="20"/>
                <w:szCs w:val="20"/>
                <w:color w:val="auto"/>
              </w:rPr>
            </w:pPr>
            <w:r>
              <w:rPr>
                <w:rFonts w:ascii="Arial" w:cs="Arial" w:eastAsia="Arial" w:hAnsi="Arial"/>
                <w:sz w:val="18"/>
                <w:szCs w:val="18"/>
                <w:color w:val="auto"/>
              </w:rPr>
              <w:t>Chief Executive Officer</w:t>
            </w:r>
          </w:p>
        </w:tc>
        <w:tc>
          <w:tcPr>
            <w:tcW w:w="4800" w:type="dxa"/>
            <w:vAlign w:val="bottom"/>
            <w:vMerge w:val="continue"/>
          </w:tcPr>
          <w:p>
            <w:pPr>
              <w:spacing w:after="0"/>
              <w:rPr>
                <w:sz w:val="8"/>
                <w:szCs w:val="8"/>
                <w:color w:val="auto"/>
              </w:rPr>
            </w:pPr>
          </w:p>
        </w:tc>
        <w:tc>
          <w:tcPr>
            <w:tcW w:w="500" w:type="dxa"/>
            <w:vAlign w:val="bottom"/>
          </w:tcPr>
          <w:p>
            <w:pPr>
              <w:spacing w:after="0"/>
              <w:rPr>
                <w:sz w:val="8"/>
                <w:szCs w:val="8"/>
                <w:color w:val="auto"/>
              </w:rPr>
            </w:pPr>
          </w:p>
        </w:tc>
        <w:tc>
          <w:tcPr>
            <w:tcW w:w="780" w:type="dxa"/>
            <w:vAlign w:val="bottom"/>
          </w:tcPr>
          <w:p>
            <w:pPr>
              <w:spacing w:after="0"/>
              <w:rPr>
                <w:sz w:val="8"/>
                <w:szCs w:val="8"/>
                <w:color w:val="auto"/>
              </w:rPr>
            </w:pPr>
          </w:p>
        </w:tc>
        <w:tc>
          <w:tcPr>
            <w:tcW w:w="740" w:type="dxa"/>
            <w:vAlign w:val="bottom"/>
          </w:tcPr>
          <w:p>
            <w:pPr>
              <w:spacing w:after="0"/>
              <w:rPr>
                <w:sz w:val="8"/>
                <w:szCs w:val="8"/>
                <w:color w:val="auto"/>
              </w:rPr>
            </w:pPr>
          </w:p>
        </w:tc>
        <w:tc>
          <w:tcPr>
            <w:tcW w:w="820" w:type="dxa"/>
            <w:vAlign w:val="bottom"/>
          </w:tcPr>
          <w:p>
            <w:pPr>
              <w:spacing w:after="0"/>
              <w:rPr>
                <w:sz w:val="8"/>
                <w:szCs w:val="8"/>
                <w:color w:val="auto"/>
              </w:rPr>
            </w:pPr>
          </w:p>
        </w:tc>
        <w:tc>
          <w:tcPr>
            <w:tcW w:w="3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21"/>
        </w:trPr>
        <w:tc>
          <w:tcPr>
            <w:tcW w:w="3080" w:type="dxa"/>
            <w:vAlign w:val="bottom"/>
            <w:vMerge w:val="continue"/>
          </w:tcPr>
          <w:p>
            <w:pPr>
              <w:spacing w:after="0"/>
              <w:rPr>
                <w:sz w:val="10"/>
                <w:szCs w:val="10"/>
                <w:color w:val="auto"/>
              </w:rPr>
            </w:pPr>
          </w:p>
        </w:tc>
        <w:tc>
          <w:tcPr>
            <w:tcW w:w="4800" w:type="dxa"/>
            <w:vAlign w:val="bottom"/>
            <w:vMerge w:val="restart"/>
          </w:tcPr>
          <w:p>
            <w:pPr>
              <w:ind w:left="340"/>
              <w:spacing w:after="0"/>
              <w:rPr>
                <w:sz w:val="20"/>
                <w:szCs w:val="20"/>
                <w:color w:val="auto"/>
              </w:rPr>
            </w:pPr>
            <w:r>
              <w:rPr>
                <w:rFonts w:ascii="Arial" w:cs="Arial" w:eastAsia="Arial" w:hAnsi="Arial"/>
                <w:sz w:val="18"/>
                <w:szCs w:val="18"/>
                <w:b w:val="1"/>
                <w:bCs w:val="1"/>
                <w:color w:val="auto"/>
              </w:rPr>
              <w:t>Charles Li</w:t>
            </w:r>
          </w:p>
        </w:tc>
        <w:tc>
          <w:tcPr>
            <w:tcW w:w="50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82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6"/>
        </w:trPr>
        <w:tc>
          <w:tcPr>
            <w:tcW w:w="3080" w:type="dxa"/>
            <w:vAlign w:val="bottom"/>
          </w:tcPr>
          <w:p>
            <w:pPr>
              <w:spacing w:after="0" w:line="176" w:lineRule="exact"/>
              <w:rPr>
                <w:sz w:val="20"/>
                <w:szCs w:val="20"/>
                <w:color w:val="auto"/>
              </w:rPr>
            </w:pPr>
            <w:r>
              <w:rPr>
                <w:rFonts w:ascii="Arial" w:cs="Arial" w:eastAsia="Arial" w:hAnsi="Arial"/>
                <w:sz w:val="18"/>
                <w:szCs w:val="18"/>
                <w:color w:val="auto"/>
              </w:rPr>
              <w:t>Trencor Limited</w:t>
            </w:r>
          </w:p>
        </w:tc>
        <w:tc>
          <w:tcPr>
            <w:tcW w:w="4800" w:type="dxa"/>
            <w:vAlign w:val="bottom"/>
            <w:vMerge w:val="continue"/>
          </w:tcPr>
          <w:p>
            <w:pPr>
              <w:spacing w:after="0"/>
              <w:rPr>
                <w:sz w:val="15"/>
                <w:szCs w:val="15"/>
                <w:color w:val="auto"/>
              </w:rPr>
            </w:pPr>
          </w:p>
        </w:tc>
        <w:tc>
          <w:tcPr>
            <w:tcW w:w="500" w:type="dxa"/>
            <w:vAlign w:val="bottom"/>
          </w:tcPr>
          <w:p>
            <w:pPr>
              <w:spacing w:after="0"/>
              <w:rPr>
                <w:sz w:val="15"/>
                <w:szCs w:val="15"/>
                <w:color w:val="auto"/>
              </w:rPr>
            </w:pPr>
          </w:p>
        </w:tc>
        <w:tc>
          <w:tcPr>
            <w:tcW w:w="780" w:type="dxa"/>
            <w:vAlign w:val="bottom"/>
          </w:tcPr>
          <w:p>
            <w:pPr>
              <w:spacing w:after="0"/>
              <w:rPr>
                <w:sz w:val="15"/>
                <w:szCs w:val="15"/>
                <w:color w:val="auto"/>
              </w:rPr>
            </w:pPr>
          </w:p>
        </w:tc>
        <w:tc>
          <w:tcPr>
            <w:tcW w:w="740" w:type="dxa"/>
            <w:vAlign w:val="bottom"/>
          </w:tcPr>
          <w:p>
            <w:pPr>
              <w:spacing w:after="0"/>
              <w:rPr>
                <w:sz w:val="15"/>
                <w:szCs w:val="15"/>
                <w:color w:val="auto"/>
              </w:rPr>
            </w:pPr>
          </w:p>
        </w:tc>
        <w:tc>
          <w:tcPr>
            <w:tcW w:w="82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02"/>
        </w:trPr>
        <w:tc>
          <w:tcPr>
            <w:tcW w:w="3080" w:type="dxa"/>
            <w:vAlign w:val="bottom"/>
          </w:tcPr>
          <w:p>
            <w:pPr>
              <w:spacing w:after="0"/>
              <w:rPr>
                <w:sz w:val="17"/>
                <w:szCs w:val="17"/>
                <w:color w:val="auto"/>
              </w:rPr>
            </w:pPr>
          </w:p>
        </w:tc>
        <w:tc>
          <w:tcPr>
            <w:tcW w:w="4800" w:type="dxa"/>
            <w:vAlign w:val="bottom"/>
          </w:tcPr>
          <w:p>
            <w:pPr>
              <w:ind w:left="340"/>
              <w:spacing w:after="0" w:line="201" w:lineRule="exact"/>
              <w:rPr>
                <w:sz w:val="20"/>
                <w:szCs w:val="20"/>
                <w:color w:val="auto"/>
              </w:rPr>
            </w:pPr>
            <w:r>
              <w:rPr>
                <w:rFonts w:ascii="Arial" w:cs="Arial" w:eastAsia="Arial" w:hAnsi="Arial"/>
                <w:sz w:val="18"/>
                <w:szCs w:val="18"/>
                <w:color w:val="auto"/>
              </w:rPr>
              <w:t>Regional Vice President-PRC and South Korea</w:t>
            </w:r>
          </w:p>
        </w:tc>
        <w:tc>
          <w:tcPr>
            <w:tcW w:w="50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3080" w:type="dxa"/>
            <w:vAlign w:val="bottom"/>
          </w:tcPr>
          <w:p>
            <w:pPr>
              <w:spacing w:after="0"/>
              <w:rPr>
                <w:sz w:val="20"/>
                <w:szCs w:val="20"/>
                <w:color w:val="auto"/>
              </w:rPr>
            </w:pPr>
          </w:p>
        </w:tc>
        <w:tc>
          <w:tcPr>
            <w:tcW w:w="4800" w:type="dxa"/>
            <w:vAlign w:val="bottom"/>
          </w:tcPr>
          <w:p>
            <w:pPr>
              <w:ind w:left="340"/>
              <w:spacing w:after="0"/>
              <w:rPr>
                <w:sz w:val="20"/>
                <w:szCs w:val="20"/>
                <w:color w:val="auto"/>
              </w:rPr>
            </w:pPr>
            <w:r>
              <w:rPr>
                <w:rFonts w:ascii="Arial" w:cs="Arial" w:eastAsia="Arial" w:hAnsi="Arial"/>
                <w:sz w:val="18"/>
                <w:szCs w:val="18"/>
                <w:color w:val="auto"/>
              </w:rPr>
              <w:t>Textainer Equipment Management Limited</w:t>
            </w:r>
          </w:p>
        </w:tc>
        <w:tc>
          <w:tcPr>
            <w:tcW w:w="50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96"/>
        </w:trPr>
        <w:tc>
          <w:tcPr>
            <w:tcW w:w="3080" w:type="dxa"/>
            <w:vAlign w:val="bottom"/>
          </w:tcPr>
          <w:p>
            <w:pPr>
              <w:spacing w:after="0"/>
              <w:rPr>
                <w:sz w:val="24"/>
                <w:szCs w:val="24"/>
                <w:color w:val="auto"/>
              </w:rPr>
            </w:pPr>
          </w:p>
        </w:tc>
        <w:tc>
          <w:tcPr>
            <w:tcW w:w="4800" w:type="dxa"/>
            <w:vAlign w:val="bottom"/>
          </w:tcPr>
          <w:p>
            <w:pPr>
              <w:ind w:left="340"/>
              <w:spacing w:after="0"/>
              <w:rPr>
                <w:sz w:val="20"/>
                <w:szCs w:val="20"/>
                <w:color w:val="auto"/>
              </w:rPr>
            </w:pPr>
            <w:r>
              <w:rPr>
                <w:rFonts w:ascii="Arial" w:cs="Arial" w:eastAsia="Arial" w:hAnsi="Arial"/>
                <w:sz w:val="18"/>
                <w:szCs w:val="18"/>
                <w:b w:val="1"/>
                <w:bCs w:val="1"/>
                <w:color w:val="auto"/>
              </w:rPr>
              <w:t>Cannia Lo</w:t>
            </w:r>
          </w:p>
        </w:tc>
        <w:tc>
          <w:tcPr>
            <w:tcW w:w="50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3080" w:type="dxa"/>
            <w:vAlign w:val="bottom"/>
          </w:tcPr>
          <w:p>
            <w:pPr>
              <w:spacing w:after="0"/>
              <w:rPr>
                <w:sz w:val="18"/>
                <w:szCs w:val="18"/>
                <w:color w:val="auto"/>
              </w:rPr>
            </w:pPr>
          </w:p>
        </w:tc>
        <w:tc>
          <w:tcPr>
            <w:tcW w:w="4800" w:type="dxa"/>
            <w:vAlign w:val="bottom"/>
          </w:tcPr>
          <w:p>
            <w:pPr>
              <w:ind w:left="340"/>
              <w:spacing w:after="0"/>
              <w:rPr>
                <w:sz w:val="20"/>
                <w:szCs w:val="20"/>
                <w:color w:val="auto"/>
              </w:rPr>
            </w:pPr>
            <w:r>
              <w:rPr>
                <w:rFonts w:ascii="Arial" w:cs="Arial" w:eastAsia="Arial" w:hAnsi="Arial"/>
                <w:sz w:val="18"/>
                <w:szCs w:val="18"/>
                <w:color w:val="auto"/>
              </w:rPr>
              <w:t>Vice President-External Reporting and Consolidation</w:t>
            </w:r>
          </w:p>
        </w:tc>
        <w:tc>
          <w:tcPr>
            <w:tcW w:w="50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080" w:type="dxa"/>
            <w:vAlign w:val="bottom"/>
          </w:tcPr>
          <w:p>
            <w:pPr>
              <w:spacing w:after="0"/>
              <w:rPr>
                <w:sz w:val="20"/>
                <w:szCs w:val="20"/>
                <w:color w:val="auto"/>
              </w:rPr>
            </w:pPr>
          </w:p>
        </w:tc>
        <w:tc>
          <w:tcPr>
            <w:tcW w:w="4800" w:type="dxa"/>
            <w:vAlign w:val="bottom"/>
          </w:tcPr>
          <w:p>
            <w:pPr>
              <w:ind w:left="340"/>
              <w:spacing w:after="0"/>
              <w:rPr>
                <w:sz w:val="20"/>
                <w:szCs w:val="20"/>
                <w:color w:val="auto"/>
              </w:rPr>
            </w:pPr>
            <w:r>
              <w:rPr>
                <w:rFonts w:ascii="Arial" w:cs="Arial" w:eastAsia="Arial" w:hAnsi="Arial"/>
                <w:sz w:val="18"/>
                <w:szCs w:val="18"/>
                <w:color w:val="auto"/>
              </w:rPr>
              <w:t>Textainer Equipment Management (U.S.) Limited</w:t>
            </w:r>
          </w:p>
        </w:tc>
        <w:tc>
          <w:tcPr>
            <w:tcW w:w="50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83"/>
        </w:trPr>
        <w:tc>
          <w:tcPr>
            <w:tcW w:w="3080" w:type="dxa"/>
            <w:vAlign w:val="bottom"/>
          </w:tcPr>
          <w:p>
            <w:pPr>
              <w:spacing w:after="0"/>
              <w:rPr>
                <w:sz w:val="24"/>
                <w:szCs w:val="24"/>
                <w:color w:val="auto"/>
              </w:rPr>
            </w:pPr>
          </w:p>
        </w:tc>
        <w:tc>
          <w:tcPr>
            <w:tcW w:w="4800" w:type="dxa"/>
            <w:vAlign w:val="bottom"/>
          </w:tcPr>
          <w:p>
            <w:pPr>
              <w:ind w:left="340"/>
              <w:spacing w:after="0"/>
              <w:rPr>
                <w:sz w:val="20"/>
                <w:szCs w:val="20"/>
                <w:color w:val="auto"/>
              </w:rPr>
            </w:pPr>
            <w:r>
              <w:rPr>
                <w:rFonts w:ascii="Arial" w:cs="Arial" w:eastAsia="Arial" w:hAnsi="Arial"/>
                <w:sz w:val="18"/>
                <w:szCs w:val="18"/>
                <w:b w:val="1"/>
                <w:bCs w:val="1"/>
                <w:color w:val="auto"/>
              </w:rPr>
              <w:t>Vincent Mak</w:t>
            </w:r>
          </w:p>
        </w:tc>
        <w:tc>
          <w:tcPr>
            <w:tcW w:w="50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3080" w:type="dxa"/>
            <w:vAlign w:val="bottom"/>
          </w:tcPr>
          <w:p>
            <w:pPr>
              <w:spacing w:after="0"/>
              <w:rPr>
                <w:sz w:val="18"/>
                <w:szCs w:val="18"/>
                <w:color w:val="auto"/>
              </w:rPr>
            </w:pPr>
          </w:p>
        </w:tc>
        <w:tc>
          <w:tcPr>
            <w:tcW w:w="4800" w:type="dxa"/>
            <w:vAlign w:val="bottom"/>
          </w:tcPr>
          <w:p>
            <w:pPr>
              <w:ind w:left="340"/>
              <w:spacing w:after="0"/>
              <w:rPr>
                <w:sz w:val="20"/>
                <w:szCs w:val="20"/>
                <w:color w:val="auto"/>
              </w:rPr>
            </w:pPr>
            <w:r>
              <w:rPr>
                <w:rFonts w:ascii="Arial" w:cs="Arial" w:eastAsia="Arial" w:hAnsi="Arial"/>
                <w:sz w:val="18"/>
                <w:szCs w:val="18"/>
                <w:color w:val="auto"/>
              </w:rPr>
              <w:t>Regional Vice President-Asia</w:t>
            </w:r>
          </w:p>
        </w:tc>
        <w:tc>
          <w:tcPr>
            <w:tcW w:w="50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080" w:type="dxa"/>
            <w:vAlign w:val="bottom"/>
          </w:tcPr>
          <w:p>
            <w:pPr>
              <w:spacing w:after="0"/>
              <w:rPr>
                <w:sz w:val="20"/>
                <w:szCs w:val="20"/>
                <w:color w:val="auto"/>
              </w:rPr>
            </w:pPr>
          </w:p>
        </w:tc>
        <w:tc>
          <w:tcPr>
            <w:tcW w:w="4800" w:type="dxa"/>
            <w:vAlign w:val="bottom"/>
          </w:tcPr>
          <w:p>
            <w:pPr>
              <w:ind w:left="340"/>
              <w:spacing w:after="0"/>
              <w:rPr>
                <w:sz w:val="20"/>
                <w:szCs w:val="20"/>
                <w:color w:val="auto"/>
              </w:rPr>
            </w:pPr>
            <w:r>
              <w:rPr>
                <w:rFonts w:ascii="Arial" w:cs="Arial" w:eastAsia="Arial" w:hAnsi="Arial"/>
                <w:sz w:val="18"/>
                <w:szCs w:val="18"/>
                <w:color w:val="auto"/>
              </w:rPr>
              <w:t>Textainer Equipment Management Limited</w:t>
            </w:r>
          </w:p>
        </w:tc>
        <w:tc>
          <w:tcPr>
            <w:tcW w:w="50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83"/>
        </w:trPr>
        <w:tc>
          <w:tcPr>
            <w:tcW w:w="3080" w:type="dxa"/>
            <w:vAlign w:val="bottom"/>
          </w:tcPr>
          <w:p>
            <w:pPr>
              <w:spacing w:after="0"/>
              <w:rPr>
                <w:sz w:val="24"/>
                <w:szCs w:val="24"/>
                <w:color w:val="auto"/>
              </w:rPr>
            </w:pPr>
          </w:p>
        </w:tc>
        <w:tc>
          <w:tcPr>
            <w:tcW w:w="4800" w:type="dxa"/>
            <w:vAlign w:val="bottom"/>
          </w:tcPr>
          <w:p>
            <w:pPr>
              <w:ind w:left="340"/>
              <w:spacing w:after="0"/>
              <w:rPr>
                <w:sz w:val="20"/>
                <w:szCs w:val="20"/>
                <w:color w:val="auto"/>
              </w:rPr>
            </w:pPr>
            <w:r>
              <w:rPr>
                <w:rFonts w:ascii="Arial" w:cs="Arial" w:eastAsia="Arial" w:hAnsi="Arial"/>
                <w:sz w:val="18"/>
                <w:szCs w:val="18"/>
                <w:b w:val="1"/>
                <w:bCs w:val="1"/>
                <w:color w:val="auto"/>
              </w:rPr>
              <w:t>Michael Samsel</w:t>
            </w:r>
          </w:p>
        </w:tc>
        <w:tc>
          <w:tcPr>
            <w:tcW w:w="50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3080" w:type="dxa"/>
            <w:vAlign w:val="bottom"/>
          </w:tcPr>
          <w:p>
            <w:pPr>
              <w:spacing w:after="0"/>
              <w:rPr>
                <w:sz w:val="18"/>
                <w:szCs w:val="18"/>
                <w:color w:val="auto"/>
              </w:rPr>
            </w:pPr>
          </w:p>
        </w:tc>
        <w:tc>
          <w:tcPr>
            <w:tcW w:w="4800" w:type="dxa"/>
            <w:vAlign w:val="bottom"/>
          </w:tcPr>
          <w:p>
            <w:pPr>
              <w:ind w:left="340"/>
              <w:spacing w:after="0"/>
              <w:rPr>
                <w:sz w:val="20"/>
                <w:szCs w:val="20"/>
                <w:color w:val="auto"/>
              </w:rPr>
            </w:pPr>
            <w:r>
              <w:rPr>
                <w:rFonts w:ascii="Arial" w:cs="Arial" w:eastAsia="Arial" w:hAnsi="Arial"/>
                <w:sz w:val="18"/>
                <w:szCs w:val="18"/>
                <w:color w:val="auto"/>
              </w:rPr>
              <w:t>Regional Vice President-EMEA</w:t>
            </w:r>
          </w:p>
        </w:tc>
        <w:tc>
          <w:tcPr>
            <w:tcW w:w="50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080" w:type="dxa"/>
            <w:vAlign w:val="bottom"/>
          </w:tcPr>
          <w:p>
            <w:pPr>
              <w:spacing w:after="0"/>
              <w:rPr>
                <w:sz w:val="20"/>
                <w:szCs w:val="20"/>
                <w:color w:val="auto"/>
              </w:rPr>
            </w:pPr>
          </w:p>
        </w:tc>
        <w:tc>
          <w:tcPr>
            <w:tcW w:w="4800" w:type="dxa"/>
            <w:vAlign w:val="bottom"/>
          </w:tcPr>
          <w:p>
            <w:pPr>
              <w:ind w:left="340"/>
              <w:spacing w:after="0"/>
              <w:rPr>
                <w:sz w:val="20"/>
                <w:szCs w:val="20"/>
                <w:color w:val="auto"/>
              </w:rPr>
            </w:pPr>
            <w:r>
              <w:rPr>
                <w:rFonts w:ascii="Arial" w:cs="Arial" w:eastAsia="Arial" w:hAnsi="Arial"/>
                <w:sz w:val="18"/>
                <w:szCs w:val="18"/>
                <w:color w:val="auto"/>
              </w:rPr>
              <w:t>Textainer Equipment Management Limited</w:t>
            </w:r>
          </w:p>
        </w:tc>
        <w:tc>
          <w:tcPr>
            <w:tcW w:w="50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83"/>
        </w:trPr>
        <w:tc>
          <w:tcPr>
            <w:tcW w:w="3080" w:type="dxa"/>
            <w:vAlign w:val="bottom"/>
          </w:tcPr>
          <w:p>
            <w:pPr>
              <w:spacing w:after="0"/>
              <w:rPr>
                <w:sz w:val="24"/>
                <w:szCs w:val="24"/>
                <w:color w:val="auto"/>
              </w:rPr>
            </w:pPr>
          </w:p>
        </w:tc>
        <w:tc>
          <w:tcPr>
            <w:tcW w:w="4800" w:type="dxa"/>
            <w:vAlign w:val="bottom"/>
          </w:tcPr>
          <w:p>
            <w:pPr>
              <w:ind w:left="340"/>
              <w:spacing w:after="0"/>
              <w:rPr>
                <w:sz w:val="20"/>
                <w:szCs w:val="20"/>
                <w:color w:val="auto"/>
              </w:rPr>
            </w:pPr>
            <w:r>
              <w:rPr>
                <w:rFonts w:ascii="Arial" w:cs="Arial" w:eastAsia="Arial" w:hAnsi="Arial"/>
                <w:sz w:val="18"/>
                <w:szCs w:val="18"/>
                <w:b w:val="1"/>
                <w:bCs w:val="1"/>
                <w:color w:val="auto"/>
              </w:rPr>
              <w:t>John R. Simmons</w:t>
            </w:r>
          </w:p>
        </w:tc>
        <w:tc>
          <w:tcPr>
            <w:tcW w:w="50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3080" w:type="dxa"/>
            <w:vAlign w:val="bottom"/>
          </w:tcPr>
          <w:p>
            <w:pPr>
              <w:spacing w:after="0"/>
              <w:rPr>
                <w:sz w:val="18"/>
                <w:szCs w:val="18"/>
                <w:color w:val="auto"/>
              </w:rPr>
            </w:pPr>
          </w:p>
        </w:tc>
        <w:tc>
          <w:tcPr>
            <w:tcW w:w="4800" w:type="dxa"/>
            <w:vAlign w:val="bottom"/>
          </w:tcPr>
          <w:p>
            <w:pPr>
              <w:ind w:left="340"/>
              <w:spacing w:after="0"/>
              <w:rPr>
                <w:sz w:val="20"/>
                <w:szCs w:val="20"/>
                <w:color w:val="auto"/>
              </w:rPr>
            </w:pPr>
            <w:r>
              <w:rPr>
                <w:rFonts w:ascii="Arial" w:cs="Arial" w:eastAsia="Arial" w:hAnsi="Arial"/>
                <w:sz w:val="18"/>
                <w:szCs w:val="18"/>
                <w:color w:val="auto"/>
              </w:rPr>
              <w:t>Vice President-Americas</w:t>
            </w:r>
          </w:p>
        </w:tc>
        <w:tc>
          <w:tcPr>
            <w:tcW w:w="50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080" w:type="dxa"/>
            <w:vAlign w:val="bottom"/>
          </w:tcPr>
          <w:p>
            <w:pPr>
              <w:spacing w:after="0"/>
              <w:rPr>
                <w:sz w:val="20"/>
                <w:szCs w:val="20"/>
                <w:color w:val="auto"/>
              </w:rPr>
            </w:pPr>
          </w:p>
        </w:tc>
        <w:tc>
          <w:tcPr>
            <w:tcW w:w="4800" w:type="dxa"/>
            <w:vAlign w:val="bottom"/>
          </w:tcPr>
          <w:p>
            <w:pPr>
              <w:ind w:left="340"/>
              <w:spacing w:after="0"/>
              <w:rPr>
                <w:sz w:val="20"/>
                <w:szCs w:val="20"/>
                <w:color w:val="auto"/>
              </w:rPr>
            </w:pPr>
            <w:r>
              <w:rPr>
                <w:rFonts w:ascii="Arial" w:cs="Arial" w:eastAsia="Arial" w:hAnsi="Arial"/>
                <w:sz w:val="18"/>
                <w:szCs w:val="18"/>
                <w:color w:val="auto"/>
              </w:rPr>
              <w:t>Textainer Equipment Management Limited</w:t>
            </w:r>
          </w:p>
        </w:tc>
        <w:tc>
          <w:tcPr>
            <w:tcW w:w="50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83"/>
        </w:trPr>
        <w:tc>
          <w:tcPr>
            <w:tcW w:w="3080" w:type="dxa"/>
            <w:vAlign w:val="bottom"/>
          </w:tcPr>
          <w:p>
            <w:pPr>
              <w:spacing w:after="0"/>
              <w:rPr>
                <w:sz w:val="24"/>
                <w:szCs w:val="24"/>
                <w:color w:val="auto"/>
              </w:rPr>
            </w:pPr>
          </w:p>
        </w:tc>
        <w:tc>
          <w:tcPr>
            <w:tcW w:w="4800" w:type="dxa"/>
            <w:vAlign w:val="bottom"/>
          </w:tcPr>
          <w:p>
            <w:pPr>
              <w:ind w:left="340"/>
              <w:spacing w:after="0"/>
              <w:rPr>
                <w:sz w:val="20"/>
                <w:szCs w:val="20"/>
                <w:color w:val="auto"/>
              </w:rPr>
            </w:pPr>
            <w:r>
              <w:rPr>
                <w:rFonts w:ascii="Arial" w:cs="Arial" w:eastAsia="Arial" w:hAnsi="Arial"/>
                <w:sz w:val="18"/>
                <w:szCs w:val="18"/>
                <w:b w:val="1"/>
                <w:bCs w:val="1"/>
                <w:color w:val="auto"/>
              </w:rPr>
              <w:t>Philippe Wendling</w:t>
            </w:r>
          </w:p>
        </w:tc>
        <w:tc>
          <w:tcPr>
            <w:tcW w:w="50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3080" w:type="dxa"/>
            <w:vAlign w:val="bottom"/>
          </w:tcPr>
          <w:p>
            <w:pPr>
              <w:spacing w:after="0"/>
              <w:rPr>
                <w:sz w:val="18"/>
                <w:szCs w:val="18"/>
                <w:color w:val="auto"/>
              </w:rPr>
            </w:pPr>
          </w:p>
        </w:tc>
        <w:tc>
          <w:tcPr>
            <w:tcW w:w="4800" w:type="dxa"/>
            <w:vAlign w:val="bottom"/>
          </w:tcPr>
          <w:p>
            <w:pPr>
              <w:ind w:left="340"/>
              <w:spacing w:after="0"/>
              <w:rPr>
                <w:sz w:val="20"/>
                <w:szCs w:val="20"/>
                <w:color w:val="auto"/>
              </w:rPr>
            </w:pPr>
            <w:r>
              <w:rPr>
                <w:rFonts w:ascii="Arial" w:cs="Arial" w:eastAsia="Arial" w:hAnsi="Arial"/>
                <w:sz w:val="18"/>
                <w:szCs w:val="18"/>
                <w:color w:val="auto"/>
              </w:rPr>
              <w:t>Senior Vice President-Marketing</w:t>
            </w:r>
          </w:p>
        </w:tc>
        <w:tc>
          <w:tcPr>
            <w:tcW w:w="50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080" w:type="dxa"/>
            <w:vAlign w:val="bottom"/>
          </w:tcPr>
          <w:p>
            <w:pPr>
              <w:spacing w:after="0"/>
              <w:rPr>
                <w:sz w:val="20"/>
                <w:szCs w:val="20"/>
                <w:color w:val="auto"/>
              </w:rPr>
            </w:pPr>
          </w:p>
        </w:tc>
        <w:tc>
          <w:tcPr>
            <w:tcW w:w="4800" w:type="dxa"/>
            <w:vAlign w:val="bottom"/>
          </w:tcPr>
          <w:p>
            <w:pPr>
              <w:ind w:left="340"/>
              <w:spacing w:after="0"/>
              <w:rPr>
                <w:sz w:val="20"/>
                <w:szCs w:val="20"/>
                <w:color w:val="auto"/>
              </w:rPr>
            </w:pPr>
            <w:r>
              <w:rPr>
                <w:rFonts w:ascii="Arial" w:cs="Arial" w:eastAsia="Arial" w:hAnsi="Arial"/>
                <w:sz w:val="18"/>
                <w:szCs w:val="18"/>
                <w:color w:val="auto"/>
              </w:rPr>
              <w:t>Textainer Equipment Management Limited</w:t>
            </w:r>
          </w:p>
        </w:tc>
        <w:tc>
          <w:tcPr>
            <w:tcW w:w="50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80" w:lineRule="exact"/>
        <w:rPr>
          <w:sz w:val="20"/>
          <w:szCs w:val="20"/>
          <w:color w:val="auto"/>
        </w:rPr>
      </w:pPr>
    </w:p>
    <w:p>
      <w:pPr>
        <w:ind w:left="424" w:hanging="424"/>
        <w:spacing w:after="0"/>
        <w:tabs>
          <w:tab w:leader="none" w:pos="424" w:val="left"/>
        </w:tabs>
        <w:numPr>
          <w:ilvl w:val="0"/>
          <w:numId w:val="138"/>
        </w:numPr>
        <w:rPr>
          <w:rFonts w:ascii="Arial" w:cs="Arial" w:eastAsia="Arial" w:hAnsi="Arial"/>
          <w:sz w:val="18"/>
          <w:szCs w:val="18"/>
          <w:color w:val="auto"/>
        </w:rPr>
      </w:pPr>
      <w:r>
        <w:rPr>
          <w:rFonts w:ascii="Arial" w:cs="Arial" w:eastAsia="Arial" w:hAnsi="Arial"/>
          <w:sz w:val="18"/>
          <w:szCs w:val="18"/>
          <w:color w:val="auto"/>
        </w:rPr>
        <w:t>Member of the Audit Committee</w:t>
      </w:r>
    </w:p>
    <w:p>
      <w:pPr>
        <w:spacing w:after="0" w:line="23" w:lineRule="exact"/>
        <w:rPr>
          <w:rFonts w:ascii="Arial" w:cs="Arial" w:eastAsia="Arial" w:hAnsi="Arial"/>
          <w:sz w:val="18"/>
          <w:szCs w:val="18"/>
          <w:color w:val="auto"/>
        </w:rPr>
      </w:pPr>
    </w:p>
    <w:p>
      <w:pPr>
        <w:ind w:left="424" w:hanging="424"/>
        <w:spacing w:after="0"/>
        <w:tabs>
          <w:tab w:leader="none" w:pos="424" w:val="left"/>
        </w:tabs>
        <w:numPr>
          <w:ilvl w:val="0"/>
          <w:numId w:val="138"/>
        </w:numPr>
        <w:rPr>
          <w:rFonts w:ascii="Arial" w:cs="Arial" w:eastAsia="Arial" w:hAnsi="Arial"/>
          <w:sz w:val="18"/>
          <w:szCs w:val="18"/>
          <w:color w:val="auto"/>
        </w:rPr>
      </w:pPr>
      <w:r>
        <w:rPr>
          <w:rFonts w:ascii="Arial" w:cs="Arial" w:eastAsia="Arial" w:hAnsi="Arial"/>
          <w:sz w:val="18"/>
          <w:szCs w:val="18"/>
          <w:color w:val="auto"/>
        </w:rPr>
        <w:t>Member of the Corporate Governance and Nominating Committee</w:t>
      </w:r>
    </w:p>
    <w:p>
      <w:pPr>
        <w:spacing w:after="0" w:line="9" w:lineRule="exact"/>
        <w:rPr>
          <w:rFonts w:ascii="Arial" w:cs="Arial" w:eastAsia="Arial" w:hAnsi="Arial"/>
          <w:sz w:val="18"/>
          <w:szCs w:val="18"/>
          <w:color w:val="auto"/>
        </w:rPr>
      </w:pPr>
    </w:p>
    <w:p>
      <w:pPr>
        <w:ind w:left="424" w:hanging="424"/>
        <w:spacing w:after="0"/>
        <w:tabs>
          <w:tab w:leader="none" w:pos="424" w:val="left"/>
        </w:tabs>
        <w:numPr>
          <w:ilvl w:val="0"/>
          <w:numId w:val="138"/>
        </w:numPr>
        <w:rPr>
          <w:rFonts w:ascii="Arial" w:cs="Arial" w:eastAsia="Arial" w:hAnsi="Arial"/>
          <w:sz w:val="18"/>
          <w:szCs w:val="18"/>
          <w:color w:val="auto"/>
        </w:rPr>
      </w:pPr>
      <w:r>
        <w:rPr>
          <w:rFonts w:ascii="Arial" w:cs="Arial" w:eastAsia="Arial" w:hAnsi="Arial"/>
          <w:sz w:val="18"/>
          <w:szCs w:val="18"/>
          <w:color w:val="auto"/>
        </w:rPr>
        <w:t>Member of the Compensation Committee</w:t>
      </w:r>
    </w:p>
    <w:p>
      <w:pPr>
        <w:sectPr>
          <w:pgSz w:w="11900" w:h="16838" w:orient="portrait"/>
          <w:cols w:equalWidth="0" w:num="1">
            <w:col w:w="11024"/>
          </w:cols>
          <w:pgMar w:left="436" w:top="270" w:right="439" w:bottom="1440" w:gutter="0" w:footer="0" w:header="0"/>
        </w:sectPr>
      </w:pPr>
    </w:p>
    <w:bookmarkStart w:id="171" w:name="page172"/>
    <w:bookmarkEnd w:id="171"/>
    <w:p>
      <w:pPr>
        <w:jc w:val="center"/>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Textainer Group Holdings Limited</w:t>
      </w:r>
    </w:p>
    <w:p>
      <w:pPr>
        <w:spacing w:after="0" w:line="4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Century House</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 Par-La-Ville Road</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Hamilton HM 08</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Bermuda</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www.textainer.com</w:t>
      </w:r>
    </w:p>
    <w:p>
      <w:pPr>
        <w:sectPr>
          <w:pgSz w:w="11900" w:h="16838" w:orient="portrait"/>
          <w:cols w:equalWidth="0" w:num="1">
            <w:col w:w="9019"/>
          </w:cols>
          <w:pgMar w:left="1440" w:top="274" w:right="1440" w:bottom="1440" w:gutter="0" w:footer="0" w:header="0"/>
        </w:sectPr>
      </w:pPr>
    </w:p>
    <w:bookmarkStart w:id="172" w:name="page173"/>
    <w:bookmarkEnd w:id="172"/>
    <w:p>
      <w:pPr>
        <w:jc w:val="right"/>
        <w:spacing w:after="0"/>
        <w:rPr>
          <w:sz w:val="20"/>
          <w:szCs w:val="20"/>
          <w:color w:val="auto"/>
        </w:rPr>
      </w:pPr>
      <w:r>
        <w:rPr>
          <w:rFonts w:ascii="Arial" w:cs="Arial" w:eastAsia="Arial" w:hAnsi="Arial"/>
          <w:sz w:val="18"/>
          <w:szCs w:val="18"/>
          <w:b w:val="1"/>
          <w:bCs w:val="1"/>
          <w:color w:val="auto"/>
        </w:rPr>
        <w:t>Exhibit 99.2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3417570</wp:posOffset>
            </wp:positionH>
            <wp:positionV relativeFrom="paragraph">
              <wp:posOffset>171450</wp:posOffset>
            </wp:positionV>
            <wp:extent cx="162560" cy="62547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162560" cy="6254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Textainer Group Holdings Limited</w:t>
      </w:r>
    </w:p>
    <w:p>
      <w:pPr>
        <w:spacing w:after="0" w:line="225" w:lineRule="exact"/>
        <w:rPr>
          <w:sz w:val="20"/>
          <w:szCs w:val="20"/>
          <w:color w:val="auto"/>
        </w:rPr>
      </w:pPr>
    </w:p>
    <w:p>
      <w:pPr>
        <w:jc w:val="center"/>
        <w:ind w:right="20"/>
        <w:spacing w:after="0" w:line="266" w:lineRule="auto"/>
        <w:rPr>
          <w:sz w:val="20"/>
          <w:szCs w:val="20"/>
          <w:color w:val="auto"/>
        </w:rPr>
      </w:pPr>
      <w:r>
        <w:rPr>
          <w:rFonts w:ascii="Arial" w:cs="Arial" w:eastAsia="Arial" w:hAnsi="Arial"/>
          <w:sz w:val="18"/>
          <w:szCs w:val="18"/>
          <w:b w:val="1"/>
          <w:bCs w:val="1"/>
          <w:color w:val="auto"/>
        </w:rPr>
        <w:t>Century House, 16 Par-la-Ville Road, Hamilton HM 08, Bermuda NOTICE OF 2021 ANNUAL GENERAL MEETING OF SHAREHOLDERS TO BE HELD ON MAY 26, 2021</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color w:val="auto"/>
        </w:rPr>
        <w:t>TO OUR SHAREHOLDERS:</w:t>
      </w:r>
    </w:p>
    <w:p>
      <w:pPr>
        <w:spacing w:after="0" w:line="225" w:lineRule="exact"/>
        <w:rPr>
          <w:sz w:val="20"/>
          <w:szCs w:val="20"/>
          <w:color w:val="auto"/>
        </w:rPr>
      </w:pPr>
    </w:p>
    <w:p>
      <w:pPr>
        <w:ind w:right="40" w:firstLine="440"/>
        <w:spacing w:after="0" w:line="259" w:lineRule="auto"/>
        <w:rPr>
          <w:sz w:val="20"/>
          <w:szCs w:val="20"/>
          <w:color w:val="auto"/>
        </w:rPr>
      </w:pPr>
      <w:r>
        <w:rPr>
          <w:rFonts w:ascii="Arial" w:cs="Arial" w:eastAsia="Arial" w:hAnsi="Arial"/>
          <w:sz w:val="18"/>
          <w:szCs w:val="18"/>
          <w:color w:val="auto"/>
        </w:rPr>
        <w:t>NOTICE IS HEREBY GIVEN that the 2021 Annual General Meeting of Shareholders of Textainer Group Holdings Limited, a Bermuda company (“</w:t>
      </w:r>
      <w:r>
        <w:rPr>
          <w:rFonts w:ascii="Arial" w:cs="Arial" w:eastAsia="Arial" w:hAnsi="Arial"/>
          <w:sz w:val="18"/>
          <w:szCs w:val="18"/>
          <w:b w:val="1"/>
          <w:bCs w:val="1"/>
          <w:color w:val="auto"/>
        </w:rPr>
        <w:t>we</w:t>
      </w:r>
      <w:r>
        <w:rPr>
          <w:rFonts w:ascii="Arial" w:cs="Arial" w:eastAsia="Arial" w:hAnsi="Arial"/>
          <w:sz w:val="18"/>
          <w:szCs w:val="18"/>
          <w:color w:val="auto"/>
        </w:rPr>
        <w:t>,” “</w:t>
      </w:r>
      <w:r>
        <w:rPr>
          <w:rFonts w:ascii="Arial" w:cs="Arial" w:eastAsia="Arial" w:hAnsi="Arial"/>
          <w:sz w:val="18"/>
          <w:szCs w:val="18"/>
          <w:b w:val="1"/>
          <w:bCs w:val="1"/>
          <w:color w:val="auto"/>
        </w:rPr>
        <w:t>our</w:t>
      </w:r>
      <w:r>
        <w:rPr>
          <w:rFonts w:ascii="Arial" w:cs="Arial" w:eastAsia="Arial" w:hAnsi="Arial"/>
          <w:sz w:val="18"/>
          <w:szCs w:val="18"/>
          <w:color w:val="auto"/>
        </w:rPr>
        <w:t>,” “</w:t>
      </w:r>
      <w:r>
        <w:rPr>
          <w:rFonts w:ascii="Arial" w:cs="Arial" w:eastAsia="Arial" w:hAnsi="Arial"/>
          <w:sz w:val="18"/>
          <w:szCs w:val="18"/>
          <w:b w:val="1"/>
          <w:bCs w:val="1"/>
          <w:color w:val="auto"/>
        </w:rPr>
        <w:t>us</w:t>
      </w:r>
      <w:r>
        <w:rPr>
          <w:rFonts w:ascii="Arial" w:cs="Arial" w:eastAsia="Arial" w:hAnsi="Arial"/>
          <w:sz w:val="18"/>
          <w:szCs w:val="18"/>
          <w:color w:val="auto"/>
        </w:rPr>
        <w:t>,” or the “</w:t>
      </w:r>
      <w:r>
        <w:rPr>
          <w:rFonts w:ascii="Arial" w:cs="Arial" w:eastAsia="Arial" w:hAnsi="Arial"/>
          <w:sz w:val="18"/>
          <w:szCs w:val="18"/>
          <w:b w:val="1"/>
          <w:bCs w:val="1"/>
          <w:color w:val="auto"/>
        </w:rPr>
        <w:t>Company</w:t>
      </w:r>
      <w:r>
        <w:rPr>
          <w:rFonts w:ascii="Arial" w:cs="Arial" w:eastAsia="Arial" w:hAnsi="Arial"/>
          <w:sz w:val="18"/>
          <w:szCs w:val="18"/>
          <w:color w:val="auto"/>
        </w:rPr>
        <w:t>”) will be held at Century House, 16 Par-La-Ville Road, Hamilton HM 08, Bermuda at 1:00 p.m. (local time) on Wednesday, May 26, 2021. The 2021 Annual General Meeting of Shareholders of the Company, including any postponement or adjournment(s) thereof (the “</w:t>
      </w:r>
      <w:r>
        <w:rPr>
          <w:rFonts w:ascii="Arial" w:cs="Arial" w:eastAsia="Arial" w:hAnsi="Arial"/>
          <w:sz w:val="18"/>
          <w:szCs w:val="18"/>
          <w:b w:val="1"/>
          <w:bCs w:val="1"/>
          <w:color w:val="auto"/>
        </w:rPr>
        <w:t>2021 Annual Meeting</w:t>
      </w:r>
      <w:r>
        <w:rPr>
          <w:rFonts w:ascii="Arial" w:cs="Arial" w:eastAsia="Arial" w:hAnsi="Arial"/>
          <w:sz w:val="18"/>
          <w:szCs w:val="18"/>
          <w:color w:val="auto"/>
        </w:rPr>
        <w:t>”) will be held for the following purposes:</w:t>
      </w:r>
    </w:p>
    <w:p>
      <w:pPr>
        <w:spacing w:after="0" w:line="92" w:lineRule="exact"/>
        <w:rPr>
          <w:sz w:val="20"/>
          <w:szCs w:val="20"/>
          <w:color w:val="auto"/>
        </w:rPr>
      </w:pPr>
    </w:p>
    <w:p>
      <w:pPr>
        <w:ind w:left="960" w:hanging="532"/>
        <w:spacing w:after="0"/>
        <w:tabs>
          <w:tab w:leader="none" w:pos="960" w:val="left"/>
        </w:tabs>
        <w:numPr>
          <w:ilvl w:val="0"/>
          <w:numId w:val="139"/>
        </w:numPr>
        <w:rPr>
          <w:rFonts w:ascii="Arial" w:cs="Arial" w:eastAsia="Arial" w:hAnsi="Arial"/>
          <w:sz w:val="18"/>
          <w:szCs w:val="18"/>
          <w:color w:val="auto"/>
        </w:rPr>
      </w:pPr>
      <w:r>
        <w:rPr>
          <w:rFonts w:ascii="Arial" w:cs="Arial" w:eastAsia="Arial" w:hAnsi="Arial"/>
          <w:sz w:val="18"/>
          <w:szCs w:val="18"/>
          <w:color w:val="auto"/>
        </w:rPr>
        <w:t>To approve the election of Messrs. Olivier Ghesquiere and James Earl and Ms. Cynthia Hostetler as our Class II directors;</w:t>
      </w:r>
    </w:p>
    <w:p>
      <w:pPr>
        <w:spacing w:after="0" w:line="130" w:lineRule="exact"/>
        <w:rPr>
          <w:rFonts w:ascii="Arial" w:cs="Arial" w:eastAsia="Arial" w:hAnsi="Arial"/>
          <w:sz w:val="18"/>
          <w:szCs w:val="18"/>
          <w:color w:val="auto"/>
        </w:rPr>
      </w:pPr>
    </w:p>
    <w:p>
      <w:pPr>
        <w:ind w:left="960" w:right="620" w:hanging="532"/>
        <w:spacing w:after="0" w:line="308" w:lineRule="auto"/>
        <w:tabs>
          <w:tab w:leader="none" w:pos="960" w:val="left"/>
        </w:tabs>
        <w:numPr>
          <w:ilvl w:val="0"/>
          <w:numId w:val="139"/>
        </w:numPr>
        <w:rPr>
          <w:rFonts w:ascii="Arial" w:cs="Arial" w:eastAsia="Arial" w:hAnsi="Arial"/>
          <w:sz w:val="17"/>
          <w:szCs w:val="17"/>
          <w:color w:val="auto"/>
        </w:rPr>
      </w:pPr>
      <w:r>
        <w:rPr>
          <w:rFonts w:ascii="Arial" w:cs="Arial" w:eastAsia="Arial" w:hAnsi="Arial"/>
          <w:sz w:val="17"/>
          <w:szCs w:val="17"/>
          <w:color w:val="auto"/>
        </w:rPr>
        <w:t>To approve our annual audited financial statements for the fiscal year ended December 31, 2020, a copy of which is included in the enclosed 2020 Annual Report to Shareholders and will be laid before our shareholders at the 2021 Annual Meeting;</w:t>
      </w:r>
    </w:p>
    <w:p>
      <w:pPr>
        <w:spacing w:after="0" w:line="51" w:lineRule="exact"/>
        <w:rPr>
          <w:rFonts w:ascii="Arial" w:cs="Arial" w:eastAsia="Arial" w:hAnsi="Arial"/>
          <w:sz w:val="17"/>
          <w:szCs w:val="17"/>
          <w:color w:val="auto"/>
        </w:rPr>
      </w:pPr>
    </w:p>
    <w:p>
      <w:pPr>
        <w:ind w:left="960" w:right="80" w:hanging="532"/>
        <w:spacing w:after="0" w:line="263" w:lineRule="auto"/>
        <w:tabs>
          <w:tab w:leader="none" w:pos="960" w:val="left"/>
        </w:tabs>
        <w:numPr>
          <w:ilvl w:val="0"/>
          <w:numId w:val="139"/>
        </w:numPr>
        <w:rPr>
          <w:rFonts w:ascii="Arial" w:cs="Arial" w:eastAsia="Arial" w:hAnsi="Arial"/>
          <w:sz w:val="18"/>
          <w:szCs w:val="18"/>
          <w:color w:val="auto"/>
        </w:rPr>
      </w:pPr>
      <w:r>
        <w:rPr>
          <w:rFonts w:ascii="Arial" w:cs="Arial" w:eastAsia="Arial" w:hAnsi="Arial"/>
          <w:sz w:val="18"/>
          <w:szCs w:val="18"/>
          <w:color w:val="auto"/>
        </w:rPr>
        <w:t>To approve the re-appointment of KPMG LLP, an independent registered public accounting firm, to act as our independent auditors for the fiscal year ending December 31, 2021 and the authorization for our Board of Directors, acting through our Audit Committee to fix the remuneration of our independent auditors for the fiscal year ending December 31, 2021; and</w:t>
      </w:r>
    </w:p>
    <w:p>
      <w:pPr>
        <w:spacing w:after="0" w:line="89" w:lineRule="exact"/>
        <w:rPr>
          <w:rFonts w:ascii="Arial" w:cs="Arial" w:eastAsia="Arial" w:hAnsi="Arial"/>
          <w:sz w:val="18"/>
          <w:szCs w:val="18"/>
          <w:color w:val="auto"/>
        </w:rPr>
      </w:pPr>
    </w:p>
    <w:p>
      <w:pPr>
        <w:ind w:left="960" w:right="1060" w:hanging="532"/>
        <w:spacing w:after="0" w:line="277" w:lineRule="auto"/>
        <w:tabs>
          <w:tab w:leader="none" w:pos="960" w:val="left"/>
        </w:tabs>
        <w:numPr>
          <w:ilvl w:val="0"/>
          <w:numId w:val="139"/>
        </w:numPr>
        <w:rPr>
          <w:rFonts w:ascii="Arial" w:cs="Arial" w:eastAsia="Arial" w:hAnsi="Arial"/>
          <w:sz w:val="18"/>
          <w:szCs w:val="18"/>
          <w:color w:val="auto"/>
        </w:rPr>
      </w:pPr>
      <w:r>
        <w:rPr>
          <w:rFonts w:ascii="Arial" w:cs="Arial" w:eastAsia="Arial" w:hAnsi="Arial"/>
          <w:sz w:val="18"/>
          <w:szCs w:val="18"/>
          <w:color w:val="auto"/>
        </w:rPr>
        <w:t>To transact such other business as may properly be brought before the 2021 Annual Meeting (including any postponement or adjournment(s) thereof).</w:t>
      </w:r>
    </w:p>
    <w:p>
      <w:pPr>
        <w:spacing w:after="0" w:line="170" w:lineRule="exact"/>
        <w:rPr>
          <w:sz w:val="20"/>
          <w:szCs w:val="20"/>
          <w:color w:val="auto"/>
        </w:rPr>
      </w:pPr>
    </w:p>
    <w:p>
      <w:pPr>
        <w:ind w:right="40" w:firstLine="440"/>
        <w:spacing w:after="0" w:line="277" w:lineRule="auto"/>
        <w:rPr>
          <w:sz w:val="20"/>
          <w:szCs w:val="20"/>
          <w:color w:val="auto"/>
        </w:rPr>
      </w:pPr>
      <w:r>
        <w:rPr>
          <w:rFonts w:ascii="Arial" w:cs="Arial" w:eastAsia="Arial" w:hAnsi="Arial"/>
          <w:sz w:val="18"/>
          <w:szCs w:val="18"/>
          <w:color w:val="auto"/>
        </w:rPr>
        <w:t>The close of business on April 1, 2021 has been fixed as the record date for determining the shareholders of record entitled to notice of and to vote at the 2021 Annual Meeting (including any postponement or adjournment(s) thereof).</w:t>
      </w:r>
    </w:p>
    <w:p>
      <w:pPr>
        <w:spacing w:after="0" w:line="170" w:lineRule="exact"/>
        <w:rPr>
          <w:sz w:val="20"/>
          <w:szCs w:val="20"/>
          <w:color w:val="auto"/>
        </w:rPr>
      </w:pPr>
    </w:p>
    <w:p>
      <w:pPr>
        <w:ind w:right="60" w:firstLine="440"/>
        <w:spacing w:after="0" w:line="272" w:lineRule="auto"/>
        <w:rPr>
          <w:sz w:val="20"/>
          <w:szCs w:val="20"/>
          <w:color w:val="auto"/>
        </w:rPr>
      </w:pPr>
      <w:r>
        <w:rPr>
          <w:rFonts w:ascii="Arial" w:cs="Arial" w:eastAsia="Arial" w:hAnsi="Arial"/>
          <w:sz w:val="17"/>
          <w:szCs w:val="17"/>
          <w:color w:val="auto"/>
        </w:rPr>
        <w:t>Whether or not you plan to attend the 2021 Annual Meeting, in order to ensure that your shares will be voted in accordance with your wishes and that the presence of a quorum at the 2021 Annual Meeting may be assured, please promptly complete, sign, date and promptly return the enclosed proxy card in the enclosed envelope. The proxy card must be properly dated, signed and returned in order to be counted. You can also submit your proxy to vote your shares via the Internet or by telephone as provided in the instructions set forth on the enclosed proxy card. Following submission of your signed proxy, you may revoke your signed proxy at any time before it is voted by: (i) delivering to the Secretary of the Company at Textainer Group Holdings Limited, Century House, 16 Par-la-Ville Road, Hamilton HM 08, Bermuda, a written statement revoking such proxy, (ii) executing and delivering a later-dated proxy, or (iii) voting in person at the 2021 Annual Meeting.</w:t>
      </w:r>
    </w:p>
    <w:p>
      <w:pPr>
        <w:spacing w:after="0" w:line="173" w:lineRule="exact"/>
        <w:rPr>
          <w:sz w:val="20"/>
          <w:szCs w:val="20"/>
          <w:color w:val="auto"/>
        </w:rPr>
      </w:pPr>
    </w:p>
    <w:p>
      <w:pPr>
        <w:ind w:right="40" w:firstLine="440"/>
        <w:spacing w:after="0" w:line="289" w:lineRule="auto"/>
        <w:rPr>
          <w:sz w:val="20"/>
          <w:szCs w:val="20"/>
          <w:color w:val="auto"/>
        </w:rPr>
      </w:pPr>
      <w:r>
        <w:rPr>
          <w:rFonts w:ascii="Arial" w:cs="Arial" w:eastAsia="Arial" w:hAnsi="Arial"/>
          <w:sz w:val="17"/>
          <w:szCs w:val="17"/>
          <w:b w:val="1"/>
          <w:bCs w:val="1"/>
          <w:color w:val="auto"/>
        </w:rPr>
        <w:t>Important Notice Regarding the Availability of Proxy Materials for the 2021 Annual Meeting to be held on May 26, 2021. The Company’s proxy materials for the 2021 Annual Meeting, including this notice, the accompanying proxy statement and the accompanying form of proxy card, along with the Company’s 2020 Annual Report to Shareholders, are available at www.textainer.com.</w:t>
      </w:r>
    </w:p>
    <w:p>
      <w:pPr>
        <w:spacing w:after="0" w:line="189"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By Order of the Board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4197985</wp:posOffset>
            </wp:positionH>
            <wp:positionV relativeFrom="paragraph">
              <wp:posOffset>14605</wp:posOffset>
            </wp:positionV>
            <wp:extent cx="1243330" cy="61722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1243330" cy="6172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Adam Hopkin</w:t>
      </w:r>
    </w:p>
    <w:p>
      <w:pPr>
        <w:spacing w:after="0" w:line="23"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Secretary</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Hamilton, Bermuda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April 27, 2021</w:t>
      </w:r>
    </w:p>
    <w:p>
      <w:pPr>
        <w:sectPr>
          <w:pgSz w:w="11900" w:h="16838" w:orient="portrait"/>
          <w:cols w:equalWidth="0" w:num="1">
            <w:col w:w="11020"/>
          </w:cols>
          <w:pgMar w:left="440" w:top="121" w:right="439" w:bottom="1440" w:gutter="0" w:footer="0" w:header="0"/>
        </w:sectPr>
      </w:pPr>
    </w:p>
    <w:bookmarkStart w:id="173" w:name="page174"/>
    <w:bookmarkEnd w:id="173"/>
    <w:p>
      <w:pPr>
        <w:spacing w:after="0" w:line="32"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72009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7174865" cy="720090"/>
                    </a:xfrm>
                    <a:prstGeom prst="rect">
                      <a:avLst/>
                    </a:prstGeom>
                    <a:noFill/>
                  </pic:spPr>
                </pic:pic>
              </a:graphicData>
            </a:graphic>
          </wp:anchor>
        </w:drawing>
      </w:r>
    </w:p>
    <w:p>
      <w:pPr>
        <w:jc w:val="center"/>
        <w:spacing w:after="0"/>
        <w:rPr>
          <w:sz w:val="20"/>
          <w:szCs w:val="20"/>
          <w:color w:val="auto"/>
        </w:rPr>
      </w:pPr>
      <w:r>
        <w:rPr>
          <w:rFonts w:ascii="Arial" w:cs="Arial" w:eastAsia="Arial" w:hAnsi="Arial"/>
          <w:sz w:val="18"/>
          <w:szCs w:val="18"/>
          <w:b w:val="1"/>
          <w:bCs w:val="1"/>
          <w:color w:val="auto"/>
        </w:rPr>
        <w:t>Textainer Group Holdings Limited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PROXY STATEMENT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2021 ANNUAL GENERAL MEETING OF SHAREHOLDERS</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TO BE HELD MAY 26, 2021</w:t>
      </w:r>
    </w:p>
    <w:p>
      <w:pPr>
        <w:spacing w:after="0" w:line="211" w:lineRule="exact"/>
        <w:rPr>
          <w:sz w:val="20"/>
          <w:szCs w:val="20"/>
          <w:color w:val="auto"/>
        </w:rPr>
      </w:pPr>
    </w:p>
    <w:p>
      <w:pPr>
        <w:ind w:right="60" w:firstLine="440"/>
        <w:spacing w:after="0" w:line="254" w:lineRule="auto"/>
        <w:rPr>
          <w:sz w:val="20"/>
          <w:szCs w:val="20"/>
          <w:color w:val="auto"/>
        </w:rPr>
      </w:pPr>
      <w:r>
        <w:rPr>
          <w:rFonts w:ascii="Arial" w:cs="Arial" w:eastAsia="Arial" w:hAnsi="Arial"/>
          <w:sz w:val="18"/>
          <w:szCs w:val="18"/>
          <w:color w:val="auto"/>
        </w:rPr>
        <w:t>This Proxy Statement is being furnished in connection with the solicitation on behalf of the Board of Directors of Textainer Group Holdings Limited, a Bermuda company (“</w:t>
      </w:r>
      <w:r>
        <w:rPr>
          <w:rFonts w:ascii="Arial" w:cs="Arial" w:eastAsia="Arial" w:hAnsi="Arial"/>
          <w:sz w:val="18"/>
          <w:szCs w:val="18"/>
          <w:b w:val="1"/>
          <w:bCs w:val="1"/>
          <w:color w:val="auto"/>
        </w:rPr>
        <w:t>we</w:t>
      </w:r>
      <w:r>
        <w:rPr>
          <w:rFonts w:ascii="Arial" w:cs="Arial" w:eastAsia="Arial" w:hAnsi="Arial"/>
          <w:sz w:val="18"/>
          <w:szCs w:val="18"/>
          <w:color w:val="auto"/>
        </w:rPr>
        <w:t>,” “</w:t>
      </w:r>
      <w:r>
        <w:rPr>
          <w:rFonts w:ascii="Arial" w:cs="Arial" w:eastAsia="Arial" w:hAnsi="Arial"/>
          <w:sz w:val="18"/>
          <w:szCs w:val="18"/>
          <w:b w:val="1"/>
          <w:bCs w:val="1"/>
          <w:color w:val="auto"/>
        </w:rPr>
        <w:t>our</w:t>
      </w:r>
      <w:r>
        <w:rPr>
          <w:rFonts w:ascii="Arial" w:cs="Arial" w:eastAsia="Arial" w:hAnsi="Arial"/>
          <w:sz w:val="18"/>
          <w:szCs w:val="18"/>
          <w:color w:val="auto"/>
        </w:rPr>
        <w:t>,” “</w:t>
      </w:r>
      <w:r>
        <w:rPr>
          <w:rFonts w:ascii="Arial" w:cs="Arial" w:eastAsia="Arial" w:hAnsi="Arial"/>
          <w:sz w:val="18"/>
          <w:szCs w:val="18"/>
          <w:b w:val="1"/>
          <w:bCs w:val="1"/>
          <w:color w:val="auto"/>
        </w:rPr>
        <w:t>us</w:t>
      </w:r>
      <w:r>
        <w:rPr>
          <w:rFonts w:ascii="Arial" w:cs="Arial" w:eastAsia="Arial" w:hAnsi="Arial"/>
          <w:sz w:val="18"/>
          <w:szCs w:val="18"/>
          <w:color w:val="auto"/>
        </w:rPr>
        <w:t>,” or the “</w:t>
      </w:r>
      <w:r>
        <w:rPr>
          <w:rFonts w:ascii="Arial" w:cs="Arial" w:eastAsia="Arial" w:hAnsi="Arial"/>
          <w:sz w:val="18"/>
          <w:szCs w:val="18"/>
          <w:b w:val="1"/>
          <w:bCs w:val="1"/>
          <w:color w:val="auto"/>
        </w:rPr>
        <w:t>Company</w:t>
      </w:r>
      <w:r>
        <w:rPr>
          <w:rFonts w:ascii="Arial" w:cs="Arial" w:eastAsia="Arial" w:hAnsi="Arial"/>
          <w:sz w:val="18"/>
          <w:szCs w:val="18"/>
          <w:color w:val="auto"/>
        </w:rPr>
        <w:t>”) of proxies to be voted at the 2021 Annual General Meeting of Shareholders to be held at Century House, 16 Par-la-Ville Road, Hamilton HM 08, Bermuda, at 1:00 p.m. (local time) on Wednesday, May 26, 2021, including any postponement or adjournment(s) thereof (the “</w:t>
      </w:r>
      <w:r>
        <w:rPr>
          <w:rFonts w:ascii="Arial" w:cs="Arial" w:eastAsia="Arial" w:hAnsi="Arial"/>
          <w:sz w:val="18"/>
          <w:szCs w:val="18"/>
          <w:b w:val="1"/>
          <w:bCs w:val="1"/>
          <w:color w:val="auto"/>
        </w:rPr>
        <w:t>2021 Annual Meeting</w:t>
      </w:r>
      <w:r>
        <w:rPr>
          <w:rFonts w:ascii="Arial" w:cs="Arial" w:eastAsia="Arial" w:hAnsi="Arial"/>
          <w:sz w:val="18"/>
          <w:szCs w:val="18"/>
          <w:color w:val="auto"/>
        </w:rPr>
        <w:t>”). The 2021 Annual Meeting will be held for the purposes set forth in the accompanying Notice of 2021 Annual General Meeting of Shareholders and as more specifically described in this Proxy Statement. This Proxy Statement, the accompanying Notice of 2021 Annual General Meeting of Shareholders, the accompanying form of proxy card and our 2020 Annual Report to Shareholders are being first mailed to shareholders on or about April 27, 2021. These proxy materials are also available for viewing at www.textainer.com.</w:t>
      </w:r>
    </w:p>
    <w:p>
      <w:pPr>
        <w:spacing w:after="0" w:line="188" w:lineRule="exact"/>
        <w:rPr>
          <w:sz w:val="20"/>
          <w:szCs w:val="20"/>
          <w:color w:val="auto"/>
        </w:rPr>
      </w:pPr>
    </w:p>
    <w:p>
      <w:pPr>
        <w:ind w:right="200" w:firstLine="440"/>
        <w:spacing w:after="0" w:line="298" w:lineRule="auto"/>
        <w:rPr>
          <w:sz w:val="20"/>
          <w:szCs w:val="20"/>
          <w:color w:val="auto"/>
        </w:rPr>
      </w:pPr>
      <w:r>
        <w:rPr>
          <w:rFonts w:ascii="Arial" w:cs="Arial" w:eastAsia="Arial" w:hAnsi="Arial"/>
          <w:sz w:val="16"/>
          <w:szCs w:val="16"/>
          <w:color w:val="auto"/>
        </w:rPr>
        <w:t>The close of business on April 1, 2021 has been fixed as the record date for determining the shareholders of record (“</w:t>
      </w:r>
      <w:r>
        <w:rPr>
          <w:rFonts w:ascii="Arial" w:cs="Arial" w:eastAsia="Arial" w:hAnsi="Arial"/>
          <w:sz w:val="16"/>
          <w:szCs w:val="16"/>
          <w:b w:val="1"/>
          <w:bCs w:val="1"/>
          <w:color w:val="auto"/>
        </w:rPr>
        <w:t>Shareholders</w:t>
      </w:r>
      <w:r>
        <w:rPr>
          <w:rFonts w:ascii="Arial" w:cs="Arial" w:eastAsia="Arial" w:hAnsi="Arial"/>
          <w:sz w:val="16"/>
          <w:szCs w:val="16"/>
          <w:color w:val="auto"/>
        </w:rPr>
        <w:t>”) of our common shares, $0.01 par value per share (“</w:t>
      </w:r>
      <w:r>
        <w:rPr>
          <w:rFonts w:ascii="Arial" w:cs="Arial" w:eastAsia="Arial" w:hAnsi="Arial"/>
          <w:sz w:val="16"/>
          <w:szCs w:val="16"/>
          <w:b w:val="1"/>
          <w:bCs w:val="1"/>
          <w:color w:val="auto"/>
        </w:rPr>
        <w:t>Common Shares</w:t>
      </w:r>
      <w:r>
        <w:rPr>
          <w:rFonts w:ascii="Arial" w:cs="Arial" w:eastAsia="Arial" w:hAnsi="Arial"/>
          <w:sz w:val="16"/>
          <w:szCs w:val="16"/>
          <w:color w:val="auto"/>
        </w:rPr>
        <w:t>”) entitled to notice of and to vote at the 2021 Annual Meeting (including any postponement or adjournment(s) thereof). As of March 31, 2021, there were 50,092,911 Common Shares issued and outstanding. Common Shares are our only class of equity securities issued and outstanding and entitled to vote at the 2021 Annual Meeting. Each Shareholder is entitled to one vote on each matter to be voted upon by the Shareholders at the 2021 Annual Meeting for each Common Share held by such Shareholder.</w:t>
      </w:r>
    </w:p>
    <w:p>
      <w:pPr>
        <w:spacing w:after="0" w:line="158" w:lineRule="exact"/>
        <w:rPr>
          <w:sz w:val="20"/>
          <w:szCs w:val="20"/>
          <w:color w:val="auto"/>
        </w:rPr>
      </w:pPr>
    </w:p>
    <w:p>
      <w:pPr>
        <w:ind w:right="400" w:firstLine="440"/>
        <w:spacing w:after="0" w:line="263" w:lineRule="auto"/>
        <w:rPr>
          <w:sz w:val="20"/>
          <w:szCs w:val="20"/>
          <w:color w:val="auto"/>
        </w:rPr>
      </w:pPr>
      <w:r>
        <w:rPr>
          <w:rFonts w:ascii="Arial" w:cs="Arial" w:eastAsia="Arial" w:hAnsi="Arial"/>
          <w:sz w:val="18"/>
          <w:szCs w:val="18"/>
          <w:color w:val="auto"/>
        </w:rPr>
        <w:t>At the 2021 Annual Meeting, two or more persons present in person at the start of the 2021 Annual Meeting and representing in person or by proxy in excess of 50% of the total issued voting shares in the Company shall form a quorum for the transaction of business at the 2021 Annual Meeting.</w:t>
      </w:r>
    </w:p>
    <w:p>
      <w:pPr>
        <w:spacing w:after="0" w:line="184" w:lineRule="exact"/>
        <w:rPr>
          <w:sz w:val="20"/>
          <w:szCs w:val="20"/>
          <w:color w:val="auto"/>
        </w:rPr>
      </w:pPr>
    </w:p>
    <w:p>
      <w:pPr>
        <w:ind w:firstLine="440"/>
        <w:spacing w:after="0" w:line="277" w:lineRule="auto"/>
        <w:rPr>
          <w:sz w:val="20"/>
          <w:szCs w:val="20"/>
          <w:color w:val="auto"/>
        </w:rPr>
      </w:pPr>
      <w:r>
        <w:rPr>
          <w:rFonts w:ascii="Arial" w:cs="Arial" w:eastAsia="Arial" w:hAnsi="Arial"/>
          <w:sz w:val="18"/>
          <w:szCs w:val="18"/>
          <w:color w:val="auto"/>
        </w:rPr>
        <w:t>At the 2021 Annual Meeting, Shareholders will receive the report of KPMG LLP, our independent auditors, and may be asked to consider and take action with respect to such other matters as may properly come before the 2021 Annual Meeting.</w:t>
      </w:r>
    </w:p>
    <w:p>
      <w:pPr>
        <w:spacing w:after="0" w:line="170" w:lineRule="exact"/>
        <w:rPr>
          <w:sz w:val="20"/>
          <w:szCs w:val="20"/>
          <w:color w:val="auto"/>
        </w:rPr>
      </w:pPr>
    </w:p>
    <w:p>
      <w:pPr>
        <w:ind w:right="540" w:firstLine="440"/>
        <w:spacing w:after="0" w:line="308" w:lineRule="auto"/>
        <w:rPr>
          <w:sz w:val="20"/>
          <w:szCs w:val="20"/>
          <w:color w:val="auto"/>
        </w:rPr>
      </w:pPr>
      <w:r>
        <w:rPr>
          <w:rFonts w:ascii="Arial" w:cs="Arial" w:eastAsia="Arial" w:hAnsi="Arial"/>
          <w:sz w:val="17"/>
          <w:szCs w:val="17"/>
          <w:color w:val="auto"/>
        </w:rPr>
        <w:t>Adoption of each proposal set forth in the accompanying Notice of 2021 Annual General Meeting of Shareholders and as more specifically described in this Proxy Statement requires the affirmative vote of a majority of the votes cast at the 2021 Annual Meeting.</w:t>
      </w:r>
    </w:p>
    <w:p>
      <w:pPr>
        <w:spacing w:after="0" w:line="146" w:lineRule="exact"/>
        <w:rPr>
          <w:sz w:val="20"/>
          <w:szCs w:val="20"/>
          <w:color w:val="auto"/>
        </w:rPr>
      </w:pPr>
    </w:p>
    <w:p>
      <w:pPr>
        <w:ind w:left="440"/>
        <w:spacing w:after="0"/>
        <w:rPr>
          <w:sz w:val="20"/>
          <w:szCs w:val="20"/>
          <w:color w:val="auto"/>
        </w:rPr>
      </w:pPr>
      <w:r>
        <w:rPr>
          <w:rFonts w:ascii="Arial" w:cs="Arial" w:eastAsia="Arial" w:hAnsi="Arial"/>
          <w:sz w:val="18"/>
          <w:szCs w:val="18"/>
          <w:color w:val="auto"/>
        </w:rPr>
        <w:t>In this Proxy Statement, unless otherwise specified, all monetary amounts are in U.S. dollars.</w:t>
      </w:r>
    </w:p>
    <w:p>
      <w:pPr>
        <w:spacing w:after="0" w:line="200" w:lineRule="exact"/>
        <w:rPr>
          <w:sz w:val="20"/>
          <w:szCs w:val="20"/>
          <w:color w:val="auto"/>
        </w:rPr>
      </w:pPr>
    </w:p>
    <w:p>
      <w:pPr>
        <w:spacing w:after="0" w:line="23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SOLICITATION AND REVOCATION</w:t>
      </w:r>
    </w:p>
    <w:p>
      <w:pPr>
        <w:spacing w:after="0" w:line="229" w:lineRule="exact"/>
        <w:rPr>
          <w:sz w:val="20"/>
          <w:szCs w:val="20"/>
          <w:color w:val="auto"/>
        </w:rPr>
      </w:pPr>
    </w:p>
    <w:p>
      <w:pPr>
        <w:jc w:val="both"/>
        <w:ind w:right="40" w:firstLine="440"/>
        <w:spacing w:after="0" w:line="286" w:lineRule="auto"/>
        <w:rPr>
          <w:sz w:val="20"/>
          <w:szCs w:val="20"/>
          <w:color w:val="auto"/>
        </w:rPr>
      </w:pPr>
      <w:r>
        <w:rPr>
          <w:rFonts w:ascii="Arial" w:cs="Arial" w:eastAsia="Arial" w:hAnsi="Arial"/>
          <w:sz w:val="17"/>
          <w:szCs w:val="17"/>
          <w:color w:val="auto"/>
        </w:rPr>
        <w:t>PROXY CARDS IN THE FORM ENCLOSED WITH THIS PROXY STATEMENT ARE BEING SOLICITED ON BEHALF OF OUR BOARD OF DIRECTORS. OUR BOARD OF DIRECTORS HAS DESIGNATED THE PERSON(S) NAMED IN THE ACCOMPANYING FORM OF PROXY CARD AS A PROXY. Each such person designated as a proxy serves as a director and/or executive officer of the Company.</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000"/>
          </w:cols>
          <w:pgMar w:left="440" w:top="1440" w:right="459" w:bottom="1440" w:gutter="0" w:footer="0" w:header="0"/>
        </w:sectPr>
      </w:pPr>
    </w:p>
    <w:bookmarkStart w:id="174" w:name="page175"/>
    <w:bookmarkEnd w:id="174"/>
    <w:p>
      <w:pPr>
        <w:ind w:firstLine="440"/>
        <w:spacing w:after="0" w:line="289"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7174865" cy="38735"/>
                    </a:xfrm>
                    <a:prstGeom prst="rect">
                      <a:avLst/>
                    </a:prstGeom>
                    <a:noFill/>
                  </pic:spPr>
                </pic:pic>
              </a:graphicData>
            </a:graphic>
          </wp:anchor>
        </w:drawing>
        <w:t>Each Common Share represented by a properly executed proxy that is returned and not revoked will be voted in accordance with the instructions, if any, given thereon and in accordance with the proxyholder’s best judgment as to any other business as may properly come before the 2021 Annual Meeting. If no instructions are provided in a properly executed proxy, it will be voted FOR the approval of the election of each of the nominees identified in this Proxy Statement as a Class II director of the Company (Proposal One), and FOR the approval of each of Proposals Two, and Three. Any Shareholder who executes a proxy may revoke it at any time before it is voted by: (i) delivering to the Secretary of the Company at Textainer Group Holdings Limited, Century House, 16 Par-la-Ville Road, Hamilton HM 08, Bermuda, a written statement revoking such proxy, (ii) executing and delivering a later-dated proxy, or (iii) voting in person at the 2021 Annual Meeting. Attendance at the 2021 Annual Meeting by a Shareholder who has executed and delivered a proxy to us shall not in and of itself constitute a revocation of such proxy. For Common Shares held in “street name” by a broker, bank or other nominee, new voting instructions must be delivered to the broker, bank or nominee prior to the 2021 Annual Meeting.</w:t>
      </w:r>
    </w:p>
    <w:p>
      <w:pPr>
        <w:spacing w:after="0" w:line="166" w:lineRule="exact"/>
        <w:rPr>
          <w:sz w:val="20"/>
          <w:szCs w:val="20"/>
          <w:color w:val="auto"/>
        </w:rPr>
      </w:pPr>
    </w:p>
    <w:p>
      <w:pPr>
        <w:ind w:right="20" w:firstLine="440"/>
        <w:spacing w:after="0" w:line="257" w:lineRule="auto"/>
        <w:rPr>
          <w:sz w:val="20"/>
          <w:szCs w:val="20"/>
          <w:color w:val="auto"/>
        </w:rPr>
      </w:pPr>
      <w:r>
        <w:rPr>
          <w:rFonts w:ascii="Arial" w:cs="Arial" w:eastAsia="Arial" w:hAnsi="Arial"/>
          <w:sz w:val="18"/>
          <w:szCs w:val="18"/>
          <w:color w:val="auto"/>
        </w:rPr>
        <w:t>If within half an hour from the time appointed for the 2021 Annual Meeting a quorum is not present, then the 2021 Annual Meeting shall stand adjourned to the same day one week later, at the same time and place or to such other day, time or place as the Secretary of the Company may determine. Unless the 2021 Annual Meeting is adjourned to a specific date, place and time announced at the 2021 Annual Meeting being adjourned, fresh notice of the date, place and time for the resumption of the adjourned 2021 Annual Meeting shall be given to each Shareholder entitled to attend and vote thereat in accordance with the Company’s bye-laws as currently in effect.</w:t>
      </w:r>
    </w:p>
    <w:p>
      <w:pPr>
        <w:spacing w:after="0" w:line="188" w:lineRule="exact"/>
        <w:rPr>
          <w:sz w:val="20"/>
          <w:szCs w:val="20"/>
          <w:color w:val="auto"/>
        </w:rPr>
      </w:pPr>
    </w:p>
    <w:p>
      <w:pPr>
        <w:ind w:right="20" w:firstLine="440"/>
        <w:spacing w:after="0" w:line="275" w:lineRule="auto"/>
        <w:rPr>
          <w:sz w:val="20"/>
          <w:szCs w:val="20"/>
          <w:color w:val="auto"/>
        </w:rPr>
      </w:pPr>
      <w:r>
        <w:rPr>
          <w:rFonts w:ascii="Arial" w:cs="Arial" w:eastAsia="Arial" w:hAnsi="Arial"/>
          <w:sz w:val="17"/>
          <w:szCs w:val="17"/>
          <w:color w:val="auto"/>
        </w:rPr>
        <w:t>We will bear the cost of solicitation of proxies. We have not engaged a proxy solicitation agent. Solicitation may be made by our directors, officers and employees personally, by telephone, Internet or otherwise, but such persons will not be specifically compensated for such services. We may also make, through bankers, brokers or other persons, a solicitation of proxies of beneficial holders of Common Shares. Upon request, we will reimburse brokers, dealers, banks or similar entities acting as nominees for reasonable expenses incurred in forwarding copies of the proxy materials relating to the 2021 Annual Meeting to the beneficial owners of Common Shares which such persons hold of record.</w:t>
      </w:r>
    </w:p>
    <w:p>
      <w:pPr>
        <w:spacing w:after="0" w:line="10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020"/>
          </w:cols>
          <w:pgMar w:left="440" w:top="274" w:right="439" w:bottom="1440" w:gutter="0" w:footer="0" w:header="0"/>
        </w:sectPr>
      </w:pPr>
    </w:p>
    <w:bookmarkStart w:id="175" w:name="page176"/>
    <w:bookmarkEnd w:id="175"/>
    <w:p>
      <w:pPr>
        <w:ind w:left="426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TABLE OF CONTENTS</w:t>
      </w:r>
    </w:p>
    <w:p>
      <w:pPr>
        <w:spacing w:after="0" w:line="261"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10660" w:type="dxa"/>
            <w:vAlign w:val="bottom"/>
            <w:vMerge w:val="restart"/>
          </w:tcPr>
          <w:p>
            <w:pPr>
              <w:spacing w:after="0"/>
              <w:rPr>
                <w:sz w:val="20"/>
                <w:szCs w:val="20"/>
                <w:color w:val="auto"/>
              </w:rPr>
            </w:pPr>
            <w:r>
              <w:rPr>
                <w:rFonts w:ascii="Arial" w:cs="Arial" w:eastAsia="Arial" w:hAnsi="Arial"/>
                <w:sz w:val="18"/>
                <w:szCs w:val="18"/>
                <w:color w:val="auto"/>
              </w:rPr>
              <w:t>BENEFICIAL OWNERSHIP OF COMMON SHARES BY MAJOR SHAREHOLDERS AND MANAGEMENT</w:t>
            </w:r>
          </w:p>
        </w:tc>
        <w:tc>
          <w:tcPr>
            <w:tcW w:w="320" w:type="dxa"/>
            <w:vAlign w:val="bottom"/>
            <w:gridSpan w:val="2"/>
          </w:tcPr>
          <w:p>
            <w:pPr>
              <w:spacing w:after="0"/>
              <w:rPr>
                <w:sz w:val="20"/>
                <w:szCs w:val="20"/>
                <w:color w:val="auto"/>
              </w:rPr>
            </w:pPr>
            <w:r>
              <w:rPr>
                <w:rFonts w:ascii="Arial" w:cs="Arial" w:eastAsia="Arial" w:hAnsi="Arial"/>
                <w:sz w:val="14"/>
                <w:szCs w:val="14"/>
                <w:b w:val="1"/>
                <w:bCs w:val="1"/>
                <w:color w:val="auto"/>
                <w:w w:val="89"/>
              </w:rPr>
              <w:t>Page</w:t>
            </w:r>
          </w:p>
        </w:tc>
        <w:tc>
          <w:tcPr>
            <w:tcW w:w="0" w:type="dxa"/>
            <w:vAlign w:val="bottom"/>
          </w:tcPr>
          <w:p>
            <w:pPr>
              <w:spacing w:after="0"/>
              <w:rPr>
                <w:sz w:val="1"/>
                <w:szCs w:val="1"/>
                <w:color w:val="auto"/>
              </w:rPr>
            </w:pPr>
          </w:p>
        </w:tc>
      </w:tr>
      <w:tr>
        <w:trPr>
          <w:trHeight w:val="224"/>
        </w:trPr>
        <w:tc>
          <w:tcPr>
            <w:tcW w:w="10660" w:type="dxa"/>
            <w:vAlign w:val="bottom"/>
            <w:vMerge w:val="continue"/>
          </w:tcPr>
          <w:p>
            <w:pPr>
              <w:spacing w:after="0"/>
              <w:rPr>
                <w:sz w:val="19"/>
                <w:szCs w:val="19"/>
                <w:color w:val="auto"/>
              </w:rPr>
            </w:pPr>
          </w:p>
        </w:tc>
        <w:tc>
          <w:tcPr>
            <w:tcW w:w="3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4</w:t>
            </w: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10"/>
        </w:trPr>
        <w:tc>
          <w:tcPr>
            <w:tcW w:w="10660" w:type="dxa"/>
            <w:vAlign w:val="bottom"/>
          </w:tcPr>
          <w:p>
            <w:pPr>
              <w:spacing w:after="0"/>
              <w:rPr>
                <w:sz w:val="20"/>
                <w:szCs w:val="20"/>
                <w:color w:val="auto"/>
              </w:rPr>
            </w:pPr>
            <w:r>
              <w:rPr>
                <w:rFonts w:ascii="Arial" w:cs="Arial" w:eastAsia="Arial" w:hAnsi="Arial"/>
                <w:sz w:val="18"/>
                <w:szCs w:val="18"/>
                <w:color w:val="auto"/>
              </w:rPr>
              <w:t>PROPOSAL ONE—APPROVAL OF THE ELECTION OF OUR CLASS II DIRECTORS</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7</w:t>
            </w:r>
          </w:p>
        </w:tc>
        <w:tc>
          <w:tcPr>
            <w:tcW w:w="0" w:type="dxa"/>
            <w:vAlign w:val="bottom"/>
          </w:tcPr>
          <w:p>
            <w:pPr>
              <w:spacing w:after="0"/>
              <w:rPr>
                <w:sz w:val="1"/>
                <w:szCs w:val="1"/>
                <w:color w:val="auto"/>
              </w:rPr>
            </w:pPr>
          </w:p>
        </w:tc>
      </w:tr>
      <w:tr>
        <w:trPr>
          <w:trHeight w:val="324"/>
        </w:trPr>
        <w:tc>
          <w:tcPr>
            <w:tcW w:w="10660" w:type="dxa"/>
            <w:vAlign w:val="bottom"/>
          </w:tcPr>
          <w:p>
            <w:pPr>
              <w:ind w:left="360"/>
              <w:spacing w:after="0"/>
              <w:rPr>
                <w:sz w:val="20"/>
                <w:szCs w:val="20"/>
                <w:color w:val="auto"/>
              </w:rPr>
            </w:pPr>
            <w:r>
              <w:rPr>
                <w:rFonts w:ascii="Arial" w:cs="Arial" w:eastAsia="Arial" w:hAnsi="Arial"/>
                <w:sz w:val="18"/>
                <w:szCs w:val="18"/>
                <w:color w:val="auto"/>
              </w:rPr>
              <w:t>Directors and Senior Management</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7</w:t>
            </w:r>
          </w:p>
        </w:tc>
        <w:tc>
          <w:tcPr>
            <w:tcW w:w="0" w:type="dxa"/>
            <w:vAlign w:val="bottom"/>
          </w:tcPr>
          <w:p>
            <w:pPr>
              <w:spacing w:after="0"/>
              <w:rPr>
                <w:sz w:val="1"/>
                <w:szCs w:val="1"/>
                <w:color w:val="auto"/>
              </w:rPr>
            </w:pPr>
          </w:p>
        </w:tc>
      </w:tr>
      <w:tr>
        <w:trPr>
          <w:trHeight w:val="324"/>
        </w:trPr>
        <w:tc>
          <w:tcPr>
            <w:tcW w:w="10660" w:type="dxa"/>
            <w:vAlign w:val="bottom"/>
          </w:tcPr>
          <w:p>
            <w:pPr>
              <w:ind w:left="360"/>
              <w:spacing w:after="0"/>
              <w:rPr>
                <w:sz w:val="20"/>
                <w:szCs w:val="20"/>
                <w:color w:val="auto"/>
              </w:rPr>
            </w:pPr>
            <w:r>
              <w:rPr>
                <w:rFonts w:ascii="Arial" w:cs="Arial" w:eastAsia="Arial" w:hAnsi="Arial"/>
                <w:sz w:val="18"/>
                <w:szCs w:val="18"/>
                <w:color w:val="auto"/>
              </w:rPr>
              <w:t>Board Practices</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11</w:t>
            </w:r>
          </w:p>
        </w:tc>
        <w:tc>
          <w:tcPr>
            <w:tcW w:w="0" w:type="dxa"/>
            <w:vAlign w:val="bottom"/>
          </w:tcPr>
          <w:p>
            <w:pPr>
              <w:spacing w:after="0"/>
              <w:rPr>
                <w:sz w:val="1"/>
                <w:szCs w:val="1"/>
                <w:color w:val="auto"/>
              </w:rPr>
            </w:pPr>
          </w:p>
        </w:tc>
      </w:tr>
      <w:tr>
        <w:trPr>
          <w:trHeight w:val="324"/>
        </w:trPr>
        <w:tc>
          <w:tcPr>
            <w:tcW w:w="10660" w:type="dxa"/>
            <w:vAlign w:val="bottom"/>
          </w:tcPr>
          <w:p>
            <w:pPr>
              <w:ind w:left="360"/>
              <w:spacing w:after="0"/>
              <w:rPr>
                <w:sz w:val="20"/>
                <w:szCs w:val="20"/>
                <w:color w:val="auto"/>
              </w:rPr>
            </w:pPr>
            <w:r>
              <w:rPr>
                <w:rFonts w:ascii="Arial" w:cs="Arial" w:eastAsia="Arial" w:hAnsi="Arial"/>
                <w:sz w:val="18"/>
                <w:szCs w:val="18"/>
                <w:color w:val="auto"/>
              </w:rPr>
              <w:t>Environmental and Social Matters</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12</w:t>
            </w:r>
          </w:p>
        </w:tc>
        <w:tc>
          <w:tcPr>
            <w:tcW w:w="0" w:type="dxa"/>
            <w:vAlign w:val="bottom"/>
          </w:tcPr>
          <w:p>
            <w:pPr>
              <w:spacing w:after="0"/>
              <w:rPr>
                <w:sz w:val="1"/>
                <w:szCs w:val="1"/>
                <w:color w:val="auto"/>
              </w:rPr>
            </w:pPr>
          </w:p>
        </w:tc>
      </w:tr>
      <w:tr>
        <w:trPr>
          <w:trHeight w:val="324"/>
        </w:trPr>
        <w:tc>
          <w:tcPr>
            <w:tcW w:w="10660" w:type="dxa"/>
            <w:vAlign w:val="bottom"/>
          </w:tcPr>
          <w:p>
            <w:pPr>
              <w:ind w:left="360"/>
              <w:spacing w:after="0"/>
              <w:rPr>
                <w:sz w:val="20"/>
                <w:szCs w:val="20"/>
                <w:color w:val="auto"/>
              </w:rPr>
            </w:pPr>
            <w:r>
              <w:rPr>
                <w:rFonts w:ascii="Arial" w:cs="Arial" w:eastAsia="Arial" w:hAnsi="Arial"/>
                <w:sz w:val="18"/>
                <w:szCs w:val="18"/>
                <w:color w:val="auto"/>
              </w:rPr>
              <w:t>Board and Committee Meetings</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12</w:t>
            </w:r>
          </w:p>
        </w:tc>
        <w:tc>
          <w:tcPr>
            <w:tcW w:w="0" w:type="dxa"/>
            <w:vAlign w:val="bottom"/>
          </w:tcPr>
          <w:p>
            <w:pPr>
              <w:spacing w:after="0"/>
              <w:rPr>
                <w:sz w:val="1"/>
                <w:szCs w:val="1"/>
                <w:color w:val="auto"/>
              </w:rPr>
            </w:pPr>
          </w:p>
        </w:tc>
      </w:tr>
      <w:tr>
        <w:trPr>
          <w:trHeight w:val="324"/>
        </w:trPr>
        <w:tc>
          <w:tcPr>
            <w:tcW w:w="10660" w:type="dxa"/>
            <w:vAlign w:val="bottom"/>
          </w:tcPr>
          <w:p>
            <w:pPr>
              <w:ind w:left="360"/>
              <w:spacing w:after="0"/>
              <w:rPr>
                <w:sz w:val="20"/>
                <w:szCs w:val="20"/>
                <w:color w:val="auto"/>
              </w:rPr>
            </w:pPr>
            <w:r>
              <w:rPr>
                <w:rFonts w:ascii="Arial" w:cs="Arial" w:eastAsia="Arial" w:hAnsi="Arial"/>
                <w:sz w:val="18"/>
                <w:szCs w:val="18"/>
                <w:color w:val="auto"/>
              </w:rPr>
              <w:t>Director and Senior Management Compensation</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12</w:t>
            </w:r>
          </w:p>
        </w:tc>
        <w:tc>
          <w:tcPr>
            <w:tcW w:w="0" w:type="dxa"/>
            <w:vAlign w:val="bottom"/>
          </w:tcPr>
          <w:p>
            <w:pPr>
              <w:spacing w:after="0"/>
              <w:rPr>
                <w:sz w:val="1"/>
                <w:szCs w:val="1"/>
                <w:color w:val="auto"/>
              </w:rPr>
            </w:pPr>
          </w:p>
        </w:tc>
      </w:tr>
      <w:tr>
        <w:trPr>
          <w:trHeight w:val="324"/>
        </w:trPr>
        <w:tc>
          <w:tcPr>
            <w:tcW w:w="10660" w:type="dxa"/>
            <w:vAlign w:val="bottom"/>
          </w:tcPr>
          <w:p>
            <w:pPr>
              <w:ind w:left="360"/>
              <w:spacing w:after="0"/>
              <w:rPr>
                <w:sz w:val="20"/>
                <w:szCs w:val="20"/>
                <w:color w:val="auto"/>
              </w:rPr>
            </w:pPr>
            <w:r>
              <w:rPr>
                <w:rFonts w:ascii="Arial" w:cs="Arial" w:eastAsia="Arial" w:hAnsi="Arial"/>
                <w:sz w:val="18"/>
                <w:szCs w:val="18"/>
                <w:color w:val="auto"/>
              </w:rPr>
              <w:t>Vote Required</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17</w:t>
            </w:r>
          </w:p>
        </w:tc>
        <w:tc>
          <w:tcPr>
            <w:tcW w:w="0" w:type="dxa"/>
            <w:vAlign w:val="bottom"/>
          </w:tcPr>
          <w:p>
            <w:pPr>
              <w:spacing w:after="0"/>
              <w:rPr>
                <w:sz w:val="1"/>
                <w:szCs w:val="1"/>
                <w:color w:val="auto"/>
              </w:rPr>
            </w:pPr>
          </w:p>
        </w:tc>
      </w:tr>
      <w:tr>
        <w:trPr>
          <w:trHeight w:val="310"/>
        </w:trPr>
        <w:tc>
          <w:tcPr>
            <w:tcW w:w="10660" w:type="dxa"/>
            <w:vAlign w:val="bottom"/>
          </w:tcPr>
          <w:p>
            <w:pPr>
              <w:spacing w:after="0"/>
              <w:rPr>
                <w:sz w:val="20"/>
                <w:szCs w:val="20"/>
                <w:color w:val="auto"/>
              </w:rPr>
            </w:pPr>
            <w:r>
              <w:rPr>
                <w:rFonts w:ascii="Arial" w:cs="Arial" w:eastAsia="Arial" w:hAnsi="Arial"/>
                <w:sz w:val="18"/>
                <w:szCs w:val="18"/>
                <w:color w:val="auto"/>
              </w:rPr>
              <w:t>PROPOSAL TWO—APPROVAL OF ANNUAL AUDITED FINANCIAL STATEMENTS FOR THE FISCAL YEAR ENDED</w:t>
            </w:r>
          </w:p>
        </w:tc>
        <w:tc>
          <w:tcPr>
            <w:tcW w:w="3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10660" w:type="dxa"/>
            <w:vAlign w:val="bottom"/>
          </w:tcPr>
          <w:p>
            <w:pPr>
              <w:ind w:left="180"/>
              <w:spacing w:after="0"/>
              <w:rPr>
                <w:sz w:val="20"/>
                <w:szCs w:val="20"/>
                <w:color w:val="auto"/>
              </w:rPr>
            </w:pPr>
            <w:r>
              <w:rPr>
                <w:rFonts w:ascii="Arial" w:cs="Arial" w:eastAsia="Arial" w:hAnsi="Arial"/>
                <w:sz w:val="18"/>
                <w:szCs w:val="18"/>
                <w:color w:val="auto"/>
              </w:rPr>
              <w:t>DECEMBER 31, 2020</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r>
        <w:trPr>
          <w:trHeight w:val="324"/>
        </w:trPr>
        <w:tc>
          <w:tcPr>
            <w:tcW w:w="10660" w:type="dxa"/>
            <w:vAlign w:val="bottom"/>
          </w:tcPr>
          <w:p>
            <w:pPr>
              <w:ind w:left="360"/>
              <w:spacing w:after="0"/>
              <w:rPr>
                <w:sz w:val="20"/>
                <w:szCs w:val="20"/>
                <w:color w:val="auto"/>
              </w:rPr>
            </w:pPr>
            <w:r>
              <w:rPr>
                <w:rFonts w:ascii="Arial" w:cs="Arial" w:eastAsia="Arial" w:hAnsi="Arial"/>
                <w:sz w:val="18"/>
                <w:szCs w:val="18"/>
                <w:color w:val="auto"/>
              </w:rPr>
              <w:t>Vote Required</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r>
        <w:trPr>
          <w:trHeight w:val="310"/>
        </w:trPr>
        <w:tc>
          <w:tcPr>
            <w:tcW w:w="10660" w:type="dxa"/>
            <w:vAlign w:val="bottom"/>
          </w:tcPr>
          <w:p>
            <w:pPr>
              <w:spacing w:after="0"/>
              <w:rPr>
                <w:sz w:val="20"/>
                <w:szCs w:val="20"/>
                <w:color w:val="auto"/>
              </w:rPr>
            </w:pPr>
            <w:r>
              <w:rPr>
                <w:rFonts w:ascii="Arial" w:cs="Arial" w:eastAsia="Arial" w:hAnsi="Arial"/>
                <w:sz w:val="18"/>
                <w:szCs w:val="18"/>
                <w:color w:val="auto"/>
              </w:rPr>
              <w:t>PROPOSAL THREE—APPROVAL OF THE RE-APPOINTMENT OF KPMG LLP TO ACT AS OUR INDEPENDENT AUDITORS FOR</w:t>
            </w:r>
          </w:p>
        </w:tc>
        <w:tc>
          <w:tcPr>
            <w:tcW w:w="3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10660" w:type="dxa"/>
            <w:vAlign w:val="bottom"/>
          </w:tcPr>
          <w:p>
            <w:pPr>
              <w:ind w:left="180"/>
              <w:spacing w:after="0"/>
              <w:rPr>
                <w:sz w:val="20"/>
                <w:szCs w:val="20"/>
                <w:color w:val="auto"/>
              </w:rPr>
            </w:pPr>
            <w:r>
              <w:rPr>
                <w:rFonts w:ascii="Arial" w:cs="Arial" w:eastAsia="Arial" w:hAnsi="Arial"/>
                <w:sz w:val="18"/>
                <w:szCs w:val="18"/>
                <w:color w:val="auto"/>
              </w:rPr>
              <w:t>THE FISCAL YEAR ENDING DECEMBER 31, 2021 AND THE AUTHORIZATION FOR OUR BOARD OF DIRECTORS, ACTING</w:t>
            </w:r>
          </w:p>
        </w:tc>
        <w:tc>
          <w:tcPr>
            <w:tcW w:w="3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0660" w:type="dxa"/>
            <w:vAlign w:val="bottom"/>
          </w:tcPr>
          <w:p>
            <w:pPr>
              <w:ind w:left="180"/>
              <w:spacing w:after="0"/>
              <w:rPr>
                <w:sz w:val="20"/>
                <w:szCs w:val="20"/>
                <w:color w:val="auto"/>
              </w:rPr>
            </w:pPr>
            <w:r>
              <w:rPr>
                <w:rFonts w:ascii="Arial" w:cs="Arial" w:eastAsia="Arial" w:hAnsi="Arial"/>
                <w:sz w:val="18"/>
                <w:szCs w:val="18"/>
                <w:color w:val="auto"/>
              </w:rPr>
              <w:t>THROUGH OUR AUDIT COMMITTEE, TO FIX THE REMUNERATION OF OUR INDEPENDENT AUDITORS FOR THE FISCAL</w:t>
            </w:r>
          </w:p>
        </w:tc>
        <w:tc>
          <w:tcPr>
            <w:tcW w:w="3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10660" w:type="dxa"/>
            <w:vAlign w:val="bottom"/>
          </w:tcPr>
          <w:p>
            <w:pPr>
              <w:ind w:left="180"/>
              <w:spacing w:after="0"/>
              <w:rPr>
                <w:sz w:val="20"/>
                <w:szCs w:val="20"/>
                <w:color w:val="auto"/>
              </w:rPr>
            </w:pPr>
            <w:r>
              <w:rPr>
                <w:rFonts w:ascii="Arial" w:cs="Arial" w:eastAsia="Arial" w:hAnsi="Arial"/>
                <w:sz w:val="18"/>
                <w:szCs w:val="18"/>
                <w:color w:val="auto"/>
              </w:rPr>
              <w:t>YEAR ENDING DECEMBER 31, 2021</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19</w:t>
            </w:r>
          </w:p>
        </w:tc>
        <w:tc>
          <w:tcPr>
            <w:tcW w:w="0" w:type="dxa"/>
            <w:vAlign w:val="bottom"/>
          </w:tcPr>
          <w:p>
            <w:pPr>
              <w:spacing w:after="0"/>
              <w:rPr>
                <w:sz w:val="1"/>
                <w:szCs w:val="1"/>
                <w:color w:val="auto"/>
              </w:rPr>
            </w:pPr>
          </w:p>
        </w:tc>
      </w:tr>
      <w:tr>
        <w:trPr>
          <w:trHeight w:val="324"/>
        </w:trPr>
        <w:tc>
          <w:tcPr>
            <w:tcW w:w="10660" w:type="dxa"/>
            <w:vAlign w:val="bottom"/>
          </w:tcPr>
          <w:p>
            <w:pPr>
              <w:ind w:left="360"/>
              <w:spacing w:after="0"/>
              <w:rPr>
                <w:sz w:val="20"/>
                <w:szCs w:val="20"/>
                <w:color w:val="auto"/>
              </w:rPr>
            </w:pPr>
            <w:r>
              <w:rPr>
                <w:rFonts w:ascii="Arial" w:cs="Arial" w:eastAsia="Arial" w:hAnsi="Arial"/>
                <w:sz w:val="18"/>
                <w:szCs w:val="18"/>
                <w:color w:val="auto"/>
              </w:rPr>
              <w:t>Independent Auditors Fees and Services</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19</w:t>
            </w:r>
          </w:p>
        </w:tc>
        <w:tc>
          <w:tcPr>
            <w:tcW w:w="0" w:type="dxa"/>
            <w:vAlign w:val="bottom"/>
          </w:tcPr>
          <w:p>
            <w:pPr>
              <w:spacing w:after="0"/>
              <w:rPr>
                <w:sz w:val="1"/>
                <w:szCs w:val="1"/>
                <w:color w:val="auto"/>
              </w:rPr>
            </w:pPr>
          </w:p>
        </w:tc>
      </w:tr>
      <w:tr>
        <w:trPr>
          <w:trHeight w:val="324"/>
        </w:trPr>
        <w:tc>
          <w:tcPr>
            <w:tcW w:w="10660" w:type="dxa"/>
            <w:vAlign w:val="bottom"/>
          </w:tcPr>
          <w:p>
            <w:pPr>
              <w:spacing w:after="0"/>
              <w:rPr>
                <w:sz w:val="20"/>
                <w:szCs w:val="20"/>
                <w:color w:val="auto"/>
              </w:rPr>
            </w:pPr>
            <w:r>
              <w:rPr>
                <w:rFonts w:ascii="Arial" w:cs="Arial" w:eastAsia="Arial" w:hAnsi="Arial"/>
                <w:sz w:val="18"/>
                <w:szCs w:val="18"/>
                <w:color w:val="auto"/>
              </w:rPr>
              <w:t>Vote Required</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19</w:t>
            </w:r>
          </w:p>
        </w:tc>
        <w:tc>
          <w:tcPr>
            <w:tcW w:w="0" w:type="dxa"/>
            <w:vAlign w:val="bottom"/>
          </w:tcPr>
          <w:p>
            <w:pPr>
              <w:spacing w:after="0"/>
              <w:rPr>
                <w:sz w:val="1"/>
                <w:szCs w:val="1"/>
                <w:color w:val="auto"/>
              </w:rPr>
            </w:pPr>
          </w:p>
        </w:tc>
      </w:tr>
      <w:tr>
        <w:trPr>
          <w:trHeight w:val="324"/>
        </w:trPr>
        <w:tc>
          <w:tcPr>
            <w:tcW w:w="10660" w:type="dxa"/>
            <w:vAlign w:val="bottom"/>
          </w:tcPr>
          <w:p>
            <w:pPr>
              <w:spacing w:after="0"/>
              <w:rPr>
                <w:sz w:val="20"/>
                <w:szCs w:val="20"/>
                <w:color w:val="auto"/>
              </w:rPr>
            </w:pPr>
            <w:r>
              <w:rPr>
                <w:rFonts w:ascii="Arial" w:cs="Arial" w:eastAsia="Arial" w:hAnsi="Arial"/>
                <w:sz w:val="18"/>
                <w:szCs w:val="18"/>
                <w:color w:val="auto"/>
              </w:rPr>
              <w:t>OTHER MATTERS</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365"/>
        </w:trPr>
        <w:tc>
          <w:tcPr>
            <w:tcW w:w="10660" w:type="dxa"/>
            <w:vAlign w:val="bottom"/>
          </w:tcPr>
          <w:p>
            <w:pPr>
              <w:ind w:left="5460"/>
              <w:spacing w:after="0"/>
              <w:rPr>
                <w:sz w:val="20"/>
                <w:szCs w:val="20"/>
                <w:color w:val="auto"/>
              </w:rPr>
            </w:pPr>
            <w:r>
              <w:rPr>
                <w:rFonts w:ascii="Arial" w:cs="Arial" w:eastAsia="Arial" w:hAnsi="Arial"/>
                <w:sz w:val="18"/>
                <w:szCs w:val="18"/>
                <w:color w:val="auto"/>
              </w:rPr>
              <w:t>3</w:t>
            </w:r>
          </w:p>
        </w:tc>
        <w:tc>
          <w:tcPr>
            <w:tcW w:w="3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0960"/>
          </w:cols>
          <w:pgMar w:left="440" w:top="270" w:right="499" w:bottom="1440" w:gutter="0" w:footer="0" w:header="0"/>
        </w:sectPr>
      </w:pPr>
    </w:p>
    <w:bookmarkStart w:id="176" w:name="page177"/>
    <w:bookmarkEnd w:id="176"/>
    <w:p>
      <w:pPr>
        <w:ind w:left="336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7174865" cy="38735"/>
                    </a:xfrm>
                    <a:prstGeom prst="rect">
                      <a:avLst/>
                    </a:prstGeom>
                    <a:noFill/>
                  </pic:spPr>
                </pic:pic>
              </a:graphicData>
            </a:graphic>
          </wp:anchor>
        </w:drawing>
        <w:t>BENEFICIAL OWNERSHIP OF COMMON SHARES</w:t>
      </w:r>
    </w:p>
    <w:p>
      <w:pPr>
        <w:spacing w:after="0" w:line="27" w:lineRule="exact"/>
        <w:rPr>
          <w:sz w:val="20"/>
          <w:szCs w:val="20"/>
          <w:color w:val="auto"/>
        </w:rPr>
      </w:pPr>
    </w:p>
    <w:p>
      <w:pPr>
        <w:ind w:left="3340"/>
        <w:spacing w:after="0"/>
        <w:rPr>
          <w:sz w:val="20"/>
          <w:szCs w:val="20"/>
          <w:color w:val="auto"/>
        </w:rPr>
      </w:pPr>
      <w:r>
        <w:rPr>
          <w:rFonts w:ascii="Arial" w:cs="Arial" w:eastAsia="Arial" w:hAnsi="Arial"/>
          <w:sz w:val="18"/>
          <w:szCs w:val="18"/>
          <w:b w:val="1"/>
          <w:bCs w:val="1"/>
          <w:color w:val="auto"/>
        </w:rPr>
        <w:t>BY MAJOR SHAREHOLDERS AND MANAGEMENT</w:t>
      </w:r>
    </w:p>
    <w:p>
      <w:pPr>
        <w:spacing w:after="0" w:line="21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following table presents information regarding the beneficial ownership of our Common Shares as of March 31, 2021 by:</w:t>
      </w:r>
    </w:p>
    <w:p>
      <w:pPr>
        <w:spacing w:after="0" w:line="131" w:lineRule="exact"/>
        <w:rPr>
          <w:sz w:val="20"/>
          <w:szCs w:val="20"/>
          <w:color w:val="auto"/>
        </w:rPr>
      </w:pPr>
    </w:p>
    <w:p>
      <w:pPr>
        <w:ind w:left="960" w:hanging="424"/>
        <w:spacing w:after="0"/>
        <w:tabs>
          <w:tab w:leader="none" w:pos="960" w:val="left"/>
        </w:tabs>
        <w:numPr>
          <w:ilvl w:val="0"/>
          <w:numId w:val="140"/>
        </w:numPr>
        <w:rPr>
          <w:rFonts w:ascii="Arial" w:cs="Arial" w:eastAsia="Arial" w:hAnsi="Arial"/>
          <w:sz w:val="18"/>
          <w:szCs w:val="18"/>
          <w:color w:val="auto"/>
        </w:rPr>
      </w:pPr>
      <w:r>
        <w:rPr>
          <w:rFonts w:ascii="Arial" w:cs="Arial" w:eastAsia="Arial" w:hAnsi="Arial"/>
          <w:sz w:val="18"/>
          <w:szCs w:val="18"/>
          <w:color w:val="auto"/>
        </w:rPr>
        <w:t>each person or entity that we know beneficially owns more than 5% of our issued and outstanding Common Shares;</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140"/>
        </w:numPr>
        <w:rPr>
          <w:rFonts w:ascii="Arial" w:cs="Arial" w:eastAsia="Arial" w:hAnsi="Arial"/>
          <w:sz w:val="18"/>
          <w:szCs w:val="18"/>
          <w:color w:val="auto"/>
        </w:rPr>
      </w:pPr>
      <w:r>
        <w:rPr>
          <w:rFonts w:ascii="Arial" w:cs="Arial" w:eastAsia="Arial" w:hAnsi="Arial"/>
          <w:sz w:val="18"/>
          <w:szCs w:val="18"/>
          <w:color w:val="auto"/>
        </w:rPr>
        <w:t>each director, director nominee and executive officer; and</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140"/>
        </w:numPr>
        <w:rPr>
          <w:rFonts w:ascii="Arial" w:cs="Arial" w:eastAsia="Arial" w:hAnsi="Arial"/>
          <w:sz w:val="18"/>
          <w:szCs w:val="18"/>
          <w:color w:val="auto"/>
        </w:rPr>
      </w:pPr>
      <w:r>
        <w:rPr>
          <w:rFonts w:ascii="Arial" w:cs="Arial" w:eastAsia="Arial" w:hAnsi="Arial"/>
          <w:sz w:val="18"/>
          <w:szCs w:val="18"/>
          <w:color w:val="auto"/>
        </w:rPr>
        <w:t>all of our directors, director nominees and executive officers as a group.</w:t>
      </w:r>
    </w:p>
    <w:p>
      <w:pPr>
        <w:spacing w:after="0" w:line="225" w:lineRule="exact"/>
        <w:rPr>
          <w:sz w:val="20"/>
          <w:szCs w:val="20"/>
          <w:color w:val="auto"/>
        </w:rPr>
      </w:pPr>
    </w:p>
    <w:p>
      <w:pPr>
        <w:spacing w:after="0" w:line="273" w:lineRule="auto"/>
        <w:rPr>
          <w:sz w:val="20"/>
          <w:szCs w:val="20"/>
          <w:color w:val="auto"/>
        </w:rPr>
      </w:pPr>
      <w:r>
        <w:rPr>
          <w:rFonts w:ascii="Arial" w:cs="Arial" w:eastAsia="Arial" w:hAnsi="Arial"/>
          <w:sz w:val="17"/>
          <w:szCs w:val="17"/>
          <w:color w:val="auto"/>
        </w:rPr>
        <w:t>For the purposes of the following table, beneficial ownership of our Common Shares is determined in accordance with the rules of the United States Securities and Exchange Commission (the “</w:t>
      </w:r>
      <w:r>
        <w:rPr>
          <w:rFonts w:ascii="Arial" w:cs="Arial" w:eastAsia="Arial" w:hAnsi="Arial"/>
          <w:sz w:val="17"/>
          <w:szCs w:val="17"/>
          <w:b w:val="1"/>
          <w:bCs w:val="1"/>
          <w:color w:val="auto"/>
        </w:rPr>
        <w:t>SEC</w:t>
      </w:r>
      <w:r>
        <w:rPr>
          <w:rFonts w:ascii="Arial" w:cs="Arial" w:eastAsia="Arial" w:hAnsi="Arial"/>
          <w:sz w:val="17"/>
          <w:szCs w:val="17"/>
          <w:color w:val="auto"/>
        </w:rPr>
        <w:t>”) and generally includes any Common Shares over which a person exercises sole or shared voting or investment power. The percentage of beneficial ownership of our Common Shares is based on 50,092,911 Common Shares issued and outstanding on March 31, 2021. We do not believe that we are directly or indirectly owned or controlled by any foreign government. The voting rights of our Common Shares held by major shareholders are the same as the voting rights of Common Shares held by all other shareholders. We are unaware of any arrangement that might result in a change of control of the Company.</w:t>
      </w:r>
    </w:p>
    <w:p>
      <w:pPr>
        <w:spacing w:after="0" w:line="184" w:lineRule="exact"/>
        <w:rPr>
          <w:sz w:val="20"/>
          <w:szCs w:val="20"/>
          <w:color w:val="auto"/>
        </w:rPr>
      </w:pPr>
    </w:p>
    <w:tbl>
      <w:tblPr>
        <w:tblLayout w:type="fixed"/>
        <w:tblInd w:w="1320" w:type="dxa"/>
        <w:tblCellMar>
          <w:top w:w="0" w:type="dxa"/>
          <w:left w:w="0" w:type="dxa"/>
          <w:bottom w:w="0" w:type="dxa"/>
          <w:right w:w="0" w:type="dxa"/>
        </w:tblCellMar>
      </w:tblPr>
      <w:tr>
        <w:trPr>
          <w:trHeight w:val="161"/>
        </w:trPr>
        <w:tc>
          <w:tcPr>
            <w:tcW w:w="500" w:type="dxa"/>
            <w:vAlign w:val="bottom"/>
          </w:tcPr>
          <w:p>
            <w:pPr>
              <w:spacing w:after="0"/>
              <w:rPr>
                <w:sz w:val="14"/>
                <w:szCs w:val="14"/>
                <w:color w:val="auto"/>
              </w:rPr>
            </w:pPr>
          </w:p>
        </w:tc>
        <w:tc>
          <w:tcPr>
            <w:tcW w:w="6220" w:type="dxa"/>
            <w:vAlign w:val="bottom"/>
          </w:tcPr>
          <w:p>
            <w:pPr>
              <w:spacing w:after="0"/>
              <w:rPr>
                <w:sz w:val="14"/>
                <w:szCs w:val="14"/>
                <w:color w:val="auto"/>
              </w:rPr>
            </w:pPr>
          </w:p>
        </w:tc>
        <w:tc>
          <w:tcPr>
            <w:tcW w:w="1080" w:type="dxa"/>
            <w:vAlign w:val="bottom"/>
            <w:gridSpan w:val="2"/>
          </w:tcPr>
          <w:p>
            <w:pPr>
              <w:jc w:val="center"/>
              <w:ind w:left="294"/>
              <w:spacing w:after="0"/>
              <w:rPr>
                <w:sz w:val="20"/>
                <w:szCs w:val="20"/>
                <w:color w:val="auto"/>
              </w:rPr>
            </w:pPr>
            <w:r>
              <w:rPr>
                <w:rFonts w:ascii="Arial" w:cs="Arial" w:eastAsia="Arial" w:hAnsi="Arial"/>
                <w:sz w:val="14"/>
                <w:szCs w:val="14"/>
                <w:b w:val="1"/>
                <w:bCs w:val="1"/>
                <w:color w:val="auto"/>
                <w:w w:val="94"/>
              </w:rPr>
              <w:t>Number of</w:t>
            </w:r>
          </w:p>
        </w:tc>
        <w:tc>
          <w:tcPr>
            <w:tcW w:w="3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500" w:type="dxa"/>
            <w:vAlign w:val="bottom"/>
          </w:tcPr>
          <w:p>
            <w:pPr>
              <w:spacing w:after="0"/>
              <w:rPr>
                <w:sz w:val="12"/>
                <w:szCs w:val="12"/>
                <w:color w:val="auto"/>
              </w:rPr>
            </w:pPr>
          </w:p>
        </w:tc>
        <w:tc>
          <w:tcPr>
            <w:tcW w:w="6220" w:type="dxa"/>
            <w:vAlign w:val="bottom"/>
          </w:tcPr>
          <w:p>
            <w:pPr>
              <w:spacing w:after="0"/>
              <w:rPr>
                <w:sz w:val="12"/>
                <w:szCs w:val="12"/>
                <w:color w:val="auto"/>
              </w:rPr>
            </w:pPr>
          </w:p>
        </w:tc>
        <w:tc>
          <w:tcPr>
            <w:tcW w:w="1640" w:type="dxa"/>
            <w:vAlign w:val="bottom"/>
            <w:gridSpan w:val="4"/>
          </w:tcPr>
          <w:p>
            <w:pPr>
              <w:jc w:val="center"/>
              <w:ind w:right="180"/>
              <w:spacing w:after="0" w:line="149" w:lineRule="exact"/>
              <w:rPr>
                <w:sz w:val="20"/>
                <w:szCs w:val="20"/>
                <w:color w:val="auto"/>
              </w:rPr>
            </w:pPr>
            <w:r>
              <w:rPr>
                <w:rFonts w:ascii="Arial" w:cs="Arial" w:eastAsia="Arial" w:hAnsi="Arial"/>
                <w:sz w:val="14"/>
                <w:szCs w:val="14"/>
                <w:b w:val="1"/>
                <w:bCs w:val="1"/>
                <w:color w:val="auto"/>
                <w:w w:val="91"/>
              </w:rPr>
              <w:t>Common Shares</w:t>
            </w:r>
          </w:p>
        </w:tc>
        <w:tc>
          <w:tcPr>
            <w:tcW w:w="0" w:type="dxa"/>
            <w:vAlign w:val="bottom"/>
          </w:tcPr>
          <w:p>
            <w:pPr>
              <w:spacing w:after="0"/>
              <w:rPr>
                <w:sz w:val="1"/>
                <w:szCs w:val="1"/>
                <w:color w:val="auto"/>
              </w:rPr>
            </w:pPr>
          </w:p>
        </w:tc>
      </w:tr>
      <w:tr>
        <w:trPr>
          <w:trHeight w:val="171"/>
        </w:trPr>
        <w:tc>
          <w:tcPr>
            <w:tcW w:w="500" w:type="dxa"/>
            <w:vAlign w:val="bottom"/>
            <w:vMerge w:val="restart"/>
          </w:tcPr>
          <w:p>
            <w:pPr>
              <w:spacing w:after="0"/>
              <w:rPr>
                <w:sz w:val="20"/>
                <w:szCs w:val="20"/>
                <w:color w:val="auto"/>
              </w:rPr>
            </w:pPr>
            <w:r>
              <w:rPr>
                <w:rFonts w:ascii="Arial" w:cs="Arial" w:eastAsia="Arial" w:hAnsi="Arial"/>
                <w:sz w:val="14"/>
                <w:szCs w:val="14"/>
                <w:b w:val="1"/>
                <w:bCs w:val="1"/>
                <w:color w:val="auto"/>
                <w:w w:val="91"/>
              </w:rPr>
              <w:t>Holders</w:t>
            </w:r>
          </w:p>
        </w:tc>
        <w:tc>
          <w:tcPr>
            <w:tcW w:w="6220" w:type="dxa"/>
            <w:vAlign w:val="bottom"/>
            <w:vMerge w:val="restart"/>
          </w:tcPr>
          <w:p>
            <w:pPr>
              <w:spacing w:after="0"/>
              <w:rPr>
                <w:sz w:val="14"/>
                <w:szCs w:val="14"/>
                <w:color w:val="auto"/>
              </w:rPr>
            </w:pPr>
          </w:p>
        </w:tc>
        <w:tc>
          <w:tcPr>
            <w:tcW w:w="1640" w:type="dxa"/>
            <w:vAlign w:val="bottom"/>
            <w:gridSpan w:val="4"/>
          </w:tcPr>
          <w:p>
            <w:pPr>
              <w:jc w:val="center"/>
              <w:ind w:right="200"/>
              <w:spacing w:after="0"/>
              <w:rPr>
                <w:sz w:val="20"/>
                <w:szCs w:val="20"/>
                <w:color w:val="auto"/>
              </w:rPr>
            </w:pPr>
            <w:r>
              <w:rPr>
                <w:rFonts w:ascii="Arial" w:cs="Arial" w:eastAsia="Arial" w:hAnsi="Arial"/>
                <w:sz w:val="14"/>
                <w:szCs w:val="14"/>
                <w:b w:val="1"/>
                <w:bCs w:val="1"/>
                <w:color w:val="auto"/>
                <w:w w:val="93"/>
              </w:rPr>
              <w:t>Beneficially Owned</w:t>
            </w:r>
          </w:p>
        </w:tc>
        <w:tc>
          <w:tcPr>
            <w:tcW w:w="0" w:type="dxa"/>
            <w:vAlign w:val="bottom"/>
          </w:tcPr>
          <w:p>
            <w:pPr>
              <w:spacing w:after="0"/>
              <w:rPr>
                <w:sz w:val="1"/>
                <w:szCs w:val="1"/>
                <w:color w:val="auto"/>
              </w:rPr>
            </w:pPr>
          </w:p>
        </w:tc>
      </w:tr>
      <w:tr>
        <w:trPr>
          <w:trHeight w:val="148"/>
        </w:trPr>
        <w:tc>
          <w:tcPr>
            <w:tcW w:w="500" w:type="dxa"/>
            <w:vAlign w:val="bottom"/>
            <w:tcBorders>
              <w:bottom w:val="single" w:sz="8" w:color="auto"/>
            </w:tcBorders>
            <w:vMerge w:val="continue"/>
          </w:tcPr>
          <w:p>
            <w:pPr>
              <w:spacing w:after="0"/>
              <w:rPr>
                <w:sz w:val="12"/>
                <w:szCs w:val="12"/>
                <w:color w:val="auto"/>
              </w:rPr>
            </w:pPr>
          </w:p>
        </w:tc>
        <w:tc>
          <w:tcPr>
            <w:tcW w:w="6220" w:type="dxa"/>
            <w:vAlign w:val="bottom"/>
            <w:vMerge w:val="continue"/>
          </w:tcPr>
          <w:p>
            <w:pPr>
              <w:spacing w:after="0"/>
              <w:rPr>
                <w:sz w:val="12"/>
                <w:szCs w:val="12"/>
                <w:color w:val="auto"/>
              </w:rPr>
            </w:pPr>
          </w:p>
        </w:tc>
        <w:tc>
          <w:tcPr>
            <w:tcW w:w="1080" w:type="dxa"/>
            <w:vAlign w:val="bottom"/>
            <w:tcBorders>
              <w:top w:val="single" w:sz="8" w:color="auto"/>
            </w:tcBorders>
            <w:gridSpan w:val="2"/>
          </w:tcPr>
          <w:p>
            <w:pPr>
              <w:jc w:val="right"/>
              <w:ind w:right="380"/>
              <w:spacing w:after="0" w:line="129" w:lineRule="exact"/>
              <w:rPr>
                <w:sz w:val="20"/>
                <w:szCs w:val="20"/>
                <w:color w:val="auto"/>
              </w:rPr>
            </w:pPr>
            <w:r>
              <w:rPr>
                <w:rFonts w:ascii="Arial" w:cs="Arial" w:eastAsia="Arial" w:hAnsi="Arial"/>
                <w:sz w:val="14"/>
                <w:szCs w:val="14"/>
                <w:b w:val="1"/>
                <w:bCs w:val="1"/>
                <w:color w:val="auto"/>
              </w:rPr>
              <w:t>Shares (1)</w:t>
            </w:r>
          </w:p>
        </w:tc>
        <w:tc>
          <w:tcPr>
            <w:tcW w:w="360" w:type="dxa"/>
            <w:vAlign w:val="bottom"/>
            <w:tcBorders>
              <w:top w:val="single" w:sz="8" w:color="auto"/>
            </w:tcBorders>
          </w:tcPr>
          <w:p>
            <w:pPr>
              <w:jc w:val="right"/>
              <w:spacing w:after="0" w:line="129" w:lineRule="exact"/>
              <w:rPr>
                <w:sz w:val="20"/>
                <w:szCs w:val="20"/>
                <w:color w:val="auto"/>
              </w:rPr>
            </w:pPr>
            <w:r>
              <w:rPr>
                <w:rFonts w:ascii="Arial" w:cs="Arial" w:eastAsia="Arial" w:hAnsi="Arial"/>
                <w:sz w:val="14"/>
                <w:szCs w:val="14"/>
                <w:b w:val="1"/>
                <w:bCs w:val="1"/>
                <w:color w:val="auto"/>
              </w:rPr>
              <w:t>% (2)</w:t>
            </w:r>
          </w:p>
        </w:tc>
        <w:tc>
          <w:tcPr>
            <w:tcW w:w="2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90"/>
        </w:trPr>
        <w:tc>
          <w:tcPr>
            <w:tcW w:w="6720" w:type="dxa"/>
            <w:vAlign w:val="bottom"/>
            <w:tcBorders>
              <w:top w:val="single" w:sz="8" w:color="CCEEFF"/>
            </w:tcBorders>
            <w:gridSpan w:val="2"/>
            <w:shd w:val="clear" w:color="auto" w:fill="CCEEFF"/>
          </w:tcPr>
          <w:p>
            <w:pPr>
              <w:spacing w:after="0" w:line="189" w:lineRule="exact"/>
              <w:rPr>
                <w:sz w:val="20"/>
                <w:szCs w:val="20"/>
                <w:color w:val="auto"/>
              </w:rPr>
            </w:pPr>
            <w:r>
              <w:rPr>
                <w:rFonts w:ascii="Arial" w:cs="Arial" w:eastAsia="Arial" w:hAnsi="Arial"/>
                <w:sz w:val="18"/>
                <w:szCs w:val="18"/>
                <w:b w:val="1"/>
                <w:bCs w:val="1"/>
                <w:i w:val="1"/>
                <w:iCs w:val="1"/>
                <w:color w:val="auto"/>
              </w:rPr>
              <w:t>5% or More Shareholders</w:t>
            </w:r>
          </w:p>
        </w:tc>
        <w:tc>
          <w:tcPr>
            <w:tcW w:w="780" w:type="dxa"/>
            <w:vAlign w:val="bottom"/>
            <w:tcBorders>
              <w:top w:val="single" w:sz="8" w:color="auto"/>
            </w:tcBorders>
            <w:shd w:val="clear" w:color="auto" w:fill="CCEEFF"/>
          </w:tcPr>
          <w:p>
            <w:pPr>
              <w:spacing w:after="0"/>
              <w:rPr>
                <w:sz w:val="16"/>
                <w:szCs w:val="16"/>
                <w:color w:val="auto"/>
              </w:rPr>
            </w:pPr>
          </w:p>
        </w:tc>
        <w:tc>
          <w:tcPr>
            <w:tcW w:w="300" w:type="dxa"/>
            <w:vAlign w:val="bottom"/>
            <w:tcBorders>
              <w:top w:val="single" w:sz="8" w:color="CCEEFF"/>
            </w:tcBorders>
            <w:shd w:val="clear" w:color="auto" w:fill="CCEEFF"/>
          </w:tcPr>
          <w:p>
            <w:pPr>
              <w:spacing w:after="0"/>
              <w:rPr>
                <w:sz w:val="16"/>
                <w:szCs w:val="16"/>
                <w:color w:val="auto"/>
              </w:rPr>
            </w:pPr>
          </w:p>
        </w:tc>
        <w:tc>
          <w:tcPr>
            <w:tcW w:w="360" w:type="dxa"/>
            <w:vAlign w:val="bottom"/>
            <w:tcBorders>
              <w:top w:val="single" w:sz="8" w:color="auto"/>
            </w:tcBorders>
            <w:shd w:val="clear" w:color="auto" w:fill="CCEEFF"/>
          </w:tcPr>
          <w:p>
            <w:pPr>
              <w:spacing w:after="0"/>
              <w:rPr>
                <w:sz w:val="16"/>
                <w:szCs w:val="16"/>
                <w:color w:val="auto"/>
              </w:rPr>
            </w:pPr>
          </w:p>
        </w:tc>
        <w:tc>
          <w:tcPr>
            <w:tcW w:w="200" w:type="dxa"/>
            <w:vAlign w:val="bottom"/>
            <w:tcBorders>
              <w:top w:val="single" w:sz="8" w:color="CCEEFF"/>
            </w:tcBorders>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6720" w:type="dxa"/>
            <w:vAlign w:val="bottom"/>
            <w:gridSpan w:val="2"/>
          </w:tcPr>
          <w:p>
            <w:pPr>
              <w:spacing w:after="0"/>
              <w:rPr>
                <w:sz w:val="20"/>
                <w:szCs w:val="20"/>
                <w:color w:val="auto"/>
              </w:rPr>
            </w:pPr>
            <w:r>
              <w:rPr>
                <w:rFonts w:ascii="Arial" w:cs="Arial" w:eastAsia="Arial" w:hAnsi="Arial"/>
                <w:sz w:val="18"/>
                <w:szCs w:val="18"/>
                <w:color w:val="auto"/>
              </w:rPr>
              <w:t>Coronation Asset Management (Pty) Ltd. (3)</w:t>
            </w:r>
          </w:p>
        </w:tc>
        <w:tc>
          <w:tcPr>
            <w:tcW w:w="1080" w:type="dxa"/>
            <w:vAlign w:val="bottom"/>
            <w:gridSpan w:val="2"/>
          </w:tcPr>
          <w:p>
            <w:pPr>
              <w:jc w:val="right"/>
              <w:ind w:right="300"/>
              <w:spacing w:after="0"/>
              <w:rPr>
                <w:sz w:val="20"/>
                <w:szCs w:val="20"/>
                <w:color w:val="auto"/>
              </w:rPr>
            </w:pPr>
            <w:r>
              <w:rPr>
                <w:rFonts w:ascii="Arial" w:cs="Arial" w:eastAsia="Arial" w:hAnsi="Arial"/>
                <w:sz w:val="18"/>
                <w:szCs w:val="18"/>
                <w:color w:val="auto"/>
                <w:w w:val="94"/>
              </w:rPr>
              <w:t>5,642,419</w:t>
            </w:r>
          </w:p>
        </w:tc>
        <w:tc>
          <w:tcPr>
            <w:tcW w:w="560" w:type="dxa"/>
            <w:vAlign w:val="bottom"/>
            <w:gridSpan w:val="2"/>
          </w:tcPr>
          <w:p>
            <w:pPr>
              <w:jc w:val="right"/>
              <w:ind w:right="40"/>
              <w:spacing w:after="0"/>
              <w:rPr>
                <w:sz w:val="20"/>
                <w:szCs w:val="20"/>
                <w:color w:val="auto"/>
              </w:rPr>
            </w:pPr>
            <w:r>
              <w:rPr>
                <w:rFonts w:ascii="Arial" w:cs="Arial" w:eastAsia="Arial" w:hAnsi="Arial"/>
                <w:sz w:val="18"/>
                <w:szCs w:val="18"/>
                <w:color w:val="auto"/>
                <w:w w:val="97"/>
              </w:rPr>
              <w:t>11.3%</w:t>
            </w:r>
          </w:p>
        </w:tc>
        <w:tc>
          <w:tcPr>
            <w:tcW w:w="0" w:type="dxa"/>
            <w:vAlign w:val="bottom"/>
          </w:tcPr>
          <w:p>
            <w:pPr>
              <w:spacing w:after="0"/>
              <w:rPr>
                <w:sz w:val="1"/>
                <w:szCs w:val="1"/>
                <w:color w:val="auto"/>
              </w:rPr>
            </w:pPr>
          </w:p>
        </w:tc>
      </w:tr>
      <w:tr>
        <w:trPr>
          <w:trHeight w:val="216"/>
        </w:trPr>
        <w:tc>
          <w:tcPr>
            <w:tcW w:w="67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Dimensional Fund Advisors LP (4)</w:t>
            </w:r>
          </w:p>
        </w:tc>
        <w:tc>
          <w:tcPr>
            <w:tcW w:w="108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w w:val="94"/>
              </w:rPr>
              <w:t>2,898,338</w:t>
            </w:r>
          </w:p>
        </w:tc>
        <w:tc>
          <w:tcPr>
            <w:tcW w:w="5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5.8%</w:t>
            </w:r>
          </w:p>
        </w:tc>
        <w:tc>
          <w:tcPr>
            <w:tcW w:w="0" w:type="dxa"/>
            <w:vAlign w:val="bottom"/>
          </w:tcPr>
          <w:p>
            <w:pPr>
              <w:spacing w:after="0"/>
              <w:rPr>
                <w:sz w:val="1"/>
                <w:szCs w:val="1"/>
                <w:color w:val="auto"/>
              </w:rPr>
            </w:pPr>
          </w:p>
        </w:tc>
      </w:tr>
      <w:tr>
        <w:trPr>
          <w:trHeight w:val="216"/>
        </w:trPr>
        <w:tc>
          <w:tcPr>
            <w:tcW w:w="6720" w:type="dxa"/>
            <w:vAlign w:val="bottom"/>
            <w:gridSpan w:val="2"/>
          </w:tcPr>
          <w:p>
            <w:pPr>
              <w:spacing w:after="0"/>
              <w:rPr>
                <w:sz w:val="20"/>
                <w:szCs w:val="20"/>
                <w:color w:val="auto"/>
              </w:rPr>
            </w:pPr>
            <w:r>
              <w:rPr>
                <w:rFonts w:ascii="Arial" w:cs="Arial" w:eastAsia="Arial" w:hAnsi="Arial"/>
                <w:sz w:val="18"/>
                <w:szCs w:val="18"/>
                <w:color w:val="auto"/>
              </w:rPr>
              <w:t>Massachusetts Financial Services Company (5)</w:t>
            </w:r>
          </w:p>
        </w:tc>
        <w:tc>
          <w:tcPr>
            <w:tcW w:w="1080" w:type="dxa"/>
            <w:vAlign w:val="bottom"/>
            <w:gridSpan w:val="2"/>
          </w:tcPr>
          <w:p>
            <w:pPr>
              <w:jc w:val="right"/>
              <w:ind w:right="300"/>
              <w:spacing w:after="0"/>
              <w:rPr>
                <w:sz w:val="20"/>
                <w:szCs w:val="20"/>
                <w:color w:val="auto"/>
              </w:rPr>
            </w:pPr>
            <w:r>
              <w:rPr>
                <w:rFonts w:ascii="Arial" w:cs="Arial" w:eastAsia="Arial" w:hAnsi="Arial"/>
                <w:sz w:val="18"/>
                <w:szCs w:val="18"/>
                <w:color w:val="auto"/>
                <w:w w:val="94"/>
              </w:rPr>
              <w:t>2,719,033</w:t>
            </w:r>
          </w:p>
        </w:tc>
        <w:tc>
          <w:tcPr>
            <w:tcW w:w="560" w:type="dxa"/>
            <w:vAlign w:val="bottom"/>
            <w:gridSpan w:val="2"/>
          </w:tcPr>
          <w:p>
            <w:pPr>
              <w:jc w:val="right"/>
              <w:ind w:right="40"/>
              <w:spacing w:after="0"/>
              <w:rPr>
                <w:sz w:val="20"/>
                <w:szCs w:val="20"/>
                <w:color w:val="auto"/>
              </w:rPr>
            </w:pPr>
            <w:r>
              <w:rPr>
                <w:rFonts w:ascii="Arial" w:cs="Arial" w:eastAsia="Arial" w:hAnsi="Arial"/>
                <w:sz w:val="18"/>
                <w:szCs w:val="18"/>
                <w:color w:val="auto"/>
              </w:rPr>
              <w:t>5.4%</w:t>
            </w:r>
          </w:p>
        </w:tc>
        <w:tc>
          <w:tcPr>
            <w:tcW w:w="0" w:type="dxa"/>
            <w:vAlign w:val="bottom"/>
          </w:tcPr>
          <w:p>
            <w:pPr>
              <w:spacing w:after="0"/>
              <w:rPr>
                <w:sz w:val="1"/>
                <w:szCs w:val="1"/>
                <w:color w:val="auto"/>
              </w:rPr>
            </w:pPr>
          </w:p>
        </w:tc>
      </w:tr>
      <w:tr>
        <w:trPr>
          <w:trHeight w:val="216"/>
        </w:trPr>
        <w:tc>
          <w:tcPr>
            <w:tcW w:w="67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Isam K. Kabbani (6)</w:t>
            </w:r>
          </w:p>
        </w:tc>
        <w:tc>
          <w:tcPr>
            <w:tcW w:w="108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w w:val="94"/>
              </w:rPr>
              <w:t>2,579,230</w:t>
            </w:r>
          </w:p>
        </w:tc>
        <w:tc>
          <w:tcPr>
            <w:tcW w:w="5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5.1%</w:t>
            </w:r>
          </w:p>
        </w:tc>
        <w:tc>
          <w:tcPr>
            <w:tcW w:w="0" w:type="dxa"/>
            <w:vAlign w:val="bottom"/>
          </w:tcPr>
          <w:p>
            <w:pPr>
              <w:spacing w:after="0"/>
              <w:rPr>
                <w:sz w:val="1"/>
                <w:szCs w:val="1"/>
                <w:color w:val="auto"/>
              </w:rPr>
            </w:pPr>
          </w:p>
        </w:tc>
      </w:tr>
      <w:tr>
        <w:trPr>
          <w:trHeight w:val="324"/>
        </w:trPr>
        <w:tc>
          <w:tcPr>
            <w:tcW w:w="6720" w:type="dxa"/>
            <w:vAlign w:val="bottom"/>
            <w:gridSpan w:val="2"/>
          </w:tcPr>
          <w:p>
            <w:pPr>
              <w:spacing w:after="0"/>
              <w:rPr>
                <w:sz w:val="20"/>
                <w:szCs w:val="20"/>
                <w:color w:val="auto"/>
              </w:rPr>
            </w:pPr>
            <w:r>
              <w:rPr>
                <w:rFonts w:ascii="Arial" w:cs="Arial" w:eastAsia="Arial" w:hAnsi="Arial"/>
                <w:sz w:val="18"/>
                <w:szCs w:val="18"/>
                <w:b w:val="1"/>
                <w:bCs w:val="1"/>
                <w:i w:val="1"/>
                <w:iCs w:val="1"/>
                <w:color w:val="auto"/>
              </w:rPr>
              <w:t>Directors and Executive Officers</w:t>
            </w:r>
          </w:p>
        </w:tc>
        <w:tc>
          <w:tcPr>
            <w:tcW w:w="7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67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John A. Maccarone (7)</w:t>
            </w:r>
          </w:p>
        </w:tc>
        <w:tc>
          <w:tcPr>
            <w:tcW w:w="108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w w:val="94"/>
              </w:rPr>
              <w:t>1,559,123</w:t>
            </w:r>
          </w:p>
        </w:tc>
        <w:tc>
          <w:tcPr>
            <w:tcW w:w="5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3.1%</w:t>
            </w:r>
          </w:p>
        </w:tc>
        <w:tc>
          <w:tcPr>
            <w:tcW w:w="0" w:type="dxa"/>
            <w:vAlign w:val="bottom"/>
          </w:tcPr>
          <w:p>
            <w:pPr>
              <w:spacing w:after="0"/>
              <w:rPr>
                <w:sz w:val="1"/>
                <w:szCs w:val="1"/>
                <w:color w:val="auto"/>
              </w:rPr>
            </w:pPr>
          </w:p>
        </w:tc>
      </w:tr>
      <w:tr>
        <w:trPr>
          <w:trHeight w:val="216"/>
        </w:trPr>
        <w:tc>
          <w:tcPr>
            <w:tcW w:w="6720" w:type="dxa"/>
            <w:vAlign w:val="bottom"/>
            <w:gridSpan w:val="2"/>
          </w:tcPr>
          <w:p>
            <w:pPr>
              <w:spacing w:after="0"/>
              <w:rPr>
                <w:sz w:val="20"/>
                <w:szCs w:val="20"/>
                <w:color w:val="auto"/>
              </w:rPr>
            </w:pPr>
            <w:r>
              <w:rPr>
                <w:rFonts w:ascii="Arial" w:cs="Arial" w:eastAsia="Arial" w:hAnsi="Arial"/>
                <w:sz w:val="18"/>
                <w:szCs w:val="18"/>
                <w:color w:val="auto"/>
              </w:rPr>
              <w:t>Olivier Ghesquiere</w:t>
            </w:r>
          </w:p>
        </w:tc>
        <w:tc>
          <w:tcPr>
            <w:tcW w:w="1080" w:type="dxa"/>
            <w:vAlign w:val="bottom"/>
            <w:gridSpan w:val="2"/>
          </w:tcPr>
          <w:p>
            <w:pPr>
              <w:jc w:val="right"/>
              <w:ind w:right="300"/>
              <w:spacing w:after="0"/>
              <w:rPr>
                <w:sz w:val="20"/>
                <w:szCs w:val="20"/>
                <w:color w:val="auto"/>
              </w:rPr>
            </w:pPr>
            <w:r>
              <w:rPr>
                <w:rFonts w:ascii="Arial" w:cs="Arial" w:eastAsia="Arial" w:hAnsi="Arial"/>
                <w:sz w:val="18"/>
                <w:szCs w:val="18"/>
                <w:color w:val="auto"/>
              </w:rPr>
              <w:t>424,833</w:t>
            </w:r>
          </w:p>
        </w:tc>
        <w:tc>
          <w:tcPr>
            <w:tcW w:w="56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67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Robert D. Pedersen</w:t>
            </w:r>
          </w:p>
        </w:tc>
        <w:tc>
          <w:tcPr>
            <w:tcW w:w="108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286,539</w:t>
            </w:r>
          </w:p>
        </w:tc>
        <w:tc>
          <w:tcPr>
            <w:tcW w:w="5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6720" w:type="dxa"/>
            <w:vAlign w:val="bottom"/>
            <w:gridSpan w:val="2"/>
          </w:tcPr>
          <w:p>
            <w:pPr>
              <w:spacing w:after="0"/>
              <w:rPr>
                <w:sz w:val="20"/>
                <w:szCs w:val="20"/>
                <w:color w:val="auto"/>
              </w:rPr>
            </w:pPr>
            <w:r>
              <w:rPr>
                <w:rFonts w:ascii="Arial" w:cs="Arial" w:eastAsia="Arial" w:hAnsi="Arial"/>
                <w:sz w:val="18"/>
                <w:szCs w:val="18"/>
                <w:color w:val="auto"/>
              </w:rPr>
              <w:t>Michael K. Chan</w:t>
            </w:r>
          </w:p>
        </w:tc>
        <w:tc>
          <w:tcPr>
            <w:tcW w:w="1080" w:type="dxa"/>
            <w:vAlign w:val="bottom"/>
            <w:gridSpan w:val="2"/>
          </w:tcPr>
          <w:p>
            <w:pPr>
              <w:jc w:val="right"/>
              <w:ind w:right="300"/>
              <w:spacing w:after="0"/>
              <w:rPr>
                <w:sz w:val="20"/>
                <w:szCs w:val="20"/>
                <w:color w:val="auto"/>
              </w:rPr>
            </w:pPr>
            <w:r>
              <w:rPr>
                <w:rFonts w:ascii="Arial" w:cs="Arial" w:eastAsia="Arial" w:hAnsi="Arial"/>
                <w:sz w:val="18"/>
                <w:szCs w:val="18"/>
                <w:color w:val="auto"/>
              </w:rPr>
              <w:t>117,852</w:t>
            </w:r>
          </w:p>
        </w:tc>
        <w:tc>
          <w:tcPr>
            <w:tcW w:w="56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67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Hyman Shwiel</w:t>
            </w:r>
          </w:p>
        </w:tc>
        <w:tc>
          <w:tcPr>
            <w:tcW w:w="108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44,245</w:t>
            </w:r>
          </w:p>
        </w:tc>
        <w:tc>
          <w:tcPr>
            <w:tcW w:w="5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6720" w:type="dxa"/>
            <w:vAlign w:val="bottom"/>
            <w:gridSpan w:val="2"/>
          </w:tcPr>
          <w:p>
            <w:pPr>
              <w:spacing w:after="0"/>
              <w:rPr>
                <w:sz w:val="20"/>
                <w:szCs w:val="20"/>
                <w:color w:val="auto"/>
              </w:rPr>
            </w:pPr>
            <w:r>
              <w:rPr>
                <w:rFonts w:ascii="Arial" w:cs="Arial" w:eastAsia="Arial" w:hAnsi="Arial"/>
                <w:sz w:val="18"/>
                <w:szCs w:val="18"/>
                <w:color w:val="auto"/>
              </w:rPr>
              <w:t>Dudley R. Cottingham (8)</w:t>
            </w:r>
          </w:p>
        </w:tc>
        <w:tc>
          <w:tcPr>
            <w:tcW w:w="1080" w:type="dxa"/>
            <w:vAlign w:val="bottom"/>
            <w:gridSpan w:val="2"/>
          </w:tcPr>
          <w:p>
            <w:pPr>
              <w:jc w:val="right"/>
              <w:ind w:right="300"/>
              <w:spacing w:after="0"/>
              <w:rPr>
                <w:sz w:val="20"/>
                <w:szCs w:val="20"/>
                <w:color w:val="auto"/>
              </w:rPr>
            </w:pPr>
            <w:r>
              <w:rPr>
                <w:rFonts w:ascii="Arial" w:cs="Arial" w:eastAsia="Arial" w:hAnsi="Arial"/>
                <w:sz w:val="18"/>
                <w:szCs w:val="18"/>
                <w:color w:val="auto"/>
              </w:rPr>
              <w:t>42,245</w:t>
            </w:r>
          </w:p>
        </w:tc>
        <w:tc>
          <w:tcPr>
            <w:tcW w:w="56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67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David M. Nurek (9)</w:t>
            </w:r>
          </w:p>
        </w:tc>
        <w:tc>
          <w:tcPr>
            <w:tcW w:w="108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40,816</w:t>
            </w:r>
          </w:p>
        </w:tc>
        <w:tc>
          <w:tcPr>
            <w:tcW w:w="5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6720" w:type="dxa"/>
            <w:vAlign w:val="bottom"/>
            <w:gridSpan w:val="2"/>
          </w:tcPr>
          <w:p>
            <w:pPr>
              <w:spacing w:after="0"/>
              <w:rPr>
                <w:sz w:val="20"/>
                <w:szCs w:val="20"/>
                <w:color w:val="auto"/>
              </w:rPr>
            </w:pPr>
            <w:r>
              <w:rPr>
                <w:rFonts w:ascii="Arial" w:cs="Arial" w:eastAsia="Arial" w:hAnsi="Arial"/>
                <w:sz w:val="18"/>
                <w:szCs w:val="18"/>
                <w:color w:val="auto"/>
              </w:rPr>
              <w:t>Hennie Van der Merwe (9)</w:t>
            </w:r>
          </w:p>
        </w:tc>
        <w:tc>
          <w:tcPr>
            <w:tcW w:w="1080" w:type="dxa"/>
            <w:vAlign w:val="bottom"/>
            <w:gridSpan w:val="2"/>
          </w:tcPr>
          <w:p>
            <w:pPr>
              <w:jc w:val="right"/>
              <w:ind w:right="300"/>
              <w:spacing w:after="0"/>
              <w:rPr>
                <w:sz w:val="20"/>
                <w:szCs w:val="20"/>
                <w:color w:val="auto"/>
              </w:rPr>
            </w:pPr>
            <w:r>
              <w:rPr>
                <w:rFonts w:ascii="Arial" w:cs="Arial" w:eastAsia="Arial" w:hAnsi="Arial"/>
                <w:sz w:val="18"/>
                <w:szCs w:val="18"/>
                <w:color w:val="auto"/>
              </w:rPr>
              <w:t>23,223</w:t>
            </w:r>
          </w:p>
        </w:tc>
        <w:tc>
          <w:tcPr>
            <w:tcW w:w="56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67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Grace Tang</w:t>
            </w:r>
          </w:p>
        </w:tc>
        <w:tc>
          <w:tcPr>
            <w:tcW w:w="108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6,944</w:t>
            </w:r>
          </w:p>
        </w:tc>
        <w:tc>
          <w:tcPr>
            <w:tcW w:w="5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6720" w:type="dxa"/>
            <w:vAlign w:val="bottom"/>
            <w:gridSpan w:val="2"/>
          </w:tcPr>
          <w:p>
            <w:pPr>
              <w:spacing w:after="0"/>
              <w:rPr>
                <w:sz w:val="20"/>
                <w:szCs w:val="20"/>
                <w:color w:val="auto"/>
              </w:rPr>
            </w:pPr>
            <w:r>
              <w:rPr>
                <w:rFonts w:ascii="Arial" w:cs="Arial" w:eastAsia="Arial" w:hAnsi="Arial"/>
                <w:sz w:val="18"/>
                <w:szCs w:val="18"/>
                <w:color w:val="auto"/>
              </w:rPr>
              <w:t>James Earl</w:t>
            </w:r>
          </w:p>
        </w:tc>
        <w:tc>
          <w:tcPr>
            <w:tcW w:w="1080" w:type="dxa"/>
            <w:vAlign w:val="bottom"/>
            <w:gridSpan w:val="2"/>
          </w:tcPr>
          <w:p>
            <w:pPr>
              <w:jc w:val="right"/>
              <w:ind w:right="380"/>
              <w:spacing w:after="0"/>
              <w:rPr>
                <w:sz w:val="20"/>
                <w:szCs w:val="20"/>
                <w:color w:val="auto"/>
              </w:rPr>
            </w:pPr>
            <w:r>
              <w:rPr>
                <w:rFonts w:ascii="Arial" w:cs="Arial" w:eastAsia="Arial" w:hAnsi="Arial"/>
                <w:sz w:val="18"/>
                <w:szCs w:val="18"/>
                <w:color w:val="auto"/>
              </w:rPr>
              <w:t>—</w:t>
            </w:r>
          </w:p>
        </w:tc>
        <w:tc>
          <w:tcPr>
            <w:tcW w:w="56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67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Cynthia Hostetler</w:t>
            </w:r>
          </w:p>
        </w:tc>
        <w:tc>
          <w:tcPr>
            <w:tcW w:w="10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w:t>
            </w:r>
          </w:p>
        </w:tc>
        <w:tc>
          <w:tcPr>
            <w:tcW w:w="5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30"/>
        </w:trPr>
        <w:tc>
          <w:tcPr>
            <w:tcW w:w="6720" w:type="dxa"/>
            <w:vAlign w:val="bottom"/>
            <w:gridSpan w:val="2"/>
          </w:tcPr>
          <w:p>
            <w:pPr>
              <w:spacing w:after="0"/>
              <w:rPr>
                <w:sz w:val="20"/>
                <w:szCs w:val="20"/>
                <w:color w:val="auto"/>
              </w:rPr>
            </w:pPr>
            <w:r>
              <w:rPr>
                <w:rFonts w:ascii="Arial" w:cs="Arial" w:eastAsia="Arial" w:hAnsi="Arial"/>
                <w:sz w:val="18"/>
                <w:szCs w:val="18"/>
                <w:color w:val="auto"/>
              </w:rPr>
              <w:t>Current directors and executive officers (11 persons) as a group</w:t>
            </w:r>
          </w:p>
        </w:tc>
        <w:tc>
          <w:tcPr>
            <w:tcW w:w="1080" w:type="dxa"/>
            <w:vAlign w:val="bottom"/>
            <w:gridSpan w:val="2"/>
          </w:tcPr>
          <w:p>
            <w:pPr>
              <w:jc w:val="right"/>
              <w:ind w:right="300"/>
              <w:spacing w:after="0"/>
              <w:rPr>
                <w:sz w:val="20"/>
                <w:szCs w:val="20"/>
                <w:color w:val="auto"/>
              </w:rPr>
            </w:pPr>
            <w:r>
              <w:rPr>
                <w:rFonts w:ascii="Arial" w:cs="Arial" w:eastAsia="Arial" w:hAnsi="Arial"/>
                <w:sz w:val="18"/>
                <w:szCs w:val="18"/>
                <w:color w:val="auto"/>
                <w:w w:val="94"/>
              </w:rPr>
              <w:t>2,545,820</w:t>
            </w:r>
          </w:p>
        </w:tc>
        <w:tc>
          <w:tcPr>
            <w:tcW w:w="560" w:type="dxa"/>
            <w:vAlign w:val="bottom"/>
            <w:gridSpan w:val="2"/>
          </w:tcPr>
          <w:p>
            <w:pPr>
              <w:jc w:val="right"/>
              <w:ind w:right="40"/>
              <w:spacing w:after="0"/>
              <w:rPr>
                <w:sz w:val="20"/>
                <w:szCs w:val="20"/>
                <w:color w:val="auto"/>
              </w:rPr>
            </w:pPr>
            <w:r>
              <w:rPr>
                <w:rFonts w:ascii="Arial" w:cs="Arial" w:eastAsia="Arial" w:hAnsi="Arial"/>
                <w:sz w:val="18"/>
                <w:szCs w:val="18"/>
                <w:color w:val="auto"/>
              </w:rPr>
              <w:t>5.1%</w:t>
            </w:r>
          </w:p>
        </w:tc>
        <w:tc>
          <w:tcPr>
            <w:tcW w:w="0" w:type="dxa"/>
            <w:vAlign w:val="bottom"/>
          </w:tcPr>
          <w:p>
            <w:pPr>
              <w:spacing w:after="0"/>
              <w:rPr>
                <w:sz w:val="1"/>
                <w:szCs w:val="1"/>
                <w:color w:val="auto"/>
              </w:rPr>
            </w:pPr>
          </w:p>
        </w:tc>
      </w:tr>
    </w:tbl>
    <w:p>
      <w:pPr>
        <w:spacing w:after="0" w:line="187" w:lineRule="exact"/>
        <w:rPr>
          <w:sz w:val="20"/>
          <w:szCs w:val="20"/>
          <w:color w:val="auto"/>
        </w:rPr>
      </w:pPr>
    </w:p>
    <w:p>
      <w:pPr>
        <w:spacing w:after="0"/>
        <w:rPr>
          <w:sz w:val="20"/>
          <w:szCs w:val="20"/>
          <w:color w:val="auto"/>
        </w:rPr>
      </w:pPr>
      <w:r>
        <w:rPr>
          <w:rFonts w:ascii="Arial" w:cs="Arial" w:eastAsia="Arial" w:hAnsi="Arial"/>
          <w:sz w:val="18"/>
          <w:szCs w:val="18"/>
          <w:color w:val="auto"/>
        </w:rPr>
        <w:t>* Less than 1%.</w:t>
      </w:r>
    </w:p>
    <w:p>
      <w:pPr>
        <w:spacing w:after="0" w:line="158"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0900"/>
          </w:cols>
          <w:pgMar w:left="440" w:top="270" w:right="559" w:bottom="1440" w:gutter="0" w:footer="0" w:header="0"/>
        </w:sectPr>
      </w:pPr>
    </w:p>
    <w:bookmarkStart w:id="177" w:name="page178"/>
    <w:bookmarkEnd w:id="177"/>
    <w:p>
      <w:pPr>
        <w:ind w:left="424" w:right="140" w:hanging="424"/>
        <w:spacing w:after="0" w:line="277" w:lineRule="auto"/>
        <w:tabs>
          <w:tab w:leader="none" w:pos="424" w:val="left"/>
        </w:tabs>
        <w:numPr>
          <w:ilvl w:val="0"/>
          <w:numId w:val="141"/>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7174865" cy="38735"/>
                    </a:xfrm>
                    <a:prstGeom prst="rect">
                      <a:avLst/>
                    </a:prstGeom>
                    <a:noFill/>
                  </pic:spPr>
                </pic:pic>
              </a:graphicData>
            </a:graphic>
          </wp:anchor>
        </w:drawing>
        <w:t>Beneficial ownership by a person assumes the exercise of all share options, warrants and rights held by such person, even if not vested. Common Shares beneficially owned include the following share options and restricted share units:</w:t>
      </w:r>
    </w:p>
    <w:p>
      <w:pPr>
        <w:spacing w:after="0" w:line="189" w:lineRule="exact"/>
        <w:rPr>
          <w:sz w:val="20"/>
          <w:szCs w:val="20"/>
          <w:color w:val="auto"/>
        </w:rPr>
      </w:pPr>
    </w:p>
    <w:tbl>
      <w:tblPr>
        <w:tblLayout w:type="fixed"/>
        <w:tblInd w:w="4" w:type="dxa"/>
        <w:tblCellMar>
          <w:top w:w="0" w:type="dxa"/>
          <w:left w:w="0" w:type="dxa"/>
          <w:bottom w:w="0" w:type="dxa"/>
          <w:right w:w="0" w:type="dxa"/>
        </w:tblCellMar>
      </w:tblPr>
      <w:tr>
        <w:trPr>
          <w:trHeight w:val="171"/>
        </w:trPr>
        <w:tc>
          <w:tcPr>
            <w:tcW w:w="10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900" w:type="dxa"/>
            <w:vAlign w:val="bottom"/>
            <w:tcBorders>
              <w:bottom w:val="single" w:sz="8" w:color="auto"/>
            </w:tcBorders>
            <w:gridSpan w:val="2"/>
          </w:tcPr>
          <w:p>
            <w:pPr>
              <w:jc w:val="right"/>
              <w:ind w:right="40"/>
              <w:spacing w:after="0"/>
              <w:rPr>
                <w:sz w:val="20"/>
                <w:szCs w:val="20"/>
                <w:color w:val="auto"/>
              </w:rPr>
            </w:pPr>
            <w:r>
              <w:rPr>
                <w:rFonts w:ascii="Arial" w:cs="Arial" w:eastAsia="Arial" w:hAnsi="Arial"/>
                <w:sz w:val="14"/>
                <w:szCs w:val="14"/>
                <w:b w:val="1"/>
                <w:bCs w:val="1"/>
                <w:color w:val="auto"/>
              </w:rPr>
              <w:t>Grant Date</w:t>
            </w:r>
          </w:p>
        </w:tc>
        <w:tc>
          <w:tcPr>
            <w:tcW w:w="4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104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980" w:type="dxa"/>
            <w:vAlign w:val="bottom"/>
            <w:gridSpan w:val="3"/>
          </w:tcPr>
          <w:p>
            <w:pPr>
              <w:jc w:val="right"/>
              <w:ind w:right="120"/>
              <w:spacing w:after="0" w:line="119" w:lineRule="exact"/>
              <w:rPr>
                <w:sz w:val="20"/>
                <w:szCs w:val="20"/>
                <w:color w:val="auto"/>
              </w:rPr>
            </w:pPr>
            <w:r>
              <w:rPr>
                <w:rFonts w:ascii="Arial" w:cs="Arial" w:eastAsia="Arial" w:hAnsi="Arial"/>
                <w:sz w:val="13"/>
                <w:szCs w:val="13"/>
                <w:b w:val="1"/>
                <w:bCs w:val="1"/>
                <w:color w:val="auto"/>
              </w:rPr>
              <w:t>11/16/2011 to</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40" w:type="dxa"/>
            <w:vAlign w:val="bottom"/>
            <w:vMerge w:val="restart"/>
          </w:tcPr>
          <w:p>
            <w:pPr>
              <w:jc w:val="right"/>
              <w:ind w:right="31"/>
              <w:spacing w:after="0"/>
              <w:rPr>
                <w:sz w:val="20"/>
                <w:szCs w:val="20"/>
                <w:color w:val="auto"/>
              </w:rPr>
            </w:pPr>
            <w:r>
              <w:rPr>
                <w:rFonts w:ascii="Arial" w:cs="Arial" w:eastAsia="Arial" w:hAnsi="Arial"/>
                <w:sz w:val="14"/>
                <w:szCs w:val="14"/>
                <w:b w:val="1"/>
                <w:bCs w:val="1"/>
                <w:color w:val="auto"/>
                <w:w w:val="96"/>
              </w:rPr>
              <w:t>5/19/2016</w:t>
            </w: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20" w:type="dxa"/>
            <w:vAlign w:val="bottom"/>
            <w:vMerge w:val="restart"/>
          </w:tcPr>
          <w:p>
            <w:pPr>
              <w:jc w:val="right"/>
              <w:ind w:right="31"/>
              <w:spacing w:after="0"/>
              <w:rPr>
                <w:sz w:val="20"/>
                <w:szCs w:val="20"/>
                <w:color w:val="auto"/>
              </w:rPr>
            </w:pPr>
            <w:r>
              <w:rPr>
                <w:rFonts w:ascii="Arial" w:cs="Arial" w:eastAsia="Arial" w:hAnsi="Arial"/>
                <w:sz w:val="14"/>
                <w:szCs w:val="14"/>
                <w:b w:val="1"/>
                <w:bCs w:val="1"/>
                <w:color w:val="auto"/>
                <w:w w:val="96"/>
              </w:rPr>
              <w:t>11/30/2016</w:t>
            </w: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40" w:type="dxa"/>
            <w:vAlign w:val="bottom"/>
            <w:vMerge w:val="restart"/>
          </w:tcPr>
          <w:p>
            <w:pPr>
              <w:ind w:left="40"/>
              <w:spacing w:after="0"/>
              <w:rPr>
                <w:sz w:val="20"/>
                <w:szCs w:val="20"/>
                <w:color w:val="auto"/>
              </w:rPr>
            </w:pPr>
            <w:r>
              <w:rPr>
                <w:rFonts w:ascii="Arial" w:cs="Arial" w:eastAsia="Arial" w:hAnsi="Arial"/>
                <w:sz w:val="14"/>
                <w:szCs w:val="14"/>
                <w:b w:val="1"/>
                <w:bCs w:val="1"/>
                <w:color w:val="auto"/>
              </w:rPr>
              <w:t>5/18/2017</w:t>
            </w: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20" w:type="dxa"/>
            <w:vAlign w:val="bottom"/>
            <w:vMerge w:val="restart"/>
          </w:tcPr>
          <w:p>
            <w:pPr>
              <w:jc w:val="right"/>
              <w:ind w:right="52"/>
              <w:spacing w:after="0"/>
              <w:rPr>
                <w:sz w:val="20"/>
                <w:szCs w:val="20"/>
                <w:color w:val="auto"/>
              </w:rPr>
            </w:pPr>
            <w:r>
              <w:rPr>
                <w:rFonts w:ascii="Arial" w:cs="Arial" w:eastAsia="Arial" w:hAnsi="Arial"/>
                <w:sz w:val="14"/>
                <w:szCs w:val="14"/>
                <w:b w:val="1"/>
                <w:bCs w:val="1"/>
                <w:color w:val="auto"/>
                <w:w w:val="94"/>
              </w:rPr>
              <w:t>11/30/2017</w:t>
            </w:r>
          </w:p>
        </w:tc>
        <w:tc>
          <w:tcPr>
            <w:tcW w:w="8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20" w:type="dxa"/>
            <w:vAlign w:val="bottom"/>
            <w:vMerge w:val="restart"/>
          </w:tcPr>
          <w:p>
            <w:pPr>
              <w:jc w:val="right"/>
              <w:ind w:right="51"/>
              <w:spacing w:after="0"/>
              <w:rPr>
                <w:sz w:val="20"/>
                <w:szCs w:val="20"/>
                <w:color w:val="auto"/>
              </w:rPr>
            </w:pPr>
            <w:r>
              <w:rPr>
                <w:rFonts w:ascii="Arial" w:cs="Arial" w:eastAsia="Arial" w:hAnsi="Arial"/>
                <w:sz w:val="14"/>
                <w:szCs w:val="14"/>
                <w:b w:val="1"/>
                <w:bCs w:val="1"/>
                <w:color w:val="auto"/>
                <w:w w:val="94"/>
              </w:rPr>
              <w:t>11/30/2018</w:t>
            </w: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20" w:type="dxa"/>
            <w:vAlign w:val="bottom"/>
            <w:vMerge w:val="restart"/>
          </w:tcPr>
          <w:p>
            <w:pPr>
              <w:jc w:val="right"/>
              <w:ind w:right="51"/>
              <w:spacing w:after="0"/>
              <w:rPr>
                <w:sz w:val="20"/>
                <w:szCs w:val="20"/>
                <w:color w:val="auto"/>
              </w:rPr>
            </w:pPr>
            <w:r>
              <w:rPr>
                <w:rFonts w:ascii="Arial" w:cs="Arial" w:eastAsia="Arial" w:hAnsi="Arial"/>
                <w:sz w:val="14"/>
                <w:szCs w:val="14"/>
                <w:b w:val="1"/>
                <w:bCs w:val="1"/>
                <w:color w:val="auto"/>
                <w:w w:val="94"/>
              </w:rPr>
              <w:t>11/30/2019</w:t>
            </w:r>
          </w:p>
        </w:tc>
        <w:tc>
          <w:tcPr>
            <w:tcW w:w="120" w:type="dxa"/>
            <w:vAlign w:val="bottom"/>
          </w:tcPr>
          <w:p>
            <w:pPr>
              <w:spacing w:after="0"/>
              <w:rPr>
                <w:sz w:val="10"/>
                <w:szCs w:val="10"/>
                <w:color w:val="auto"/>
              </w:rPr>
            </w:pPr>
          </w:p>
        </w:tc>
        <w:tc>
          <w:tcPr>
            <w:tcW w:w="600" w:type="dxa"/>
            <w:vAlign w:val="bottom"/>
            <w:vMerge w:val="restart"/>
          </w:tcPr>
          <w:p>
            <w:pPr>
              <w:jc w:val="right"/>
              <w:spacing w:after="0"/>
              <w:rPr>
                <w:sz w:val="20"/>
                <w:szCs w:val="20"/>
                <w:color w:val="auto"/>
              </w:rPr>
            </w:pPr>
            <w:r>
              <w:rPr>
                <w:rFonts w:ascii="Arial" w:cs="Arial" w:eastAsia="Arial" w:hAnsi="Arial"/>
                <w:sz w:val="14"/>
                <w:szCs w:val="14"/>
                <w:b w:val="1"/>
                <w:bCs w:val="1"/>
                <w:color w:val="auto"/>
                <w:w w:val="93"/>
              </w:rPr>
              <w:t>5/28/2020</w:t>
            </w:r>
          </w:p>
        </w:tc>
        <w:tc>
          <w:tcPr>
            <w:tcW w:w="120" w:type="dxa"/>
            <w:vAlign w:val="bottom"/>
          </w:tcPr>
          <w:p>
            <w:pPr>
              <w:spacing w:after="0"/>
              <w:rPr>
                <w:sz w:val="10"/>
                <w:szCs w:val="10"/>
                <w:color w:val="auto"/>
              </w:rPr>
            </w:pPr>
          </w:p>
        </w:tc>
        <w:tc>
          <w:tcPr>
            <w:tcW w:w="600" w:type="dxa"/>
            <w:vAlign w:val="bottom"/>
            <w:vMerge w:val="restart"/>
          </w:tcPr>
          <w:p>
            <w:pPr>
              <w:jc w:val="right"/>
              <w:spacing w:after="0"/>
              <w:rPr>
                <w:sz w:val="20"/>
                <w:szCs w:val="20"/>
                <w:color w:val="auto"/>
              </w:rPr>
            </w:pPr>
            <w:r>
              <w:rPr>
                <w:rFonts w:ascii="Arial" w:cs="Arial" w:eastAsia="Arial" w:hAnsi="Arial"/>
                <w:sz w:val="14"/>
                <w:szCs w:val="14"/>
                <w:b w:val="1"/>
                <w:bCs w:val="1"/>
                <w:color w:val="auto"/>
                <w:w w:val="89"/>
              </w:rPr>
              <w:t>8/26/2020</w:t>
            </w:r>
          </w:p>
        </w:tc>
        <w:tc>
          <w:tcPr>
            <w:tcW w:w="120" w:type="dxa"/>
            <w:vAlign w:val="bottom"/>
          </w:tcPr>
          <w:p>
            <w:pPr>
              <w:spacing w:after="0"/>
              <w:rPr>
                <w:sz w:val="10"/>
                <w:szCs w:val="10"/>
                <w:color w:val="auto"/>
              </w:rPr>
            </w:pPr>
          </w:p>
        </w:tc>
        <w:tc>
          <w:tcPr>
            <w:tcW w:w="660" w:type="dxa"/>
            <w:vAlign w:val="bottom"/>
            <w:vMerge w:val="restart"/>
          </w:tcPr>
          <w:p>
            <w:pPr>
              <w:jc w:val="right"/>
              <w:spacing w:after="0"/>
              <w:rPr>
                <w:sz w:val="20"/>
                <w:szCs w:val="20"/>
                <w:color w:val="auto"/>
              </w:rPr>
            </w:pPr>
            <w:r>
              <w:rPr>
                <w:rFonts w:ascii="Arial" w:cs="Arial" w:eastAsia="Arial" w:hAnsi="Arial"/>
                <w:sz w:val="14"/>
                <w:szCs w:val="14"/>
                <w:b w:val="1"/>
                <w:bCs w:val="1"/>
                <w:color w:val="auto"/>
                <w:w w:val="91"/>
              </w:rPr>
              <w:t>10/01/2020</w:t>
            </w: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10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960" w:type="dxa"/>
            <w:vAlign w:val="bottom"/>
            <w:gridSpan w:val="3"/>
          </w:tcPr>
          <w:p>
            <w:pPr>
              <w:ind w:left="40"/>
              <w:spacing w:after="0"/>
              <w:rPr>
                <w:sz w:val="20"/>
                <w:szCs w:val="20"/>
                <w:color w:val="auto"/>
              </w:rPr>
            </w:pPr>
            <w:r>
              <w:rPr>
                <w:rFonts w:ascii="Arial" w:cs="Arial" w:eastAsia="Arial" w:hAnsi="Arial"/>
                <w:sz w:val="14"/>
                <w:szCs w:val="14"/>
                <w:b w:val="1"/>
                <w:bCs w:val="1"/>
                <w:color w:val="auto"/>
                <w:w w:val="91"/>
              </w:rPr>
              <w:t>11/19/2014 (10)</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40" w:type="dxa"/>
            <w:vAlign w:val="bottom"/>
            <w:vMerge w:val="continue"/>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20" w:type="dxa"/>
            <w:vAlign w:val="bottom"/>
            <w:vMerge w:val="continue"/>
          </w:tcPr>
          <w:p>
            <w:pPr>
              <w:spacing w:after="0"/>
              <w:rPr>
                <w:sz w:val="14"/>
                <w:szCs w:val="14"/>
                <w:color w:val="auto"/>
              </w:rPr>
            </w:pPr>
          </w:p>
        </w:tc>
        <w:tc>
          <w:tcPr>
            <w:tcW w:w="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40" w:type="dxa"/>
            <w:vAlign w:val="bottom"/>
            <w:vMerge w:val="continue"/>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20" w:type="dxa"/>
            <w:vAlign w:val="bottom"/>
            <w:vMerge w:val="continue"/>
          </w:tcPr>
          <w:p>
            <w:pPr>
              <w:spacing w:after="0"/>
              <w:rPr>
                <w:sz w:val="14"/>
                <w:szCs w:val="14"/>
                <w:color w:val="auto"/>
              </w:rPr>
            </w:pPr>
          </w:p>
        </w:tc>
        <w:tc>
          <w:tcPr>
            <w:tcW w:w="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20" w:type="dxa"/>
            <w:vAlign w:val="bottom"/>
            <w:vMerge w:val="continue"/>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20" w:type="dxa"/>
            <w:vAlign w:val="bottom"/>
            <w:vMerge w:val="continue"/>
          </w:tcPr>
          <w:p>
            <w:pPr>
              <w:spacing w:after="0"/>
              <w:rPr>
                <w:sz w:val="14"/>
                <w:szCs w:val="14"/>
                <w:color w:val="auto"/>
              </w:rPr>
            </w:pPr>
          </w:p>
        </w:tc>
        <w:tc>
          <w:tcPr>
            <w:tcW w:w="120" w:type="dxa"/>
            <w:vAlign w:val="bottom"/>
          </w:tcPr>
          <w:p>
            <w:pPr>
              <w:spacing w:after="0"/>
              <w:rPr>
                <w:sz w:val="14"/>
                <w:szCs w:val="14"/>
                <w:color w:val="auto"/>
              </w:rPr>
            </w:pPr>
          </w:p>
        </w:tc>
        <w:tc>
          <w:tcPr>
            <w:tcW w:w="600" w:type="dxa"/>
            <w:vAlign w:val="bottom"/>
            <w:vMerge w:val="continue"/>
          </w:tcPr>
          <w:p>
            <w:pPr>
              <w:spacing w:after="0"/>
              <w:rPr>
                <w:sz w:val="14"/>
                <w:szCs w:val="14"/>
                <w:color w:val="auto"/>
              </w:rPr>
            </w:pPr>
          </w:p>
        </w:tc>
        <w:tc>
          <w:tcPr>
            <w:tcW w:w="120" w:type="dxa"/>
            <w:vAlign w:val="bottom"/>
          </w:tcPr>
          <w:p>
            <w:pPr>
              <w:spacing w:after="0"/>
              <w:rPr>
                <w:sz w:val="14"/>
                <w:szCs w:val="14"/>
                <w:color w:val="auto"/>
              </w:rPr>
            </w:pPr>
          </w:p>
        </w:tc>
        <w:tc>
          <w:tcPr>
            <w:tcW w:w="600" w:type="dxa"/>
            <w:vAlign w:val="bottom"/>
            <w:vMerge w:val="continue"/>
          </w:tcPr>
          <w:p>
            <w:pPr>
              <w:spacing w:after="0"/>
              <w:rPr>
                <w:sz w:val="14"/>
                <w:szCs w:val="14"/>
                <w:color w:val="auto"/>
              </w:rPr>
            </w:pPr>
          </w:p>
        </w:tc>
        <w:tc>
          <w:tcPr>
            <w:tcW w:w="120" w:type="dxa"/>
            <w:vAlign w:val="bottom"/>
          </w:tcPr>
          <w:p>
            <w:pPr>
              <w:spacing w:after="0"/>
              <w:rPr>
                <w:sz w:val="14"/>
                <w:szCs w:val="14"/>
                <w:color w:val="auto"/>
              </w:rPr>
            </w:pPr>
          </w:p>
        </w:tc>
        <w:tc>
          <w:tcPr>
            <w:tcW w:w="660" w:type="dxa"/>
            <w:vAlign w:val="bottom"/>
            <w:vMerge w:val="continue"/>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6"/>
        </w:trPr>
        <w:tc>
          <w:tcPr>
            <w:tcW w:w="1700" w:type="dxa"/>
            <w:vAlign w:val="bottom"/>
            <w:tcBorders>
              <w:top w:val="single" w:sz="8" w:color="CCEEFF"/>
            </w:tcBorders>
            <w:gridSpan w:val="3"/>
            <w:shd w:val="clear" w:color="auto" w:fill="CCEEFF"/>
          </w:tcPr>
          <w:p>
            <w:pPr>
              <w:spacing w:after="0" w:line="156" w:lineRule="exact"/>
              <w:rPr>
                <w:sz w:val="20"/>
                <w:szCs w:val="20"/>
                <w:color w:val="auto"/>
              </w:rPr>
            </w:pPr>
            <w:r>
              <w:rPr>
                <w:rFonts w:ascii="Arial" w:cs="Arial" w:eastAsia="Arial" w:hAnsi="Arial"/>
                <w:sz w:val="18"/>
                <w:szCs w:val="18"/>
                <w:b w:val="1"/>
                <w:bCs w:val="1"/>
                <w:color w:val="auto"/>
              </w:rPr>
              <w:t>Share options</w:t>
            </w:r>
          </w:p>
        </w:tc>
        <w:tc>
          <w:tcPr>
            <w:tcW w:w="40" w:type="dxa"/>
            <w:vAlign w:val="bottom"/>
            <w:tcBorders>
              <w:top w:val="single" w:sz="8" w:color="CCEEFF"/>
            </w:tcBorders>
            <w:shd w:val="clear" w:color="auto" w:fill="CCEEFF"/>
          </w:tcPr>
          <w:p>
            <w:pPr>
              <w:spacing w:after="0"/>
              <w:rPr>
                <w:sz w:val="15"/>
                <w:szCs w:val="15"/>
                <w:color w:val="auto"/>
              </w:rPr>
            </w:pPr>
          </w:p>
        </w:tc>
        <w:tc>
          <w:tcPr>
            <w:tcW w:w="100" w:type="dxa"/>
            <w:vAlign w:val="bottom"/>
            <w:tcBorders>
              <w:top w:val="single" w:sz="8" w:color="auto"/>
            </w:tcBorders>
            <w:shd w:val="clear" w:color="auto" w:fill="CCEEFF"/>
          </w:tcPr>
          <w:p>
            <w:pPr>
              <w:spacing w:after="0"/>
              <w:rPr>
                <w:sz w:val="15"/>
                <w:szCs w:val="15"/>
                <w:color w:val="auto"/>
              </w:rPr>
            </w:pPr>
          </w:p>
        </w:tc>
        <w:tc>
          <w:tcPr>
            <w:tcW w:w="820" w:type="dxa"/>
            <w:vAlign w:val="bottom"/>
            <w:tcBorders>
              <w:top w:val="single" w:sz="8" w:color="auto"/>
            </w:tcBorders>
            <w:shd w:val="clear" w:color="auto" w:fill="CCEEFF"/>
          </w:tcPr>
          <w:p>
            <w:pPr>
              <w:spacing w:after="0"/>
              <w:rPr>
                <w:sz w:val="15"/>
                <w:szCs w:val="15"/>
                <w:color w:val="auto"/>
              </w:rPr>
            </w:pPr>
          </w:p>
        </w:tc>
        <w:tc>
          <w:tcPr>
            <w:tcW w:w="60" w:type="dxa"/>
            <w:vAlign w:val="bottom"/>
            <w:tcBorders>
              <w:top w:val="single" w:sz="8" w:color="CCEEFF"/>
            </w:tcBorders>
            <w:shd w:val="clear" w:color="auto" w:fill="CCEEFF"/>
          </w:tcPr>
          <w:p>
            <w:pPr>
              <w:spacing w:after="0"/>
              <w:rPr>
                <w:sz w:val="15"/>
                <w:szCs w:val="15"/>
                <w:color w:val="auto"/>
              </w:rPr>
            </w:pPr>
          </w:p>
        </w:tc>
        <w:tc>
          <w:tcPr>
            <w:tcW w:w="80" w:type="dxa"/>
            <w:vAlign w:val="bottom"/>
            <w:tcBorders>
              <w:top w:val="single" w:sz="8" w:color="CCEEFF"/>
            </w:tcBorders>
            <w:shd w:val="clear" w:color="auto" w:fill="CCEEFF"/>
          </w:tcPr>
          <w:p>
            <w:pPr>
              <w:spacing w:after="0"/>
              <w:rPr>
                <w:sz w:val="15"/>
                <w:szCs w:val="15"/>
                <w:color w:val="auto"/>
              </w:rPr>
            </w:pPr>
          </w:p>
        </w:tc>
        <w:tc>
          <w:tcPr>
            <w:tcW w:w="80" w:type="dxa"/>
            <w:vAlign w:val="bottom"/>
            <w:tcBorders>
              <w:top w:val="single" w:sz="8" w:color="auto"/>
            </w:tcBorders>
            <w:shd w:val="clear" w:color="auto" w:fill="CCEEFF"/>
          </w:tcPr>
          <w:p>
            <w:pPr>
              <w:spacing w:after="0"/>
              <w:rPr>
                <w:sz w:val="15"/>
                <w:szCs w:val="15"/>
                <w:color w:val="auto"/>
              </w:rPr>
            </w:pPr>
          </w:p>
        </w:tc>
        <w:tc>
          <w:tcPr>
            <w:tcW w:w="74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100" w:type="dxa"/>
            <w:vAlign w:val="bottom"/>
            <w:tcBorders>
              <w:top w:val="single" w:sz="8" w:color="auto"/>
            </w:tcBorders>
            <w:shd w:val="clear" w:color="auto" w:fill="CCEEFF"/>
          </w:tcPr>
          <w:p>
            <w:pPr>
              <w:spacing w:after="0"/>
              <w:rPr>
                <w:sz w:val="15"/>
                <w:szCs w:val="15"/>
                <w:color w:val="auto"/>
              </w:rPr>
            </w:pPr>
          </w:p>
        </w:tc>
        <w:tc>
          <w:tcPr>
            <w:tcW w:w="820" w:type="dxa"/>
            <w:vAlign w:val="bottom"/>
            <w:tcBorders>
              <w:top w:val="single" w:sz="8" w:color="auto"/>
            </w:tcBorders>
            <w:shd w:val="clear" w:color="auto" w:fill="CCEEFF"/>
          </w:tcPr>
          <w:p>
            <w:pPr>
              <w:spacing w:after="0"/>
              <w:rPr>
                <w:sz w:val="15"/>
                <w:szCs w:val="15"/>
                <w:color w:val="auto"/>
              </w:rPr>
            </w:pPr>
          </w:p>
        </w:tc>
        <w:tc>
          <w:tcPr>
            <w:tcW w:w="60" w:type="dxa"/>
            <w:vAlign w:val="bottom"/>
            <w:tcBorders>
              <w:top w:val="single" w:sz="8" w:color="CCEEFF"/>
            </w:tcBorders>
            <w:shd w:val="clear" w:color="auto" w:fill="CCEEFF"/>
          </w:tcPr>
          <w:p>
            <w:pPr>
              <w:spacing w:after="0"/>
              <w:rPr>
                <w:sz w:val="15"/>
                <w:szCs w:val="15"/>
                <w:color w:val="auto"/>
              </w:rPr>
            </w:pPr>
          </w:p>
        </w:tc>
        <w:tc>
          <w:tcPr>
            <w:tcW w:w="60" w:type="dxa"/>
            <w:vAlign w:val="bottom"/>
            <w:tcBorders>
              <w:top w:val="single" w:sz="8" w:color="CCEEFF"/>
            </w:tcBorders>
            <w:shd w:val="clear" w:color="auto" w:fill="CCEEFF"/>
          </w:tcPr>
          <w:p>
            <w:pPr>
              <w:spacing w:after="0"/>
              <w:rPr>
                <w:sz w:val="15"/>
                <w:szCs w:val="15"/>
                <w:color w:val="auto"/>
              </w:rPr>
            </w:pPr>
          </w:p>
        </w:tc>
        <w:tc>
          <w:tcPr>
            <w:tcW w:w="100" w:type="dxa"/>
            <w:vAlign w:val="bottom"/>
            <w:tcBorders>
              <w:top w:val="single" w:sz="8" w:color="auto"/>
            </w:tcBorders>
            <w:shd w:val="clear" w:color="auto" w:fill="CCEEFF"/>
          </w:tcPr>
          <w:p>
            <w:pPr>
              <w:spacing w:after="0"/>
              <w:rPr>
                <w:sz w:val="15"/>
                <w:szCs w:val="15"/>
                <w:color w:val="auto"/>
              </w:rPr>
            </w:pPr>
          </w:p>
        </w:tc>
        <w:tc>
          <w:tcPr>
            <w:tcW w:w="74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100" w:type="dxa"/>
            <w:vAlign w:val="bottom"/>
            <w:tcBorders>
              <w:top w:val="single" w:sz="8" w:color="auto"/>
            </w:tcBorders>
            <w:shd w:val="clear" w:color="auto" w:fill="CCEEFF"/>
          </w:tcPr>
          <w:p>
            <w:pPr>
              <w:spacing w:after="0"/>
              <w:rPr>
                <w:sz w:val="15"/>
                <w:szCs w:val="15"/>
                <w:color w:val="auto"/>
              </w:rPr>
            </w:pPr>
          </w:p>
        </w:tc>
        <w:tc>
          <w:tcPr>
            <w:tcW w:w="820" w:type="dxa"/>
            <w:vAlign w:val="bottom"/>
            <w:tcBorders>
              <w:top w:val="single" w:sz="8" w:color="auto"/>
            </w:tcBorders>
            <w:shd w:val="clear" w:color="auto" w:fill="CCEEFF"/>
          </w:tcPr>
          <w:p>
            <w:pPr>
              <w:spacing w:after="0"/>
              <w:rPr>
                <w:sz w:val="15"/>
                <w:szCs w:val="15"/>
                <w:color w:val="auto"/>
              </w:rPr>
            </w:pPr>
          </w:p>
        </w:tc>
        <w:tc>
          <w:tcPr>
            <w:tcW w:w="80" w:type="dxa"/>
            <w:vAlign w:val="bottom"/>
            <w:tcBorders>
              <w:top w:val="single" w:sz="8" w:color="CCEEFF"/>
            </w:tcBorders>
            <w:shd w:val="clear" w:color="auto" w:fill="CCEEFF"/>
          </w:tcPr>
          <w:p>
            <w:pPr>
              <w:spacing w:after="0"/>
              <w:rPr>
                <w:sz w:val="15"/>
                <w:szCs w:val="15"/>
                <w:color w:val="auto"/>
              </w:rPr>
            </w:pPr>
          </w:p>
        </w:tc>
        <w:tc>
          <w:tcPr>
            <w:tcW w:w="40" w:type="dxa"/>
            <w:vAlign w:val="bottom"/>
            <w:tcBorders>
              <w:top w:val="single" w:sz="8" w:color="CCEEFF"/>
            </w:tcBorders>
            <w:shd w:val="clear" w:color="auto" w:fill="CCEEFF"/>
          </w:tcPr>
          <w:p>
            <w:pPr>
              <w:spacing w:after="0"/>
              <w:rPr>
                <w:sz w:val="15"/>
                <w:szCs w:val="15"/>
                <w:color w:val="auto"/>
              </w:rPr>
            </w:pPr>
          </w:p>
        </w:tc>
        <w:tc>
          <w:tcPr>
            <w:tcW w:w="100" w:type="dxa"/>
            <w:vAlign w:val="bottom"/>
            <w:tcBorders>
              <w:top w:val="single" w:sz="8" w:color="auto"/>
            </w:tcBorders>
            <w:shd w:val="clear" w:color="auto" w:fill="CCEEFF"/>
          </w:tcPr>
          <w:p>
            <w:pPr>
              <w:spacing w:after="0"/>
              <w:rPr>
                <w:sz w:val="15"/>
                <w:szCs w:val="15"/>
                <w:color w:val="auto"/>
              </w:rPr>
            </w:pPr>
          </w:p>
        </w:tc>
        <w:tc>
          <w:tcPr>
            <w:tcW w:w="82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100" w:type="dxa"/>
            <w:vAlign w:val="bottom"/>
            <w:tcBorders>
              <w:top w:val="single" w:sz="8" w:color="auto"/>
            </w:tcBorders>
            <w:shd w:val="clear" w:color="auto" w:fill="CCEEFF"/>
          </w:tcPr>
          <w:p>
            <w:pPr>
              <w:spacing w:after="0"/>
              <w:rPr>
                <w:sz w:val="15"/>
                <w:szCs w:val="15"/>
                <w:color w:val="auto"/>
              </w:rPr>
            </w:pPr>
          </w:p>
        </w:tc>
        <w:tc>
          <w:tcPr>
            <w:tcW w:w="82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60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60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660" w:type="dxa"/>
            <w:vAlign w:val="bottom"/>
            <w:tcBorders>
              <w:top w:val="single" w:sz="8" w:color="auto"/>
            </w:tcBorders>
            <w:shd w:val="clear" w:color="auto" w:fill="CCEEFF"/>
          </w:tcPr>
          <w:p>
            <w:pPr>
              <w:spacing w:after="0"/>
              <w:rPr>
                <w:sz w:val="15"/>
                <w:szCs w:val="15"/>
                <w:color w:val="auto"/>
              </w:rPr>
            </w:pPr>
          </w:p>
        </w:tc>
        <w:tc>
          <w:tcPr>
            <w:tcW w:w="60" w:type="dxa"/>
            <w:vAlign w:val="bottom"/>
            <w:tcBorders>
              <w:top w:val="single" w:sz="8" w:color="CCEEFF"/>
            </w:tcBorders>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02"/>
        </w:trPr>
        <w:tc>
          <w:tcPr>
            <w:tcW w:w="1040" w:type="dxa"/>
            <w:vAlign w:val="bottom"/>
            <w:tcBorders>
              <w:top w:val="single" w:sz="8" w:color="auto"/>
            </w:tcBorders>
          </w:tcPr>
          <w:p>
            <w:pPr>
              <w:spacing w:after="0" w:line="201" w:lineRule="exact"/>
              <w:rPr>
                <w:sz w:val="20"/>
                <w:szCs w:val="20"/>
                <w:color w:val="auto"/>
              </w:rPr>
            </w:pPr>
            <w:r>
              <w:rPr>
                <w:rFonts w:ascii="Arial" w:cs="Arial" w:eastAsia="Arial" w:hAnsi="Arial"/>
                <w:sz w:val="18"/>
                <w:szCs w:val="18"/>
                <w:color w:val="auto"/>
                <w:w w:val="90"/>
              </w:rPr>
              <w:t>Exercise price</w:t>
            </w:r>
          </w:p>
        </w:tc>
        <w:tc>
          <w:tcPr>
            <w:tcW w:w="660" w:type="dxa"/>
            <w:vAlign w:val="bottom"/>
            <w:tcBorders>
              <w:top w:val="single" w:sz="8" w:color="CCEEFF"/>
            </w:tcBorders>
            <w:gridSpan w:val="2"/>
          </w:tcPr>
          <w:p>
            <w:pPr>
              <w:spacing w:after="0"/>
              <w:rPr>
                <w:sz w:val="17"/>
                <w:szCs w:val="17"/>
                <w:color w:val="auto"/>
              </w:rPr>
            </w:pPr>
          </w:p>
        </w:tc>
        <w:tc>
          <w:tcPr>
            <w:tcW w:w="140" w:type="dxa"/>
            <w:vAlign w:val="bottom"/>
            <w:tcBorders>
              <w:top w:val="single" w:sz="8" w:color="CCEEFF"/>
            </w:tcBorders>
            <w:gridSpan w:val="2"/>
          </w:tcPr>
          <w:p>
            <w:pPr>
              <w:ind w:left="40"/>
              <w:spacing w:after="0" w:line="201" w:lineRule="exact"/>
              <w:rPr>
                <w:sz w:val="20"/>
                <w:szCs w:val="20"/>
                <w:color w:val="auto"/>
              </w:rPr>
            </w:pPr>
            <w:r>
              <w:rPr>
                <w:rFonts w:ascii="Arial" w:cs="Arial" w:eastAsia="Arial" w:hAnsi="Arial"/>
                <w:sz w:val="18"/>
                <w:szCs w:val="18"/>
                <w:color w:val="auto"/>
                <w:w w:val="79"/>
              </w:rPr>
              <w:t>$</w:t>
            </w:r>
          </w:p>
        </w:tc>
        <w:tc>
          <w:tcPr>
            <w:tcW w:w="880" w:type="dxa"/>
            <w:vAlign w:val="bottom"/>
            <w:tcBorders>
              <w:top w:val="single" w:sz="8" w:color="CCEEFF"/>
            </w:tcBorders>
            <w:gridSpan w:val="2"/>
          </w:tcPr>
          <w:p>
            <w:pPr>
              <w:jc w:val="right"/>
              <w:ind w:right="60"/>
              <w:spacing w:after="0" w:line="201" w:lineRule="exact"/>
              <w:rPr>
                <w:sz w:val="20"/>
                <w:szCs w:val="20"/>
                <w:color w:val="auto"/>
              </w:rPr>
            </w:pPr>
            <w:r>
              <w:rPr>
                <w:rFonts w:ascii="Arial" w:cs="Arial" w:eastAsia="Arial" w:hAnsi="Arial"/>
                <w:sz w:val="18"/>
                <w:szCs w:val="18"/>
                <w:color w:val="auto"/>
              </w:rPr>
              <w:t>28.05 to</w:t>
            </w:r>
          </w:p>
        </w:tc>
        <w:tc>
          <w:tcPr>
            <w:tcW w:w="80" w:type="dxa"/>
            <w:vAlign w:val="bottom"/>
            <w:tcBorders>
              <w:top w:val="single" w:sz="8" w:color="CCEEFF"/>
            </w:tcBorders>
          </w:tcPr>
          <w:p>
            <w:pPr>
              <w:spacing w:after="0"/>
              <w:rPr>
                <w:sz w:val="17"/>
                <w:szCs w:val="17"/>
                <w:color w:val="auto"/>
              </w:rPr>
            </w:pPr>
          </w:p>
        </w:tc>
        <w:tc>
          <w:tcPr>
            <w:tcW w:w="80" w:type="dxa"/>
            <w:vAlign w:val="bottom"/>
            <w:tcBorders>
              <w:top w:val="single" w:sz="8" w:color="CCEEFF"/>
            </w:tcBorders>
          </w:tcPr>
          <w:p>
            <w:pPr>
              <w:spacing w:after="0"/>
              <w:rPr>
                <w:sz w:val="17"/>
                <w:szCs w:val="17"/>
                <w:color w:val="auto"/>
              </w:rPr>
            </w:pPr>
          </w:p>
        </w:tc>
        <w:tc>
          <w:tcPr>
            <w:tcW w:w="740" w:type="dxa"/>
            <w:vAlign w:val="bottom"/>
            <w:tcBorders>
              <w:top w:val="single" w:sz="8" w:color="CCEEFF"/>
            </w:tcBorders>
          </w:tcPr>
          <w:p>
            <w:pPr>
              <w:spacing w:after="0"/>
              <w:rPr>
                <w:sz w:val="17"/>
                <w:szCs w:val="17"/>
                <w:color w:val="auto"/>
              </w:rPr>
            </w:pPr>
          </w:p>
        </w:tc>
        <w:tc>
          <w:tcPr>
            <w:tcW w:w="120" w:type="dxa"/>
            <w:vAlign w:val="bottom"/>
            <w:tcBorders>
              <w:top w:val="single" w:sz="8" w:color="CCEEFF"/>
            </w:tcBorders>
          </w:tcPr>
          <w:p>
            <w:pPr>
              <w:spacing w:after="0"/>
              <w:rPr>
                <w:sz w:val="17"/>
                <w:szCs w:val="17"/>
                <w:color w:val="auto"/>
              </w:rPr>
            </w:pPr>
          </w:p>
        </w:tc>
        <w:tc>
          <w:tcPr>
            <w:tcW w:w="100" w:type="dxa"/>
            <w:vAlign w:val="bottom"/>
            <w:tcBorders>
              <w:top w:val="single" w:sz="8" w:color="CCEEFF"/>
            </w:tcBorders>
          </w:tcPr>
          <w:p>
            <w:pPr>
              <w:spacing w:after="0"/>
              <w:rPr>
                <w:sz w:val="17"/>
                <w:szCs w:val="17"/>
                <w:color w:val="auto"/>
              </w:rPr>
            </w:pPr>
          </w:p>
        </w:tc>
        <w:tc>
          <w:tcPr>
            <w:tcW w:w="820" w:type="dxa"/>
            <w:vAlign w:val="bottom"/>
            <w:tcBorders>
              <w:top w:val="single" w:sz="8" w:color="CCEEFF"/>
            </w:tcBorders>
          </w:tcPr>
          <w:p>
            <w:pPr>
              <w:spacing w:after="0"/>
              <w:rPr>
                <w:sz w:val="17"/>
                <w:szCs w:val="17"/>
                <w:color w:val="auto"/>
              </w:rPr>
            </w:pPr>
          </w:p>
        </w:tc>
        <w:tc>
          <w:tcPr>
            <w:tcW w:w="60" w:type="dxa"/>
            <w:vAlign w:val="bottom"/>
            <w:tcBorders>
              <w:top w:val="single" w:sz="8" w:color="CCEEFF"/>
            </w:tcBorders>
          </w:tcPr>
          <w:p>
            <w:pPr>
              <w:spacing w:after="0"/>
              <w:rPr>
                <w:sz w:val="17"/>
                <w:szCs w:val="17"/>
                <w:color w:val="auto"/>
              </w:rPr>
            </w:pPr>
          </w:p>
        </w:tc>
        <w:tc>
          <w:tcPr>
            <w:tcW w:w="60" w:type="dxa"/>
            <w:vAlign w:val="bottom"/>
            <w:tcBorders>
              <w:top w:val="single" w:sz="8" w:color="CCEEFF"/>
            </w:tcBorders>
          </w:tcPr>
          <w:p>
            <w:pPr>
              <w:spacing w:after="0"/>
              <w:rPr>
                <w:sz w:val="17"/>
                <w:szCs w:val="17"/>
                <w:color w:val="auto"/>
              </w:rPr>
            </w:pPr>
          </w:p>
        </w:tc>
        <w:tc>
          <w:tcPr>
            <w:tcW w:w="100" w:type="dxa"/>
            <w:vAlign w:val="bottom"/>
            <w:tcBorders>
              <w:top w:val="single" w:sz="8" w:color="CCEEFF"/>
            </w:tcBorders>
          </w:tcPr>
          <w:p>
            <w:pPr>
              <w:spacing w:after="0"/>
              <w:rPr>
                <w:sz w:val="17"/>
                <w:szCs w:val="17"/>
                <w:color w:val="auto"/>
              </w:rPr>
            </w:pPr>
          </w:p>
        </w:tc>
        <w:tc>
          <w:tcPr>
            <w:tcW w:w="740" w:type="dxa"/>
            <w:vAlign w:val="bottom"/>
            <w:tcBorders>
              <w:top w:val="single" w:sz="8" w:color="CCEEFF"/>
            </w:tcBorders>
          </w:tcPr>
          <w:p>
            <w:pPr>
              <w:spacing w:after="0"/>
              <w:rPr>
                <w:sz w:val="17"/>
                <w:szCs w:val="17"/>
                <w:color w:val="auto"/>
              </w:rPr>
            </w:pPr>
          </w:p>
        </w:tc>
        <w:tc>
          <w:tcPr>
            <w:tcW w:w="120" w:type="dxa"/>
            <w:vAlign w:val="bottom"/>
            <w:tcBorders>
              <w:top w:val="single" w:sz="8" w:color="CCEEFF"/>
            </w:tcBorders>
          </w:tcPr>
          <w:p>
            <w:pPr>
              <w:spacing w:after="0"/>
              <w:rPr>
                <w:sz w:val="17"/>
                <w:szCs w:val="17"/>
                <w:color w:val="auto"/>
              </w:rPr>
            </w:pPr>
          </w:p>
        </w:tc>
        <w:tc>
          <w:tcPr>
            <w:tcW w:w="100" w:type="dxa"/>
            <w:vAlign w:val="bottom"/>
            <w:tcBorders>
              <w:top w:val="single" w:sz="8" w:color="CCEEFF"/>
            </w:tcBorders>
          </w:tcPr>
          <w:p>
            <w:pPr>
              <w:spacing w:after="0"/>
              <w:rPr>
                <w:sz w:val="17"/>
                <w:szCs w:val="17"/>
                <w:color w:val="auto"/>
              </w:rPr>
            </w:pPr>
          </w:p>
        </w:tc>
        <w:tc>
          <w:tcPr>
            <w:tcW w:w="820" w:type="dxa"/>
            <w:vAlign w:val="bottom"/>
            <w:tcBorders>
              <w:top w:val="single" w:sz="8" w:color="CCEEFF"/>
            </w:tcBorders>
          </w:tcPr>
          <w:p>
            <w:pPr>
              <w:spacing w:after="0"/>
              <w:rPr>
                <w:sz w:val="17"/>
                <w:szCs w:val="17"/>
                <w:color w:val="auto"/>
              </w:rPr>
            </w:pPr>
          </w:p>
        </w:tc>
        <w:tc>
          <w:tcPr>
            <w:tcW w:w="80" w:type="dxa"/>
            <w:vAlign w:val="bottom"/>
            <w:tcBorders>
              <w:top w:val="single" w:sz="8" w:color="CCEEFF"/>
            </w:tcBorders>
          </w:tcPr>
          <w:p>
            <w:pPr>
              <w:spacing w:after="0"/>
              <w:rPr>
                <w:sz w:val="17"/>
                <w:szCs w:val="17"/>
                <w:color w:val="auto"/>
              </w:rPr>
            </w:pPr>
          </w:p>
        </w:tc>
        <w:tc>
          <w:tcPr>
            <w:tcW w:w="40" w:type="dxa"/>
            <w:vAlign w:val="bottom"/>
            <w:tcBorders>
              <w:top w:val="single" w:sz="8" w:color="CCEEFF"/>
            </w:tcBorders>
          </w:tcPr>
          <w:p>
            <w:pPr>
              <w:spacing w:after="0"/>
              <w:rPr>
                <w:sz w:val="17"/>
                <w:szCs w:val="17"/>
                <w:color w:val="auto"/>
              </w:rPr>
            </w:pPr>
          </w:p>
        </w:tc>
        <w:tc>
          <w:tcPr>
            <w:tcW w:w="100" w:type="dxa"/>
            <w:vAlign w:val="bottom"/>
            <w:tcBorders>
              <w:top w:val="single" w:sz="8" w:color="CCEEFF"/>
            </w:tcBorders>
          </w:tcPr>
          <w:p>
            <w:pPr>
              <w:spacing w:after="0"/>
              <w:rPr>
                <w:sz w:val="17"/>
                <w:szCs w:val="17"/>
                <w:color w:val="auto"/>
              </w:rPr>
            </w:pPr>
          </w:p>
        </w:tc>
        <w:tc>
          <w:tcPr>
            <w:tcW w:w="820" w:type="dxa"/>
            <w:vAlign w:val="bottom"/>
            <w:tcBorders>
              <w:top w:val="single" w:sz="8" w:color="CCEEFF"/>
            </w:tcBorders>
          </w:tcPr>
          <w:p>
            <w:pPr>
              <w:spacing w:after="0"/>
              <w:rPr>
                <w:sz w:val="17"/>
                <w:szCs w:val="17"/>
                <w:color w:val="auto"/>
              </w:rPr>
            </w:pPr>
          </w:p>
        </w:tc>
        <w:tc>
          <w:tcPr>
            <w:tcW w:w="120" w:type="dxa"/>
            <w:vAlign w:val="bottom"/>
            <w:tcBorders>
              <w:top w:val="single" w:sz="8" w:color="CCEEFF"/>
            </w:tcBorders>
          </w:tcPr>
          <w:p>
            <w:pPr>
              <w:spacing w:after="0"/>
              <w:rPr>
                <w:sz w:val="17"/>
                <w:szCs w:val="17"/>
                <w:color w:val="auto"/>
              </w:rPr>
            </w:pPr>
          </w:p>
        </w:tc>
        <w:tc>
          <w:tcPr>
            <w:tcW w:w="100" w:type="dxa"/>
            <w:vAlign w:val="bottom"/>
            <w:tcBorders>
              <w:top w:val="single" w:sz="8" w:color="CCEEFF"/>
            </w:tcBorders>
          </w:tcPr>
          <w:p>
            <w:pPr>
              <w:spacing w:after="0"/>
              <w:rPr>
                <w:sz w:val="17"/>
                <w:szCs w:val="17"/>
                <w:color w:val="auto"/>
              </w:rPr>
            </w:pPr>
          </w:p>
        </w:tc>
        <w:tc>
          <w:tcPr>
            <w:tcW w:w="820" w:type="dxa"/>
            <w:vAlign w:val="bottom"/>
            <w:tcBorders>
              <w:top w:val="single" w:sz="8" w:color="CCEEFF"/>
            </w:tcBorders>
          </w:tcPr>
          <w:p>
            <w:pPr>
              <w:spacing w:after="0"/>
              <w:rPr>
                <w:sz w:val="17"/>
                <w:szCs w:val="17"/>
                <w:color w:val="auto"/>
              </w:rPr>
            </w:pPr>
          </w:p>
        </w:tc>
        <w:tc>
          <w:tcPr>
            <w:tcW w:w="120" w:type="dxa"/>
            <w:vAlign w:val="bottom"/>
            <w:tcBorders>
              <w:top w:val="single" w:sz="8" w:color="CCEEFF"/>
            </w:tcBorders>
          </w:tcPr>
          <w:p>
            <w:pPr>
              <w:spacing w:after="0"/>
              <w:rPr>
                <w:sz w:val="17"/>
                <w:szCs w:val="17"/>
                <w:color w:val="auto"/>
              </w:rPr>
            </w:pPr>
          </w:p>
        </w:tc>
        <w:tc>
          <w:tcPr>
            <w:tcW w:w="600" w:type="dxa"/>
            <w:vAlign w:val="bottom"/>
            <w:tcBorders>
              <w:top w:val="single" w:sz="8" w:color="CCEEFF"/>
            </w:tcBorders>
          </w:tcPr>
          <w:p>
            <w:pPr>
              <w:spacing w:after="0"/>
              <w:rPr>
                <w:sz w:val="17"/>
                <w:szCs w:val="17"/>
                <w:color w:val="auto"/>
              </w:rPr>
            </w:pPr>
          </w:p>
        </w:tc>
        <w:tc>
          <w:tcPr>
            <w:tcW w:w="120" w:type="dxa"/>
            <w:vAlign w:val="bottom"/>
            <w:tcBorders>
              <w:top w:val="single" w:sz="8" w:color="CCEEFF"/>
            </w:tcBorders>
          </w:tcPr>
          <w:p>
            <w:pPr>
              <w:spacing w:after="0"/>
              <w:rPr>
                <w:sz w:val="17"/>
                <w:szCs w:val="17"/>
                <w:color w:val="auto"/>
              </w:rPr>
            </w:pPr>
          </w:p>
        </w:tc>
        <w:tc>
          <w:tcPr>
            <w:tcW w:w="600" w:type="dxa"/>
            <w:vAlign w:val="bottom"/>
            <w:tcBorders>
              <w:top w:val="single" w:sz="8" w:color="CCEEFF"/>
            </w:tcBorders>
          </w:tcPr>
          <w:p>
            <w:pPr>
              <w:spacing w:after="0"/>
              <w:rPr>
                <w:sz w:val="17"/>
                <w:szCs w:val="17"/>
                <w:color w:val="auto"/>
              </w:rPr>
            </w:pPr>
          </w:p>
        </w:tc>
        <w:tc>
          <w:tcPr>
            <w:tcW w:w="120" w:type="dxa"/>
            <w:vAlign w:val="bottom"/>
            <w:tcBorders>
              <w:top w:val="single" w:sz="8" w:color="CCEEFF"/>
            </w:tcBorders>
          </w:tcPr>
          <w:p>
            <w:pPr>
              <w:spacing w:after="0"/>
              <w:rPr>
                <w:sz w:val="17"/>
                <w:szCs w:val="17"/>
                <w:color w:val="auto"/>
              </w:rPr>
            </w:pPr>
          </w:p>
        </w:tc>
        <w:tc>
          <w:tcPr>
            <w:tcW w:w="660" w:type="dxa"/>
            <w:vAlign w:val="bottom"/>
            <w:tcBorders>
              <w:top w:val="single" w:sz="8" w:color="CCEEFF"/>
            </w:tcBorders>
          </w:tcPr>
          <w:p>
            <w:pPr>
              <w:spacing w:after="0"/>
              <w:rPr>
                <w:sz w:val="17"/>
                <w:szCs w:val="17"/>
                <w:color w:val="auto"/>
              </w:rPr>
            </w:pPr>
          </w:p>
        </w:tc>
        <w:tc>
          <w:tcPr>
            <w:tcW w:w="60" w:type="dxa"/>
            <w:vAlign w:val="bottom"/>
            <w:tcBorders>
              <w:top w:val="single" w:sz="8" w:color="CCEEFF"/>
            </w:tcBorders>
          </w:tcPr>
          <w:p>
            <w:pPr>
              <w:spacing w:after="0"/>
              <w:rPr>
                <w:sz w:val="17"/>
                <w:szCs w:val="17"/>
                <w:color w:val="auto"/>
              </w:rPr>
            </w:pPr>
          </w:p>
        </w:tc>
        <w:tc>
          <w:tcPr>
            <w:tcW w:w="0" w:type="dxa"/>
            <w:vAlign w:val="bottom"/>
          </w:tcPr>
          <w:p>
            <w:pPr>
              <w:spacing w:after="0"/>
              <w:rPr>
                <w:sz w:val="1"/>
                <w:szCs w:val="1"/>
                <w:color w:val="auto"/>
              </w:rPr>
            </w:pPr>
          </w:p>
        </w:tc>
      </w:tr>
      <w:tr>
        <w:trPr>
          <w:trHeight w:val="244"/>
        </w:trPr>
        <w:tc>
          <w:tcPr>
            <w:tcW w:w="1040" w:type="dxa"/>
            <w:vAlign w:val="bottom"/>
          </w:tcPr>
          <w:p>
            <w:pPr>
              <w:spacing w:after="0"/>
              <w:rPr>
                <w:sz w:val="21"/>
                <w:szCs w:val="21"/>
                <w:color w:val="auto"/>
              </w:rPr>
            </w:pPr>
          </w:p>
        </w:tc>
        <w:tc>
          <w:tcPr>
            <w:tcW w:w="64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40" w:type="dxa"/>
            <w:vAlign w:val="bottom"/>
            <w:gridSpan w:val="2"/>
          </w:tcPr>
          <w:p>
            <w:pPr>
              <w:ind w:left="40"/>
              <w:spacing w:after="0"/>
              <w:rPr>
                <w:sz w:val="20"/>
                <w:szCs w:val="20"/>
                <w:color w:val="auto"/>
              </w:rPr>
            </w:pPr>
            <w:r>
              <w:rPr>
                <w:rFonts w:ascii="Arial" w:cs="Arial" w:eastAsia="Arial" w:hAnsi="Arial"/>
                <w:sz w:val="18"/>
                <w:szCs w:val="18"/>
                <w:color w:val="auto"/>
                <w:w w:val="79"/>
              </w:rPr>
              <w:t>$</w:t>
            </w: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38.36</w:t>
            </w:r>
          </w:p>
        </w:tc>
        <w:tc>
          <w:tcPr>
            <w:tcW w:w="1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rPr>
              <w:t>12.23</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9.70</w:t>
            </w:r>
          </w:p>
        </w:tc>
        <w:tc>
          <w:tcPr>
            <w:tcW w:w="1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rPr>
              <w:t>9.75</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00" w:type="dxa"/>
            <w:vAlign w:val="bottom"/>
            <w:gridSpan w:val="2"/>
          </w:tcPr>
          <w:p>
            <w:pPr>
              <w:jc w:val="right"/>
              <w:ind w:right="80"/>
              <w:spacing w:after="0"/>
              <w:rPr>
                <w:sz w:val="20"/>
                <w:szCs w:val="20"/>
                <w:color w:val="auto"/>
              </w:rPr>
            </w:pPr>
            <w:r>
              <w:rPr>
                <w:rFonts w:ascii="Arial" w:cs="Arial" w:eastAsia="Arial" w:hAnsi="Arial"/>
                <w:sz w:val="18"/>
                <w:szCs w:val="18"/>
                <w:color w:val="auto"/>
              </w:rPr>
              <w:t>22.95</w:t>
            </w: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11.15</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9.13</w:t>
            </w:r>
          </w:p>
        </w:tc>
        <w:tc>
          <w:tcPr>
            <w:tcW w:w="720" w:type="dxa"/>
            <w:vAlign w:val="bottom"/>
            <w:gridSpan w:val="2"/>
          </w:tcPr>
          <w:p>
            <w:pPr>
              <w:ind w:left="280"/>
              <w:spacing w:after="0"/>
              <w:rPr>
                <w:sz w:val="20"/>
                <w:szCs w:val="20"/>
                <w:color w:val="auto"/>
              </w:rPr>
            </w:pPr>
            <w:r>
              <w:rPr>
                <w:rFonts w:ascii="Arial" w:cs="Arial" w:eastAsia="Arial" w:hAnsi="Arial"/>
                <w:sz w:val="18"/>
                <w:szCs w:val="18"/>
                <w:color w:val="auto"/>
              </w:rPr>
              <w:t>N/A</w:t>
            </w:r>
          </w:p>
        </w:tc>
        <w:tc>
          <w:tcPr>
            <w:tcW w:w="720" w:type="dxa"/>
            <w:vAlign w:val="bottom"/>
            <w:gridSpan w:val="2"/>
          </w:tcPr>
          <w:p>
            <w:pPr>
              <w:ind w:left="280"/>
              <w:spacing w:after="0"/>
              <w:rPr>
                <w:sz w:val="20"/>
                <w:szCs w:val="20"/>
                <w:color w:val="auto"/>
              </w:rPr>
            </w:pPr>
            <w:r>
              <w:rPr>
                <w:rFonts w:ascii="Arial" w:cs="Arial" w:eastAsia="Arial" w:hAnsi="Arial"/>
                <w:sz w:val="18"/>
                <w:szCs w:val="18"/>
                <w:color w:val="auto"/>
              </w:rPr>
              <w:t>N/A</w:t>
            </w:r>
          </w:p>
        </w:tc>
        <w:tc>
          <w:tcPr>
            <w:tcW w:w="720" w:type="dxa"/>
            <w:vAlign w:val="bottom"/>
            <w:gridSpan w:val="2"/>
          </w:tcPr>
          <w:p>
            <w:pPr>
              <w:ind w:left="340"/>
              <w:spacing w:after="0"/>
              <w:rPr>
                <w:sz w:val="20"/>
                <w:szCs w:val="20"/>
                <w:color w:val="auto"/>
              </w:rPr>
            </w:pPr>
            <w:r>
              <w:rPr>
                <w:rFonts w:ascii="Arial" w:cs="Arial" w:eastAsia="Arial" w:hAnsi="Arial"/>
                <w:sz w:val="18"/>
                <w:szCs w:val="18"/>
                <w:color w:val="auto"/>
              </w:rPr>
              <w:t>N/A</w:t>
            </w:r>
          </w:p>
        </w:tc>
        <w:tc>
          <w:tcPr>
            <w:tcW w:w="0" w:type="dxa"/>
            <w:vAlign w:val="bottom"/>
          </w:tcPr>
          <w:p>
            <w:pPr>
              <w:spacing w:after="0"/>
              <w:rPr>
                <w:sz w:val="1"/>
                <w:szCs w:val="1"/>
                <w:color w:val="auto"/>
              </w:rPr>
            </w:pPr>
          </w:p>
        </w:tc>
      </w:tr>
      <w:tr>
        <w:trPr>
          <w:trHeight w:val="202"/>
        </w:trPr>
        <w:tc>
          <w:tcPr>
            <w:tcW w:w="1700" w:type="dxa"/>
            <w:vAlign w:val="bottom"/>
            <w:gridSpan w:val="3"/>
            <w:shd w:val="clear" w:color="auto" w:fill="CCEEFF"/>
          </w:tcPr>
          <w:p>
            <w:pPr>
              <w:spacing w:after="0" w:line="201" w:lineRule="exact"/>
              <w:rPr>
                <w:sz w:val="20"/>
                <w:szCs w:val="20"/>
                <w:color w:val="auto"/>
              </w:rPr>
            </w:pPr>
            <w:r>
              <w:rPr>
                <w:rFonts w:ascii="Arial" w:cs="Arial" w:eastAsia="Arial" w:hAnsi="Arial"/>
                <w:sz w:val="18"/>
                <w:szCs w:val="18"/>
                <w:color w:val="auto"/>
              </w:rPr>
              <w:t>Expiration date</w:t>
            </w:r>
          </w:p>
        </w:tc>
        <w:tc>
          <w:tcPr>
            <w:tcW w:w="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80" w:type="dxa"/>
            <w:vAlign w:val="bottom"/>
            <w:gridSpan w:val="2"/>
            <w:shd w:val="clear" w:color="auto" w:fill="CCEEFF"/>
          </w:tcPr>
          <w:p>
            <w:pPr>
              <w:jc w:val="right"/>
              <w:ind w:right="60"/>
              <w:spacing w:after="0" w:line="201" w:lineRule="exact"/>
              <w:rPr>
                <w:sz w:val="20"/>
                <w:szCs w:val="20"/>
                <w:color w:val="auto"/>
              </w:rPr>
            </w:pPr>
            <w:r>
              <w:rPr>
                <w:rFonts w:ascii="Arial" w:cs="Arial" w:eastAsia="Arial" w:hAnsi="Arial"/>
                <w:sz w:val="18"/>
                <w:szCs w:val="18"/>
                <w:color w:val="auto"/>
                <w:w w:val="88"/>
              </w:rPr>
              <w:t>11/15/2021</w:t>
            </w: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10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to</w:t>
            </w: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1040" w:type="dxa"/>
            <w:vAlign w:val="bottom"/>
            <w:shd w:val="clear" w:color="auto" w:fill="CCEEFF"/>
          </w:tcPr>
          <w:p>
            <w:pPr>
              <w:spacing w:after="0"/>
              <w:rPr>
                <w:sz w:val="20"/>
                <w:szCs w:val="20"/>
                <w:color w:val="auto"/>
              </w:rPr>
            </w:pPr>
          </w:p>
        </w:tc>
        <w:tc>
          <w:tcPr>
            <w:tcW w:w="64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4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88"/>
              </w:rPr>
              <w:t>11/12/2024</w:t>
            </w:r>
          </w:p>
        </w:tc>
        <w:tc>
          <w:tcPr>
            <w:tcW w:w="8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9"/>
              </w:rPr>
              <w:t>5/19/2026</w:t>
            </w:r>
          </w:p>
        </w:tc>
        <w:tc>
          <w:tcPr>
            <w:tcW w:w="100" w:type="dxa"/>
            <w:vAlign w:val="bottom"/>
            <w:shd w:val="clear" w:color="auto" w:fill="CCEEFF"/>
          </w:tcPr>
          <w:p>
            <w:pPr>
              <w:spacing w:after="0"/>
              <w:rPr>
                <w:sz w:val="20"/>
                <w:szCs w:val="20"/>
                <w:color w:val="auto"/>
              </w:rPr>
            </w:pP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88"/>
              </w:rPr>
              <w:t>11/30/2026</w:t>
            </w:r>
          </w:p>
        </w:tc>
        <w:tc>
          <w:tcPr>
            <w:tcW w:w="6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9"/>
              </w:rPr>
              <w:t>5/18/2027</w:t>
            </w:r>
          </w:p>
        </w:tc>
        <w:tc>
          <w:tcPr>
            <w:tcW w:w="100" w:type="dxa"/>
            <w:vAlign w:val="bottom"/>
            <w:shd w:val="clear" w:color="auto" w:fill="CCEEFF"/>
          </w:tcPr>
          <w:p>
            <w:pPr>
              <w:spacing w:after="0"/>
              <w:rPr>
                <w:sz w:val="20"/>
                <w:szCs w:val="20"/>
                <w:color w:val="auto"/>
              </w:rPr>
            </w:pPr>
          </w:p>
        </w:tc>
        <w:tc>
          <w:tcPr>
            <w:tcW w:w="90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w w:val="88"/>
              </w:rPr>
              <w:t>11/30/2027</w:t>
            </w:r>
          </w:p>
        </w:tc>
        <w:tc>
          <w:tcPr>
            <w:tcW w:w="4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8"/>
              </w:rPr>
              <w:t>11/30/2028</w:t>
            </w:r>
          </w:p>
        </w:tc>
        <w:tc>
          <w:tcPr>
            <w:tcW w:w="100" w:type="dxa"/>
            <w:vAlign w:val="bottom"/>
            <w:shd w:val="clear" w:color="auto" w:fill="CCEEFF"/>
          </w:tcPr>
          <w:p>
            <w:pPr>
              <w:spacing w:after="0"/>
              <w:rPr>
                <w:sz w:val="20"/>
                <w:szCs w:val="20"/>
                <w:color w:val="auto"/>
              </w:rPr>
            </w:pP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8"/>
              </w:rPr>
              <w:t>11/30/2029</w:t>
            </w:r>
          </w:p>
        </w:tc>
        <w:tc>
          <w:tcPr>
            <w:tcW w:w="72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N/A</w:t>
            </w:r>
          </w:p>
        </w:tc>
        <w:tc>
          <w:tcPr>
            <w:tcW w:w="72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N/A</w:t>
            </w:r>
          </w:p>
        </w:tc>
        <w:tc>
          <w:tcPr>
            <w:tcW w:w="720" w:type="dxa"/>
            <w:vAlign w:val="bottom"/>
            <w:gridSpan w:val="2"/>
            <w:shd w:val="clear" w:color="auto" w:fill="CCEEFF"/>
          </w:tcPr>
          <w:p>
            <w:pPr>
              <w:ind w:left="340"/>
              <w:spacing w:after="0"/>
              <w:rPr>
                <w:sz w:val="20"/>
                <w:szCs w:val="20"/>
                <w:color w:val="auto"/>
              </w:rPr>
            </w:pPr>
            <w:r>
              <w:rPr>
                <w:rFonts w:ascii="Arial" w:cs="Arial" w:eastAsia="Arial" w:hAnsi="Arial"/>
                <w:sz w:val="18"/>
                <w:szCs w:val="18"/>
                <w:color w:val="auto"/>
              </w:rPr>
              <w:t>N/A</w:t>
            </w:r>
          </w:p>
        </w:tc>
        <w:tc>
          <w:tcPr>
            <w:tcW w:w="0" w:type="dxa"/>
            <w:vAlign w:val="bottom"/>
          </w:tcPr>
          <w:p>
            <w:pPr>
              <w:spacing w:after="0"/>
              <w:rPr>
                <w:sz w:val="1"/>
                <w:szCs w:val="1"/>
                <w:color w:val="auto"/>
              </w:rPr>
            </w:pPr>
          </w:p>
        </w:tc>
      </w:tr>
      <w:tr>
        <w:trPr>
          <w:trHeight w:val="216"/>
        </w:trPr>
        <w:tc>
          <w:tcPr>
            <w:tcW w:w="1700" w:type="dxa"/>
            <w:vAlign w:val="bottom"/>
            <w:gridSpan w:val="3"/>
          </w:tcPr>
          <w:p>
            <w:pPr>
              <w:spacing w:after="0"/>
              <w:rPr>
                <w:sz w:val="20"/>
                <w:szCs w:val="20"/>
                <w:color w:val="auto"/>
              </w:rPr>
            </w:pPr>
            <w:r>
              <w:rPr>
                <w:rFonts w:ascii="Arial" w:cs="Arial" w:eastAsia="Arial" w:hAnsi="Arial"/>
                <w:sz w:val="18"/>
                <w:szCs w:val="18"/>
                <w:color w:val="auto"/>
              </w:rPr>
              <w:t>Robert D. Pedersen</w:t>
            </w:r>
          </w:p>
        </w:tc>
        <w:tc>
          <w:tcPr>
            <w:tcW w:w="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93,230</w:t>
            </w: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36,029</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60" w:type="dxa"/>
            <w:vAlign w:val="bottom"/>
            <w:gridSpan w:val="2"/>
          </w:tcPr>
          <w:p>
            <w:pPr>
              <w:ind w:left="48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90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9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720" w:type="dxa"/>
            <w:vAlign w:val="bottom"/>
            <w:gridSpan w:val="2"/>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ind w:left="3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17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Michael K. Chan</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3,750</w:t>
            </w: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4,750</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20,000</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20,000</w:t>
            </w:r>
          </w:p>
        </w:tc>
        <w:tc>
          <w:tcPr>
            <w:tcW w:w="72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ind w:left="3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30"/>
        </w:trPr>
        <w:tc>
          <w:tcPr>
            <w:tcW w:w="1700" w:type="dxa"/>
            <w:vAlign w:val="bottom"/>
            <w:gridSpan w:val="3"/>
          </w:tcPr>
          <w:p>
            <w:pPr>
              <w:spacing w:after="0"/>
              <w:rPr>
                <w:sz w:val="20"/>
                <w:szCs w:val="20"/>
                <w:color w:val="auto"/>
              </w:rPr>
            </w:pPr>
            <w:r>
              <w:rPr>
                <w:rFonts w:ascii="Arial" w:cs="Arial" w:eastAsia="Arial" w:hAnsi="Arial"/>
                <w:sz w:val="18"/>
                <w:szCs w:val="18"/>
                <w:color w:val="auto"/>
              </w:rPr>
              <w:t>Olivier Ghesquiere</w:t>
            </w:r>
          </w:p>
        </w:tc>
        <w:tc>
          <w:tcPr>
            <w:tcW w:w="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rPr>
              <w:t>10,000</w:t>
            </w:r>
          </w:p>
        </w:tc>
        <w:tc>
          <w:tcPr>
            <w:tcW w:w="100" w:type="dxa"/>
            <w:vAlign w:val="bottom"/>
          </w:tcPr>
          <w:p>
            <w:pPr>
              <w:spacing w:after="0"/>
              <w:rPr>
                <w:sz w:val="20"/>
                <w:szCs w:val="20"/>
                <w:color w:val="auto"/>
              </w:rPr>
            </w:pP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19,200</w:t>
            </w:r>
          </w:p>
        </w:tc>
        <w:tc>
          <w:tcPr>
            <w:tcW w:w="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60" w:type="dxa"/>
            <w:vAlign w:val="bottom"/>
            <w:gridSpan w:val="2"/>
          </w:tcPr>
          <w:p>
            <w:pPr>
              <w:ind w:left="48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20"/>
                <w:szCs w:val="20"/>
                <w:color w:val="auto"/>
              </w:rPr>
            </w:pPr>
          </w:p>
        </w:tc>
        <w:tc>
          <w:tcPr>
            <w:tcW w:w="900" w:type="dxa"/>
            <w:vAlign w:val="bottom"/>
            <w:gridSpan w:val="2"/>
          </w:tcPr>
          <w:p>
            <w:pPr>
              <w:jc w:val="right"/>
              <w:ind w:right="80"/>
              <w:spacing w:after="0"/>
              <w:rPr>
                <w:sz w:val="20"/>
                <w:szCs w:val="20"/>
                <w:color w:val="auto"/>
              </w:rPr>
            </w:pPr>
            <w:r>
              <w:rPr>
                <w:rFonts w:ascii="Arial" w:cs="Arial" w:eastAsia="Arial" w:hAnsi="Arial"/>
                <w:sz w:val="18"/>
                <w:szCs w:val="18"/>
                <w:color w:val="auto"/>
              </w:rPr>
              <w:t>17,760</w:t>
            </w:r>
          </w:p>
        </w:tc>
        <w:tc>
          <w:tcPr>
            <w:tcW w:w="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40,000</w:t>
            </w:r>
          </w:p>
        </w:tc>
        <w:tc>
          <w:tcPr>
            <w:tcW w:w="100" w:type="dxa"/>
            <w:vAlign w:val="bottom"/>
          </w:tcPr>
          <w:p>
            <w:pPr>
              <w:spacing w:after="0"/>
              <w:rPr>
                <w:sz w:val="20"/>
                <w:szCs w:val="20"/>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40,000</w:t>
            </w:r>
          </w:p>
        </w:tc>
        <w:tc>
          <w:tcPr>
            <w:tcW w:w="720" w:type="dxa"/>
            <w:vAlign w:val="bottom"/>
            <w:gridSpan w:val="2"/>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ind w:left="3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94"/>
        </w:trPr>
        <w:tc>
          <w:tcPr>
            <w:tcW w:w="1040" w:type="dxa"/>
            <w:vAlign w:val="bottom"/>
          </w:tcPr>
          <w:p>
            <w:pPr>
              <w:spacing w:after="0"/>
              <w:rPr>
                <w:sz w:val="8"/>
                <w:szCs w:val="8"/>
                <w:color w:val="auto"/>
              </w:rPr>
            </w:pPr>
          </w:p>
        </w:tc>
        <w:tc>
          <w:tcPr>
            <w:tcW w:w="640" w:type="dxa"/>
            <w:vAlign w:val="bottom"/>
          </w:tcPr>
          <w:p>
            <w:pPr>
              <w:spacing w:after="0"/>
              <w:rPr>
                <w:sz w:val="8"/>
                <w:szCs w:val="8"/>
                <w:color w:val="auto"/>
              </w:rPr>
            </w:pPr>
          </w:p>
        </w:tc>
        <w:tc>
          <w:tcPr>
            <w:tcW w:w="60" w:type="dxa"/>
            <w:vAlign w:val="bottom"/>
            <w:gridSpan w:val="2"/>
          </w:tcPr>
          <w:p>
            <w:pPr>
              <w:spacing w:after="0"/>
              <w:rPr>
                <w:sz w:val="8"/>
                <w:szCs w:val="8"/>
                <w:color w:val="auto"/>
              </w:rPr>
            </w:pPr>
          </w:p>
        </w:tc>
        <w:tc>
          <w:tcPr>
            <w:tcW w:w="920" w:type="dxa"/>
            <w:vAlign w:val="bottom"/>
            <w:gridSpan w:val="2"/>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spacing w:after="0"/>
              <w:rPr>
                <w:sz w:val="8"/>
                <w:szCs w:val="8"/>
                <w:color w:val="auto"/>
              </w:rPr>
            </w:pPr>
          </w:p>
        </w:tc>
        <w:tc>
          <w:tcPr>
            <w:tcW w:w="80" w:type="dxa"/>
            <w:vAlign w:val="bottom"/>
          </w:tcPr>
          <w:p>
            <w:pPr>
              <w:spacing w:after="0"/>
              <w:rPr>
                <w:sz w:val="8"/>
                <w:szCs w:val="8"/>
                <w:color w:val="auto"/>
              </w:rPr>
            </w:pPr>
          </w:p>
        </w:tc>
        <w:tc>
          <w:tcPr>
            <w:tcW w:w="74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820" w:type="dxa"/>
            <w:vAlign w:val="bottom"/>
          </w:tcPr>
          <w:p>
            <w:pPr>
              <w:spacing w:after="0"/>
              <w:rPr>
                <w:sz w:val="8"/>
                <w:szCs w:val="8"/>
                <w:color w:val="auto"/>
              </w:rPr>
            </w:pPr>
          </w:p>
        </w:tc>
        <w:tc>
          <w:tcPr>
            <w:tcW w:w="60" w:type="dxa"/>
            <w:vAlign w:val="bottom"/>
          </w:tcPr>
          <w:p>
            <w:pPr>
              <w:spacing w:after="0"/>
              <w:rPr>
                <w:sz w:val="8"/>
                <w:szCs w:val="8"/>
                <w:color w:val="auto"/>
              </w:rPr>
            </w:pPr>
          </w:p>
        </w:tc>
        <w:tc>
          <w:tcPr>
            <w:tcW w:w="60" w:type="dxa"/>
            <w:vAlign w:val="bottom"/>
          </w:tcPr>
          <w:p>
            <w:pPr>
              <w:spacing w:after="0"/>
              <w:rPr>
                <w:sz w:val="8"/>
                <w:szCs w:val="8"/>
                <w:color w:val="auto"/>
              </w:rPr>
            </w:pPr>
          </w:p>
        </w:tc>
        <w:tc>
          <w:tcPr>
            <w:tcW w:w="100" w:type="dxa"/>
            <w:vAlign w:val="bottom"/>
          </w:tcPr>
          <w:p>
            <w:pPr>
              <w:spacing w:after="0"/>
              <w:rPr>
                <w:sz w:val="8"/>
                <w:szCs w:val="8"/>
                <w:color w:val="auto"/>
              </w:rPr>
            </w:pPr>
          </w:p>
        </w:tc>
        <w:tc>
          <w:tcPr>
            <w:tcW w:w="74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820" w:type="dxa"/>
            <w:vAlign w:val="bottom"/>
          </w:tcPr>
          <w:p>
            <w:pPr>
              <w:spacing w:after="0"/>
              <w:rPr>
                <w:sz w:val="8"/>
                <w:szCs w:val="8"/>
                <w:color w:val="auto"/>
              </w:rPr>
            </w:pPr>
          </w:p>
        </w:tc>
        <w:tc>
          <w:tcPr>
            <w:tcW w:w="80" w:type="dxa"/>
            <w:vAlign w:val="bottom"/>
          </w:tcPr>
          <w:p>
            <w:pPr>
              <w:spacing w:after="0"/>
              <w:rPr>
                <w:sz w:val="8"/>
                <w:szCs w:val="8"/>
                <w:color w:val="auto"/>
              </w:rPr>
            </w:pPr>
          </w:p>
        </w:tc>
        <w:tc>
          <w:tcPr>
            <w:tcW w:w="40" w:type="dxa"/>
            <w:vAlign w:val="bottom"/>
          </w:tcPr>
          <w:p>
            <w:pPr>
              <w:spacing w:after="0"/>
              <w:rPr>
                <w:sz w:val="8"/>
                <w:szCs w:val="8"/>
                <w:color w:val="auto"/>
              </w:rPr>
            </w:pPr>
          </w:p>
        </w:tc>
        <w:tc>
          <w:tcPr>
            <w:tcW w:w="100" w:type="dxa"/>
            <w:vAlign w:val="bottom"/>
          </w:tcPr>
          <w:p>
            <w:pPr>
              <w:spacing w:after="0"/>
              <w:rPr>
                <w:sz w:val="8"/>
                <w:szCs w:val="8"/>
                <w:color w:val="auto"/>
              </w:rPr>
            </w:pPr>
          </w:p>
        </w:tc>
        <w:tc>
          <w:tcPr>
            <w:tcW w:w="8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820" w:type="dxa"/>
            <w:vAlign w:val="bottom"/>
          </w:tcPr>
          <w:p>
            <w:pPr>
              <w:spacing w:after="0"/>
              <w:rPr>
                <w:sz w:val="8"/>
                <w:szCs w:val="8"/>
                <w:color w:val="auto"/>
              </w:rPr>
            </w:pPr>
          </w:p>
        </w:tc>
        <w:tc>
          <w:tcPr>
            <w:tcW w:w="120" w:type="dxa"/>
            <w:vAlign w:val="bottom"/>
          </w:tcPr>
          <w:p>
            <w:pPr>
              <w:spacing w:after="0"/>
              <w:rPr>
                <w:sz w:val="8"/>
                <w:szCs w:val="8"/>
                <w:color w:val="auto"/>
              </w:rPr>
            </w:pPr>
          </w:p>
        </w:tc>
        <w:tc>
          <w:tcPr>
            <w:tcW w:w="600" w:type="dxa"/>
            <w:vAlign w:val="bottom"/>
          </w:tcPr>
          <w:p>
            <w:pPr>
              <w:spacing w:after="0"/>
              <w:rPr>
                <w:sz w:val="8"/>
                <w:szCs w:val="8"/>
                <w:color w:val="auto"/>
              </w:rPr>
            </w:pPr>
          </w:p>
        </w:tc>
        <w:tc>
          <w:tcPr>
            <w:tcW w:w="120" w:type="dxa"/>
            <w:vAlign w:val="bottom"/>
          </w:tcPr>
          <w:p>
            <w:pPr>
              <w:spacing w:after="0"/>
              <w:rPr>
                <w:sz w:val="8"/>
                <w:szCs w:val="8"/>
                <w:color w:val="auto"/>
              </w:rPr>
            </w:pPr>
          </w:p>
        </w:tc>
        <w:tc>
          <w:tcPr>
            <w:tcW w:w="600" w:type="dxa"/>
            <w:vAlign w:val="bottom"/>
          </w:tcPr>
          <w:p>
            <w:pPr>
              <w:spacing w:after="0"/>
              <w:rPr>
                <w:sz w:val="8"/>
                <w:szCs w:val="8"/>
                <w:color w:val="auto"/>
              </w:rPr>
            </w:pPr>
          </w:p>
        </w:tc>
        <w:tc>
          <w:tcPr>
            <w:tcW w:w="120" w:type="dxa"/>
            <w:vAlign w:val="bottom"/>
          </w:tcPr>
          <w:p>
            <w:pPr>
              <w:spacing w:after="0"/>
              <w:rPr>
                <w:sz w:val="8"/>
                <w:szCs w:val="8"/>
                <w:color w:val="auto"/>
              </w:rPr>
            </w:pPr>
          </w:p>
        </w:tc>
        <w:tc>
          <w:tcPr>
            <w:tcW w:w="660" w:type="dxa"/>
            <w:vAlign w:val="bottom"/>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96"/>
        </w:trPr>
        <w:tc>
          <w:tcPr>
            <w:tcW w:w="2720" w:type="dxa"/>
            <w:vAlign w:val="bottom"/>
            <w:gridSpan w:val="7"/>
            <w:shd w:val="clear" w:color="auto" w:fill="CCEEFF"/>
          </w:tcPr>
          <w:p>
            <w:pPr>
              <w:spacing w:after="0" w:line="176" w:lineRule="exact"/>
              <w:rPr>
                <w:sz w:val="20"/>
                <w:szCs w:val="20"/>
                <w:color w:val="auto"/>
              </w:rPr>
            </w:pPr>
            <w:r>
              <w:rPr>
                <w:rFonts w:ascii="Arial" w:cs="Arial" w:eastAsia="Arial" w:hAnsi="Arial"/>
                <w:sz w:val="18"/>
                <w:szCs w:val="18"/>
                <w:b w:val="1"/>
                <w:bCs w:val="1"/>
                <w:color w:val="auto"/>
                <w:w w:val="90"/>
              </w:rPr>
              <w:t>Performance restricted share units</w:t>
            </w: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1700" w:type="dxa"/>
            <w:vAlign w:val="bottom"/>
            <w:tcBorders>
              <w:top w:val="single" w:sz="8" w:color="auto"/>
            </w:tcBorders>
            <w:gridSpan w:val="3"/>
          </w:tcPr>
          <w:p>
            <w:pPr>
              <w:spacing w:after="0"/>
              <w:rPr>
                <w:sz w:val="20"/>
                <w:szCs w:val="20"/>
                <w:color w:val="auto"/>
              </w:rPr>
            </w:pPr>
            <w:r>
              <w:rPr>
                <w:rFonts w:ascii="Arial" w:cs="Arial" w:eastAsia="Arial" w:hAnsi="Arial"/>
                <w:sz w:val="18"/>
                <w:szCs w:val="18"/>
                <w:color w:val="auto"/>
              </w:rPr>
              <w:t>Olivier Ghesquiere</w:t>
            </w:r>
          </w:p>
        </w:tc>
        <w:tc>
          <w:tcPr>
            <w:tcW w:w="4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8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60" w:type="dxa"/>
            <w:vAlign w:val="bottom"/>
            <w:tcBorders>
              <w:top w:val="single" w:sz="8" w:color="CCEEFF"/>
            </w:tcBorders>
          </w:tcPr>
          <w:p>
            <w:pPr>
              <w:spacing w:after="0"/>
              <w:rPr>
                <w:sz w:val="18"/>
                <w:szCs w:val="18"/>
                <w:color w:val="auto"/>
              </w:rPr>
            </w:pPr>
          </w:p>
        </w:tc>
        <w:tc>
          <w:tcPr>
            <w:tcW w:w="80" w:type="dxa"/>
            <w:vAlign w:val="bottom"/>
            <w:tcBorders>
              <w:top w:val="single" w:sz="8" w:color="CCEEFF"/>
            </w:tcBorders>
          </w:tcPr>
          <w:p>
            <w:pPr>
              <w:spacing w:after="0"/>
              <w:rPr>
                <w:sz w:val="18"/>
                <w:szCs w:val="18"/>
                <w:color w:val="auto"/>
              </w:rPr>
            </w:pPr>
          </w:p>
        </w:tc>
        <w:tc>
          <w:tcPr>
            <w:tcW w:w="80" w:type="dxa"/>
            <w:vAlign w:val="bottom"/>
            <w:tcBorders>
              <w:top w:val="single" w:sz="8" w:color="CCEEFF"/>
            </w:tcBorders>
          </w:tcPr>
          <w:p>
            <w:pPr>
              <w:spacing w:after="0"/>
              <w:rPr>
                <w:sz w:val="18"/>
                <w:szCs w:val="18"/>
                <w:color w:val="auto"/>
              </w:rPr>
            </w:pPr>
          </w:p>
        </w:tc>
        <w:tc>
          <w:tcPr>
            <w:tcW w:w="860" w:type="dxa"/>
            <w:vAlign w:val="bottom"/>
            <w:tcBorders>
              <w:top w:val="single" w:sz="8" w:color="CCEEFF"/>
            </w:tcBorders>
            <w:gridSpan w:val="2"/>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tcBorders>
              <w:top w:val="single" w:sz="8" w:color="CCEEFF"/>
            </w:tcBorders>
          </w:tcPr>
          <w:p>
            <w:pPr>
              <w:spacing w:after="0"/>
              <w:rPr>
                <w:sz w:val="18"/>
                <w:szCs w:val="18"/>
                <w:color w:val="auto"/>
              </w:rPr>
            </w:pPr>
          </w:p>
        </w:tc>
        <w:tc>
          <w:tcPr>
            <w:tcW w:w="880" w:type="dxa"/>
            <w:vAlign w:val="bottom"/>
            <w:tcBorders>
              <w:top w:val="single" w:sz="8" w:color="CCEEFF"/>
            </w:tcBorders>
            <w:gridSpan w:val="2"/>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tcBorders>
              <w:top w:val="single" w:sz="8" w:color="CCEEFF"/>
            </w:tcBorders>
          </w:tcPr>
          <w:p>
            <w:pPr>
              <w:spacing w:after="0"/>
              <w:rPr>
                <w:sz w:val="18"/>
                <w:szCs w:val="18"/>
                <w:color w:val="auto"/>
              </w:rPr>
            </w:pPr>
          </w:p>
        </w:tc>
        <w:tc>
          <w:tcPr>
            <w:tcW w:w="100" w:type="dxa"/>
            <w:vAlign w:val="bottom"/>
            <w:tcBorders>
              <w:top w:val="single" w:sz="8" w:color="CCEEFF"/>
            </w:tcBorders>
          </w:tcPr>
          <w:p>
            <w:pPr>
              <w:spacing w:after="0"/>
              <w:rPr>
                <w:sz w:val="18"/>
                <w:szCs w:val="18"/>
                <w:color w:val="auto"/>
              </w:rPr>
            </w:pPr>
          </w:p>
        </w:tc>
        <w:tc>
          <w:tcPr>
            <w:tcW w:w="860" w:type="dxa"/>
            <w:vAlign w:val="bottom"/>
            <w:tcBorders>
              <w:top w:val="single" w:sz="8" w:color="CCEEFF"/>
            </w:tcBorders>
            <w:gridSpan w:val="2"/>
          </w:tcPr>
          <w:p>
            <w:pPr>
              <w:ind w:left="480"/>
              <w:spacing w:after="0"/>
              <w:rPr>
                <w:sz w:val="20"/>
                <w:szCs w:val="20"/>
                <w:color w:val="auto"/>
              </w:rPr>
            </w:pPr>
            <w:r>
              <w:rPr>
                <w:rFonts w:ascii="Arial" w:cs="Arial" w:eastAsia="Arial" w:hAnsi="Arial"/>
                <w:sz w:val="18"/>
                <w:szCs w:val="18"/>
                <w:color w:val="auto"/>
              </w:rPr>
              <w:t>—</w:t>
            </w:r>
          </w:p>
        </w:tc>
        <w:tc>
          <w:tcPr>
            <w:tcW w:w="100" w:type="dxa"/>
            <w:vAlign w:val="bottom"/>
            <w:tcBorders>
              <w:top w:val="single" w:sz="8" w:color="CCEEFF"/>
            </w:tcBorders>
          </w:tcPr>
          <w:p>
            <w:pPr>
              <w:spacing w:after="0"/>
              <w:rPr>
                <w:sz w:val="18"/>
                <w:szCs w:val="18"/>
                <w:color w:val="auto"/>
              </w:rPr>
            </w:pPr>
          </w:p>
        </w:tc>
        <w:tc>
          <w:tcPr>
            <w:tcW w:w="900" w:type="dxa"/>
            <w:vAlign w:val="bottom"/>
            <w:tcBorders>
              <w:top w:val="single" w:sz="8" w:color="CCEEFF"/>
            </w:tcBorders>
            <w:gridSpan w:val="2"/>
          </w:tcPr>
          <w:p>
            <w:pPr>
              <w:jc w:val="right"/>
              <w:ind w:right="160"/>
              <w:spacing w:after="0"/>
              <w:rPr>
                <w:sz w:val="20"/>
                <w:szCs w:val="20"/>
                <w:color w:val="auto"/>
              </w:rPr>
            </w:pPr>
            <w:r>
              <w:rPr>
                <w:rFonts w:ascii="Arial" w:cs="Arial" w:eastAsia="Arial" w:hAnsi="Arial"/>
                <w:sz w:val="18"/>
                <w:szCs w:val="18"/>
                <w:color w:val="auto"/>
              </w:rPr>
              <w:t>—</w:t>
            </w:r>
          </w:p>
        </w:tc>
        <w:tc>
          <w:tcPr>
            <w:tcW w:w="40" w:type="dxa"/>
            <w:vAlign w:val="bottom"/>
            <w:tcBorders>
              <w:top w:val="single" w:sz="8" w:color="CCEEFF"/>
            </w:tcBorders>
          </w:tcPr>
          <w:p>
            <w:pPr>
              <w:spacing w:after="0"/>
              <w:rPr>
                <w:sz w:val="18"/>
                <w:szCs w:val="18"/>
                <w:color w:val="auto"/>
              </w:rPr>
            </w:pPr>
          </w:p>
        </w:tc>
        <w:tc>
          <w:tcPr>
            <w:tcW w:w="100" w:type="dxa"/>
            <w:vAlign w:val="bottom"/>
            <w:tcBorders>
              <w:top w:val="single" w:sz="8" w:color="CCEEFF"/>
            </w:tcBorders>
          </w:tcPr>
          <w:p>
            <w:pPr>
              <w:spacing w:after="0"/>
              <w:rPr>
                <w:sz w:val="18"/>
                <w:szCs w:val="18"/>
                <w:color w:val="auto"/>
              </w:rPr>
            </w:pPr>
          </w:p>
        </w:tc>
        <w:tc>
          <w:tcPr>
            <w:tcW w:w="940" w:type="dxa"/>
            <w:vAlign w:val="bottom"/>
            <w:tcBorders>
              <w:top w:val="single" w:sz="8" w:color="CCEEFF"/>
            </w:tcBorders>
            <w:gridSpan w:val="2"/>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tcBorders>
              <w:top w:val="single" w:sz="8" w:color="CCEEFF"/>
            </w:tcBorders>
          </w:tcPr>
          <w:p>
            <w:pPr>
              <w:spacing w:after="0"/>
              <w:rPr>
                <w:sz w:val="18"/>
                <w:szCs w:val="18"/>
                <w:color w:val="auto"/>
              </w:rPr>
            </w:pPr>
          </w:p>
        </w:tc>
        <w:tc>
          <w:tcPr>
            <w:tcW w:w="940" w:type="dxa"/>
            <w:vAlign w:val="bottom"/>
            <w:tcBorders>
              <w:top w:val="single" w:sz="8" w:color="CCEEFF"/>
            </w:tcBorders>
            <w:gridSpan w:val="2"/>
          </w:tcPr>
          <w:p>
            <w:pPr>
              <w:jc w:val="right"/>
              <w:ind w:right="200"/>
              <w:spacing w:after="0"/>
              <w:rPr>
                <w:sz w:val="20"/>
                <w:szCs w:val="20"/>
                <w:color w:val="auto"/>
              </w:rPr>
            </w:pPr>
            <w:r>
              <w:rPr>
                <w:rFonts w:ascii="Arial" w:cs="Arial" w:eastAsia="Arial" w:hAnsi="Arial"/>
                <w:sz w:val="18"/>
                <w:szCs w:val="18"/>
                <w:color w:val="auto"/>
              </w:rPr>
              <w:t>—</w:t>
            </w:r>
          </w:p>
        </w:tc>
        <w:tc>
          <w:tcPr>
            <w:tcW w:w="720" w:type="dxa"/>
            <w:vAlign w:val="bottom"/>
            <w:tcBorders>
              <w:top w:val="single" w:sz="8" w:color="CCEEFF"/>
            </w:tcBorders>
            <w:gridSpan w:val="2"/>
          </w:tcPr>
          <w:p>
            <w:pPr>
              <w:ind w:left="320"/>
              <w:spacing w:after="0"/>
              <w:rPr>
                <w:sz w:val="20"/>
                <w:szCs w:val="20"/>
                <w:color w:val="auto"/>
              </w:rPr>
            </w:pPr>
            <w:r>
              <w:rPr>
                <w:rFonts w:ascii="Arial" w:cs="Arial" w:eastAsia="Arial" w:hAnsi="Arial"/>
                <w:sz w:val="18"/>
                <w:szCs w:val="18"/>
                <w:color w:val="auto"/>
              </w:rPr>
              <w:t>—</w:t>
            </w:r>
          </w:p>
        </w:tc>
        <w:tc>
          <w:tcPr>
            <w:tcW w:w="720" w:type="dxa"/>
            <w:vAlign w:val="bottom"/>
            <w:tcBorders>
              <w:top w:val="single" w:sz="8" w:color="CCEEFF"/>
            </w:tcBorders>
            <w:gridSpan w:val="2"/>
          </w:tcPr>
          <w:p>
            <w:pPr>
              <w:ind w:left="320"/>
              <w:spacing w:after="0"/>
              <w:rPr>
                <w:sz w:val="20"/>
                <w:szCs w:val="20"/>
                <w:color w:val="auto"/>
              </w:rPr>
            </w:pPr>
            <w:r>
              <w:rPr>
                <w:rFonts w:ascii="Arial" w:cs="Arial" w:eastAsia="Arial" w:hAnsi="Arial"/>
                <w:sz w:val="18"/>
                <w:szCs w:val="18"/>
                <w:color w:val="auto"/>
              </w:rPr>
              <w:t>—</w:t>
            </w:r>
          </w:p>
        </w:tc>
        <w:tc>
          <w:tcPr>
            <w:tcW w:w="720" w:type="dxa"/>
            <w:vAlign w:val="bottom"/>
            <w:tcBorders>
              <w:top w:val="single" w:sz="8" w:color="CCEEFF"/>
            </w:tcBorders>
            <w:gridSpan w:val="2"/>
          </w:tcPr>
          <w:p>
            <w:pPr>
              <w:jc w:val="right"/>
              <w:ind w:right="60"/>
              <w:spacing w:after="0"/>
              <w:rPr>
                <w:sz w:val="20"/>
                <w:szCs w:val="20"/>
                <w:color w:val="auto"/>
              </w:rPr>
            </w:pPr>
            <w:r>
              <w:rPr>
                <w:rFonts w:ascii="Arial" w:cs="Arial" w:eastAsia="Arial" w:hAnsi="Arial"/>
                <w:sz w:val="18"/>
                <w:szCs w:val="18"/>
                <w:color w:val="auto"/>
              </w:rPr>
              <w:t>72,957</w:t>
            </w:r>
          </w:p>
        </w:tc>
        <w:tc>
          <w:tcPr>
            <w:tcW w:w="0" w:type="dxa"/>
            <w:vAlign w:val="bottom"/>
          </w:tcPr>
          <w:p>
            <w:pPr>
              <w:spacing w:after="0"/>
              <w:rPr>
                <w:sz w:val="1"/>
                <w:szCs w:val="1"/>
                <w:color w:val="auto"/>
              </w:rPr>
            </w:pPr>
          </w:p>
        </w:tc>
      </w:tr>
      <w:tr>
        <w:trPr>
          <w:trHeight w:val="216"/>
        </w:trPr>
        <w:tc>
          <w:tcPr>
            <w:tcW w:w="17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Michael K. Chan</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ind w:left="48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21,887</w:t>
            </w:r>
          </w:p>
        </w:tc>
        <w:tc>
          <w:tcPr>
            <w:tcW w:w="0" w:type="dxa"/>
            <w:vAlign w:val="bottom"/>
          </w:tcPr>
          <w:p>
            <w:pPr>
              <w:spacing w:after="0"/>
              <w:rPr>
                <w:sz w:val="1"/>
                <w:szCs w:val="1"/>
                <w:color w:val="auto"/>
              </w:rPr>
            </w:pPr>
          </w:p>
        </w:tc>
      </w:tr>
      <w:tr>
        <w:trPr>
          <w:trHeight w:val="283"/>
        </w:trPr>
        <w:tc>
          <w:tcPr>
            <w:tcW w:w="1700" w:type="dxa"/>
            <w:vAlign w:val="bottom"/>
            <w:gridSpan w:val="3"/>
          </w:tcPr>
          <w:p>
            <w:pPr>
              <w:spacing w:after="0"/>
              <w:rPr>
                <w:sz w:val="20"/>
                <w:szCs w:val="20"/>
                <w:color w:val="auto"/>
              </w:rPr>
            </w:pPr>
            <w:r>
              <w:rPr>
                <w:rFonts w:ascii="Arial" w:cs="Arial" w:eastAsia="Arial" w:hAnsi="Arial"/>
                <w:sz w:val="18"/>
                <w:szCs w:val="18"/>
                <w:b w:val="1"/>
                <w:bCs w:val="1"/>
                <w:color w:val="auto"/>
                <w:w w:val="88"/>
              </w:rPr>
              <w:t>Restricted share units</w:t>
            </w: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040" w:type="dxa"/>
            <w:vAlign w:val="bottom"/>
            <w:tcBorders>
              <w:top w:val="single" w:sz="8" w:color="auto"/>
            </w:tcBorders>
          </w:tcPr>
          <w:p>
            <w:pPr>
              <w:spacing w:after="0" w:line="20" w:lineRule="exact"/>
              <w:rPr>
                <w:sz w:val="1"/>
                <w:szCs w:val="1"/>
                <w:color w:val="auto"/>
              </w:rPr>
            </w:pPr>
          </w:p>
        </w:tc>
        <w:tc>
          <w:tcPr>
            <w:tcW w:w="640" w:type="dxa"/>
            <w:vAlign w:val="bottom"/>
            <w:tcBorders>
              <w:top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6"/>
        </w:trPr>
        <w:tc>
          <w:tcPr>
            <w:tcW w:w="17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John A. Maccarone</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ind w:left="48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9,604</w:t>
            </w:r>
          </w:p>
        </w:tc>
        <w:tc>
          <w:tcPr>
            <w:tcW w:w="72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ind w:left="3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1700" w:type="dxa"/>
            <w:vAlign w:val="bottom"/>
            <w:gridSpan w:val="3"/>
          </w:tcPr>
          <w:p>
            <w:pPr>
              <w:spacing w:after="0"/>
              <w:rPr>
                <w:sz w:val="20"/>
                <w:szCs w:val="20"/>
                <w:color w:val="auto"/>
              </w:rPr>
            </w:pPr>
            <w:r>
              <w:rPr>
                <w:rFonts w:ascii="Arial" w:cs="Arial" w:eastAsia="Arial" w:hAnsi="Arial"/>
                <w:sz w:val="18"/>
                <w:szCs w:val="18"/>
                <w:color w:val="auto"/>
              </w:rPr>
              <w:t>Olivier Ghesquiere</w:t>
            </w:r>
          </w:p>
        </w:tc>
        <w:tc>
          <w:tcPr>
            <w:tcW w:w="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8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60" w:type="dxa"/>
            <w:vAlign w:val="bottom"/>
            <w:gridSpan w:val="2"/>
          </w:tcPr>
          <w:p>
            <w:pPr>
              <w:ind w:left="48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900" w:type="dxa"/>
            <w:vAlign w:val="bottom"/>
            <w:gridSpan w:val="2"/>
          </w:tcPr>
          <w:p>
            <w:pPr>
              <w:jc w:val="right"/>
              <w:ind w:right="80"/>
              <w:spacing w:after="0"/>
              <w:rPr>
                <w:sz w:val="20"/>
                <w:szCs w:val="20"/>
                <w:color w:val="auto"/>
              </w:rPr>
            </w:pPr>
            <w:r>
              <w:rPr>
                <w:rFonts w:ascii="Arial" w:cs="Arial" w:eastAsia="Arial" w:hAnsi="Arial"/>
                <w:sz w:val="18"/>
                <w:szCs w:val="18"/>
                <w:color w:val="auto"/>
              </w:rPr>
              <w:t>4,440</w:t>
            </w:r>
          </w:p>
        </w:tc>
        <w:tc>
          <w:tcPr>
            <w:tcW w:w="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20,000</w:t>
            </w:r>
          </w:p>
        </w:tc>
        <w:tc>
          <w:tcPr>
            <w:tcW w:w="100" w:type="dxa"/>
            <w:vAlign w:val="bottom"/>
          </w:tcPr>
          <w:p>
            <w:pPr>
              <w:spacing w:after="0"/>
              <w:rPr>
                <w:sz w:val="18"/>
                <w:szCs w:val="18"/>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30,000</w:t>
            </w:r>
          </w:p>
        </w:tc>
        <w:tc>
          <w:tcPr>
            <w:tcW w:w="720" w:type="dxa"/>
            <w:vAlign w:val="bottom"/>
            <w:gridSpan w:val="2"/>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22,274</w:t>
            </w:r>
          </w:p>
        </w:tc>
        <w:tc>
          <w:tcPr>
            <w:tcW w:w="0" w:type="dxa"/>
            <w:vAlign w:val="bottom"/>
          </w:tcPr>
          <w:p>
            <w:pPr>
              <w:spacing w:after="0"/>
              <w:rPr>
                <w:sz w:val="1"/>
                <w:szCs w:val="1"/>
                <w:color w:val="auto"/>
              </w:rPr>
            </w:pPr>
          </w:p>
        </w:tc>
      </w:tr>
      <w:tr>
        <w:trPr>
          <w:trHeight w:val="216"/>
        </w:trPr>
        <w:tc>
          <w:tcPr>
            <w:tcW w:w="17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Robert D. Pedersen</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ind w:left="48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9,604</w:t>
            </w:r>
          </w:p>
        </w:tc>
        <w:tc>
          <w:tcPr>
            <w:tcW w:w="72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ind w:left="3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1700" w:type="dxa"/>
            <w:vAlign w:val="bottom"/>
            <w:gridSpan w:val="3"/>
          </w:tcPr>
          <w:p>
            <w:pPr>
              <w:spacing w:after="0"/>
              <w:rPr>
                <w:sz w:val="20"/>
                <w:szCs w:val="20"/>
                <w:color w:val="auto"/>
              </w:rPr>
            </w:pPr>
            <w:r>
              <w:rPr>
                <w:rFonts w:ascii="Arial" w:cs="Arial" w:eastAsia="Arial" w:hAnsi="Arial"/>
                <w:sz w:val="18"/>
                <w:szCs w:val="18"/>
                <w:color w:val="auto"/>
              </w:rPr>
              <w:t>Michael K. Chan</w:t>
            </w:r>
          </w:p>
        </w:tc>
        <w:tc>
          <w:tcPr>
            <w:tcW w:w="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8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60" w:type="dxa"/>
            <w:vAlign w:val="bottom"/>
            <w:gridSpan w:val="2"/>
          </w:tcPr>
          <w:p>
            <w:pPr>
              <w:ind w:left="480"/>
              <w:spacing w:after="0"/>
              <w:rPr>
                <w:sz w:val="20"/>
                <w:szCs w:val="20"/>
                <w:color w:val="auto"/>
              </w:rPr>
            </w:pPr>
            <w:r>
              <w:rPr>
                <w:rFonts w:ascii="Arial" w:cs="Arial" w:eastAsia="Arial" w:hAnsi="Arial"/>
                <w:sz w:val="18"/>
                <w:szCs w:val="18"/>
                <w:color w:val="auto"/>
              </w:rPr>
              <w:t>937</w:t>
            </w:r>
          </w:p>
        </w:tc>
        <w:tc>
          <w:tcPr>
            <w:tcW w:w="100" w:type="dxa"/>
            <w:vAlign w:val="bottom"/>
          </w:tcPr>
          <w:p>
            <w:pPr>
              <w:spacing w:after="0"/>
              <w:rPr>
                <w:sz w:val="18"/>
                <w:szCs w:val="18"/>
                <w:color w:val="auto"/>
              </w:rPr>
            </w:pPr>
          </w:p>
        </w:tc>
        <w:tc>
          <w:tcPr>
            <w:tcW w:w="900" w:type="dxa"/>
            <w:vAlign w:val="bottom"/>
            <w:gridSpan w:val="2"/>
          </w:tcPr>
          <w:p>
            <w:pPr>
              <w:jc w:val="right"/>
              <w:ind w:right="80"/>
              <w:spacing w:after="0"/>
              <w:rPr>
                <w:sz w:val="20"/>
                <w:szCs w:val="20"/>
                <w:color w:val="auto"/>
              </w:rPr>
            </w:pPr>
            <w:r>
              <w:rPr>
                <w:rFonts w:ascii="Arial" w:cs="Arial" w:eastAsia="Arial" w:hAnsi="Arial"/>
                <w:sz w:val="18"/>
                <w:szCs w:val="18"/>
                <w:color w:val="auto"/>
              </w:rPr>
              <w:t>1,187</w:t>
            </w:r>
          </w:p>
        </w:tc>
        <w:tc>
          <w:tcPr>
            <w:tcW w:w="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10,000</w:t>
            </w:r>
          </w:p>
        </w:tc>
        <w:tc>
          <w:tcPr>
            <w:tcW w:w="100" w:type="dxa"/>
            <w:vAlign w:val="bottom"/>
          </w:tcPr>
          <w:p>
            <w:pPr>
              <w:spacing w:after="0"/>
              <w:rPr>
                <w:sz w:val="18"/>
                <w:szCs w:val="18"/>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15,000</w:t>
            </w:r>
          </w:p>
        </w:tc>
        <w:tc>
          <w:tcPr>
            <w:tcW w:w="720" w:type="dxa"/>
            <w:vAlign w:val="bottom"/>
            <w:gridSpan w:val="2"/>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6,682</w:t>
            </w:r>
          </w:p>
        </w:tc>
        <w:tc>
          <w:tcPr>
            <w:tcW w:w="0" w:type="dxa"/>
            <w:vAlign w:val="bottom"/>
          </w:tcPr>
          <w:p>
            <w:pPr>
              <w:spacing w:after="0"/>
              <w:rPr>
                <w:sz w:val="1"/>
                <w:szCs w:val="1"/>
                <w:color w:val="auto"/>
              </w:rPr>
            </w:pPr>
          </w:p>
        </w:tc>
      </w:tr>
      <w:tr>
        <w:trPr>
          <w:trHeight w:val="216"/>
        </w:trPr>
        <w:tc>
          <w:tcPr>
            <w:tcW w:w="17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Hyman Shwiel</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ind w:left="48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9,604</w:t>
            </w:r>
          </w:p>
        </w:tc>
        <w:tc>
          <w:tcPr>
            <w:tcW w:w="72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ind w:left="3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1700" w:type="dxa"/>
            <w:vAlign w:val="bottom"/>
            <w:gridSpan w:val="3"/>
          </w:tcPr>
          <w:p>
            <w:pPr>
              <w:spacing w:after="0"/>
              <w:rPr>
                <w:sz w:val="20"/>
                <w:szCs w:val="20"/>
                <w:color w:val="auto"/>
              </w:rPr>
            </w:pPr>
            <w:r>
              <w:rPr>
                <w:rFonts w:ascii="Arial" w:cs="Arial" w:eastAsia="Arial" w:hAnsi="Arial"/>
                <w:sz w:val="18"/>
                <w:szCs w:val="18"/>
                <w:color w:val="auto"/>
                <w:w w:val="95"/>
              </w:rPr>
              <w:t>Dudley R. Cottingham</w:t>
            </w:r>
          </w:p>
        </w:tc>
        <w:tc>
          <w:tcPr>
            <w:tcW w:w="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8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60" w:type="dxa"/>
            <w:vAlign w:val="bottom"/>
            <w:gridSpan w:val="2"/>
          </w:tcPr>
          <w:p>
            <w:pPr>
              <w:ind w:left="48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90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9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9,604</w:t>
            </w:r>
          </w:p>
        </w:tc>
        <w:tc>
          <w:tcPr>
            <w:tcW w:w="720" w:type="dxa"/>
            <w:vAlign w:val="bottom"/>
            <w:gridSpan w:val="2"/>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ind w:left="3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17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David M. Nurek</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ind w:left="48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9,604</w:t>
            </w:r>
          </w:p>
        </w:tc>
        <w:tc>
          <w:tcPr>
            <w:tcW w:w="72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ind w:left="3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1700" w:type="dxa"/>
            <w:vAlign w:val="bottom"/>
            <w:gridSpan w:val="3"/>
          </w:tcPr>
          <w:p>
            <w:pPr>
              <w:spacing w:after="0"/>
              <w:rPr>
                <w:sz w:val="20"/>
                <w:szCs w:val="20"/>
                <w:color w:val="auto"/>
              </w:rPr>
            </w:pPr>
            <w:r>
              <w:rPr>
                <w:rFonts w:ascii="Arial" w:cs="Arial" w:eastAsia="Arial" w:hAnsi="Arial"/>
                <w:sz w:val="18"/>
                <w:szCs w:val="18"/>
                <w:color w:val="auto"/>
                <w:w w:val="91"/>
              </w:rPr>
              <w:t>Hennie Van der Merwe</w:t>
            </w:r>
          </w:p>
        </w:tc>
        <w:tc>
          <w:tcPr>
            <w:tcW w:w="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8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60" w:type="dxa"/>
            <w:vAlign w:val="bottom"/>
            <w:gridSpan w:val="2"/>
          </w:tcPr>
          <w:p>
            <w:pPr>
              <w:ind w:left="48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90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9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9,604</w:t>
            </w:r>
          </w:p>
        </w:tc>
        <w:tc>
          <w:tcPr>
            <w:tcW w:w="720" w:type="dxa"/>
            <w:vAlign w:val="bottom"/>
            <w:gridSpan w:val="2"/>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ind w:left="3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17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Grace Tang</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ind w:left="48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6,944</w:t>
            </w:r>
          </w:p>
        </w:tc>
        <w:tc>
          <w:tcPr>
            <w:tcW w:w="720" w:type="dxa"/>
            <w:vAlign w:val="bottom"/>
            <w:gridSpan w:val="2"/>
            <w:shd w:val="clear" w:color="auto" w:fill="CCEEFF"/>
          </w:tcPr>
          <w:p>
            <w:pPr>
              <w:ind w:left="3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bl>
    <w:p>
      <w:pPr>
        <w:spacing w:after="0" w:line="229" w:lineRule="exact"/>
        <w:rPr>
          <w:sz w:val="20"/>
          <w:szCs w:val="20"/>
          <w:color w:val="auto"/>
        </w:rPr>
      </w:pPr>
    </w:p>
    <w:p>
      <w:pPr>
        <w:ind w:left="424" w:right="400" w:hanging="424"/>
        <w:spacing w:after="0" w:line="274" w:lineRule="auto"/>
        <w:tabs>
          <w:tab w:leader="none" w:pos="424" w:val="left"/>
        </w:tabs>
        <w:numPr>
          <w:ilvl w:val="0"/>
          <w:numId w:val="142"/>
        </w:numPr>
        <w:rPr>
          <w:rFonts w:ascii="Arial" w:cs="Arial" w:eastAsia="Arial" w:hAnsi="Arial"/>
          <w:sz w:val="17"/>
          <w:szCs w:val="17"/>
          <w:color w:val="auto"/>
        </w:rPr>
      </w:pPr>
      <w:r>
        <w:rPr>
          <w:rFonts w:ascii="Arial" w:cs="Arial" w:eastAsia="Arial" w:hAnsi="Arial"/>
          <w:sz w:val="17"/>
          <w:szCs w:val="17"/>
          <w:color w:val="auto"/>
        </w:rPr>
        <w:t>Percentage ownership is based on 50,092,911 total shares outstanding as of March 31, 2021. There are 17,486,112 common shares issued and outstanding in a secondary, or dual, listing of our common shares on the JSE in South Africa under the symbol “TXT”.</w:t>
      </w:r>
    </w:p>
    <w:p>
      <w:pPr>
        <w:ind w:left="424" w:right="180" w:hanging="424"/>
        <w:spacing w:after="0" w:line="250" w:lineRule="auto"/>
        <w:tabs>
          <w:tab w:leader="none" w:pos="424" w:val="left"/>
        </w:tabs>
        <w:numPr>
          <w:ilvl w:val="0"/>
          <w:numId w:val="142"/>
        </w:numPr>
        <w:rPr>
          <w:rFonts w:ascii="Arial" w:cs="Arial" w:eastAsia="Arial" w:hAnsi="Arial"/>
          <w:sz w:val="18"/>
          <w:szCs w:val="18"/>
          <w:color w:val="auto"/>
        </w:rPr>
      </w:pPr>
      <w:r>
        <w:rPr>
          <w:rFonts w:ascii="Arial" w:cs="Arial" w:eastAsia="Arial" w:hAnsi="Arial"/>
          <w:sz w:val="18"/>
          <w:szCs w:val="18"/>
          <w:color w:val="auto"/>
        </w:rPr>
        <w:t>Based on the Schedule 13G filed with the SEC on February 10, 2021 by Coronation Asset Management (Pty) Ltd. (a South African company), it had sole voting and dispositive power over the 5,642,419 shares it beneficially owned as of December 31, 2020.</w:t>
      </w:r>
    </w:p>
    <w:p>
      <w:pPr>
        <w:ind w:left="424" w:right="200" w:hanging="424"/>
        <w:spacing w:after="0" w:line="250" w:lineRule="auto"/>
        <w:tabs>
          <w:tab w:leader="none" w:pos="424" w:val="left"/>
        </w:tabs>
        <w:numPr>
          <w:ilvl w:val="0"/>
          <w:numId w:val="142"/>
        </w:numPr>
        <w:rPr>
          <w:rFonts w:ascii="Arial" w:cs="Arial" w:eastAsia="Arial" w:hAnsi="Arial"/>
          <w:sz w:val="18"/>
          <w:szCs w:val="18"/>
          <w:color w:val="auto"/>
        </w:rPr>
      </w:pPr>
      <w:r>
        <w:rPr>
          <w:rFonts w:ascii="Arial" w:cs="Arial" w:eastAsia="Arial" w:hAnsi="Arial"/>
          <w:sz w:val="18"/>
          <w:szCs w:val="18"/>
          <w:color w:val="auto"/>
        </w:rPr>
        <w:t>Based on the Schedule 13G filed with the SEC on February 16, 2021 by Dimensional Fund Advisors LP (a Delaware limited partnership), it had sole voting power over 2,714,630 shares and sole power to direct the disposition of 2,898,338 shares it beneficially owned as of December 31, 2020.</w:t>
      </w:r>
    </w:p>
    <w:p>
      <w:pPr>
        <w:spacing w:after="0" w:line="1" w:lineRule="exact"/>
        <w:rPr>
          <w:rFonts w:ascii="Arial" w:cs="Arial" w:eastAsia="Arial" w:hAnsi="Arial"/>
          <w:sz w:val="18"/>
          <w:szCs w:val="18"/>
          <w:color w:val="auto"/>
        </w:rPr>
      </w:pPr>
    </w:p>
    <w:p>
      <w:pPr>
        <w:ind w:left="424" w:right="80" w:hanging="424"/>
        <w:spacing w:after="0" w:line="250" w:lineRule="auto"/>
        <w:tabs>
          <w:tab w:leader="none" w:pos="424" w:val="left"/>
        </w:tabs>
        <w:numPr>
          <w:ilvl w:val="0"/>
          <w:numId w:val="142"/>
        </w:numPr>
        <w:rPr>
          <w:rFonts w:ascii="Arial" w:cs="Arial" w:eastAsia="Arial" w:hAnsi="Arial"/>
          <w:sz w:val="18"/>
          <w:szCs w:val="18"/>
          <w:color w:val="auto"/>
        </w:rPr>
      </w:pPr>
      <w:r>
        <w:rPr>
          <w:rFonts w:ascii="Arial" w:cs="Arial" w:eastAsia="Arial" w:hAnsi="Arial"/>
          <w:sz w:val="18"/>
          <w:szCs w:val="18"/>
          <w:color w:val="auto"/>
        </w:rPr>
        <w:t>Based on the Schedule 13G filed with the SEC on February 11, 2021 by Massachusetts Financial Services Company (a Delaware company) it had sole voting and dispositive power over the 2,719,033 shares it beneficially owned as of December 31, 2020.</w:t>
      </w:r>
    </w:p>
    <w:p>
      <w:pPr>
        <w:ind w:left="424" w:right="180" w:hanging="424"/>
        <w:spacing w:after="0" w:line="281" w:lineRule="auto"/>
        <w:tabs>
          <w:tab w:leader="none" w:pos="424" w:val="left"/>
        </w:tabs>
        <w:numPr>
          <w:ilvl w:val="0"/>
          <w:numId w:val="142"/>
        </w:numPr>
        <w:rPr>
          <w:rFonts w:ascii="Arial" w:cs="Arial" w:eastAsia="Arial" w:hAnsi="Arial"/>
          <w:sz w:val="16"/>
          <w:szCs w:val="16"/>
          <w:color w:val="auto"/>
        </w:rPr>
      </w:pPr>
      <w:r>
        <w:rPr>
          <w:rFonts w:ascii="Arial" w:cs="Arial" w:eastAsia="Arial" w:hAnsi="Arial"/>
          <w:sz w:val="16"/>
          <w:szCs w:val="16"/>
          <w:color w:val="auto"/>
        </w:rPr>
        <w:t>Based on the Schedule 13G filed with the SEC on February 12, 2021 by Mr. Isam K. Kabbani, he had sole voting and dispositive power over the 2,579,230 shares held by Delmas Invest Holdings S.A (a Saudi Arabia company) over which Mr. Kabbani has beneficial ownership.</w:t>
      </w:r>
    </w:p>
    <w:p>
      <w:pPr>
        <w:spacing w:after="0" w:line="1" w:lineRule="exact"/>
        <w:rPr>
          <w:rFonts w:ascii="Arial" w:cs="Arial" w:eastAsia="Arial" w:hAnsi="Arial"/>
          <w:sz w:val="16"/>
          <w:szCs w:val="16"/>
          <w:color w:val="auto"/>
        </w:rPr>
      </w:pPr>
    </w:p>
    <w:p>
      <w:pPr>
        <w:ind w:left="424" w:hanging="424"/>
        <w:spacing w:after="0"/>
        <w:tabs>
          <w:tab w:leader="none" w:pos="424" w:val="left"/>
        </w:tabs>
        <w:numPr>
          <w:ilvl w:val="0"/>
          <w:numId w:val="142"/>
        </w:numPr>
        <w:rPr>
          <w:rFonts w:ascii="Arial" w:cs="Arial" w:eastAsia="Arial" w:hAnsi="Arial"/>
          <w:sz w:val="17"/>
          <w:szCs w:val="17"/>
          <w:color w:val="auto"/>
        </w:rPr>
      </w:pPr>
      <w:r>
        <w:rPr>
          <w:rFonts w:ascii="Arial" w:cs="Arial" w:eastAsia="Arial" w:hAnsi="Arial"/>
          <w:sz w:val="17"/>
          <w:szCs w:val="17"/>
          <w:color w:val="auto"/>
        </w:rPr>
        <w:t>Includes 1,205,100 shares held by the Maccarone Family Partnership L.P. and 341,969 shares held by the Maccarone Revocable Trust.</w:t>
      </w:r>
    </w:p>
    <w:p>
      <w:pPr>
        <w:spacing w:after="0" w:line="20" w:lineRule="exact"/>
        <w:rPr>
          <w:rFonts w:ascii="Arial" w:cs="Arial" w:eastAsia="Arial" w:hAnsi="Arial"/>
          <w:sz w:val="17"/>
          <w:szCs w:val="17"/>
          <w:color w:val="auto"/>
        </w:rPr>
      </w:pPr>
    </w:p>
    <w:p>
      <w:pPr>
        <w:ind w:left="424" w:hanging="424"/>
        <w:spacing w:after="0"/>
        <w:tabs>
          <w:tab w:leader="none" w:pos="424" w:val="left"/>
        </w:tabs>
        <w:numPr>
          <w:ilvl w:val="0"/>
          <w:numId w:val="142"/>
        </w:numPr>
        <w:rPr>
          <w:rFonts w:ascii="Arial" w:cs="Arial" w:eastAsia="Arial" w:hAnsi="Arial"/>
          <w:sz w:val="17"/>
          <w:szCs w:val="17"/>
          <w:color w:val="auto"/>
        </w:rPr>
      </w:pPr>
      <w:r>
        <w:rPr>
          <w:rFonts w:ascii="Arial" w:cs="Arial" w:eastAsia="Arial" w:hAnsi="Arial"/>
          <w:sz w:val="17"/>
          <w:szCs w:val="17"/>
          <w:color w:val="auto"/>
        </w:rPr>
        <w:t>Includes 32,641 shares held by Caribbean Dream Limited, a company owned by a trust in which Mr. Cottingham is the principal beneficiary.</w:t>
      </w:r>
    </w:p>
    <w:p>
      <w:pPr>
        <w:spacing w:after="0" w:line="20" w:lineRule="exact"/>
        <w:rPr>
          <w:rFonts w:ascii="Arial" w:cs="Arial" w:eastAsia="Arial" w:hAnsi="Arial"/>
          <w:sz w:val="17"/>
          <w:szCs w:val="17"/>
          <w:color w:val="auto"/>
        </w:rPr>
      </w:pPr>
    </w:p>
    <w:p>
      <w:pPr>
        <w:ind w:left="424" w:right="500" w:hanging="424"/>
        <w:spacing w:after="0" w:line="277" w:lineRule="auto"/>
        <w:tabs>
          <w:tab w:leader="none" w:pos="424" w:val="left"/>
        </w:tabs>
        <w:numPr>
          <w:ilvl w:val="0"/>
          <w:numId w:val="142"/>
        </w:numPr>
        <w:rPr>
          <w:rFonts w:ascii="Arial" w:cs="Arial" w:eastAsia="Arial" w:hAnsi="Arial"/>
          <w:sz w:val="17"/>
          <w:szCs w:val="17"/>
          <w:color w:val="auto"/>
        </w:rPr>
      </w:pPr>
      <w:r>
        <w:rPr>
          <w:rFonts w:ascii="Arial" w:cs="Arial" w:eastAsia="Arial" w:hAnsi="Arial"/>
          <w:sz w:val="17"/>
          <w:szCs w:val="17"/>
          <w:color w:val="auto"/>
        </w:rPr>
        <w:t>Mr. Nurek and Mr. Van der Merwe are members of our board of directors and board of directors of Trencor Limited (“Trencor”). As of December 31, 2019, Trencor held 5.3% or 3.0 million of the Company’s common shares. In June 2020, Trencor distributed these 3.0 million shares in the Company to Trencor’s own shareholders and no longer owned any shares in the Company.</w:t>
      </w:r>
    </w:p>
    <w:p>
      <w:pPr>
        <w:spacing w:after="0" w:line="105"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024"/>
          </w:cols>
          <w:pgMar w:left="436" w:top="274" w:right="439" w:bottom="1440" w:gutter="0" w:footer="0" w:header="0"/>
        </w:sectPr>
      </w:pPr>
    </w:p>
    <w:bookmarkStart w:id="178" w:name="page179"/>
    <w:bookmarkEnd w:id="178"/>
    <w:p>
      <w:pPr>
        <w:ind w:left="424" w:hanging="424"/>
        <w:spacing w:after="0" w:line="311" w:lineRule="auto"/>
        <w:tabs>
          <w:tab w:leader="none" w:pos="424" w:val="left"/>
        </w:tabs>
        <w:numPr>
          <w:ilvl w:val="0"/>
          <w:numId w:val="143"/>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Robert Pedersen’s outstanding share options that were granted during 2011 to 2014 are comprised of 16,500 shares of $28.54 exercise price, 23,000 shares of $28.05 exercise price, 26,000 shares of $38.36 exercise price and 27,820 shares of $34.14 exercise price that were granted on 11/16/2011, 11/14/2012, 11/14/2013 and 11/19/2014, respectively. Expiration date is ten years from the respective grant date.</w:t>
      </w:r>
    </w:p>
    <w:p>
      <w:pPr>
        <w:spacing w:after="0" w:line="81" w:lineRule="exact"/>
        <w:rPr>
          <w:sz w:val="20"/>
          <w:szCs w:val="20"/>
          <w:color w:val="auto"/>
        </w:rPr>
      </w:pPr>
    </w:p>
    <w:p>
      <w:pPr>
        <w:jc w:val="center"/>
        <w:ind w:right="-343"/>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0684"/>
          </w:cols>
          <w:pgMar w:left="436" w:top="274" w:right="779" w:bottom="1440" w:gutter="0" w:footer="0" w:header="0"/>
        </w:sectPr>
      </w:pPr>
    </w:p>
    <w:bookmarkStart w:id="179" w:name="page180"/>
    <w:bookmarkEnd w:id="179"/>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7174865" cy="38735"/>
                    </a:xfrm>
                    <a:prstGeom prst="rect">
                      <a:avLst/>
                    </a:prstGeom>
                    <a:noFill/>
                  </pic:spPr>
                </pic:pic>
              </a:graphicData>
            </a:graphic>
          </wp:anchor>
        </w:drawing>
        <w:t>PROPOSAL ONE</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APPROVAL OF THE ELECTION OF OUR CLASS II DIRECTORS</w:t>
      </w:r>
    </w:p>
    <w:p>
      <w:pPr>
        <w:spacing w:after="0" w:line="229" w:lineRule="exact"/>
        <w:rPr>
          <w:sz w:val="20"/>
          <w:szCs w:val="20"/>
          <w:color w:val="auto"/>
        </w:rPr>
      </w:pPr>
    </w:p>
    <w:p>
      <w:pPr>
        <w:ind w:right="100" w:firstLine="440"/>
        <w:spacing w:after="0" w:line="254" w:lineRule="auto"/>
        <w:rPr>
          <w:sz w:val="20"/>
          <w:szCs w:val="20"/>
          <w:color w:val="auto"/>
        </w:rPr>
      </w:pPr>
      <w:r>
        <w:rPr>
          <w:rFonts w:ascii="Arial" w:cs="Arial" w:eastAsia="Arial" w:hAnsi="Arial"/>
          <w:sz w:val="18"/>
          <w:szCs w:val="18"/>
          <w:color w:val="auto"/>
        </w:rPr>
        <w:t>At the 2021 Annual Meeting, Shareholders will be asked to approve the election of each of Messrs. Olivier Ghesquiere and James Earl and Ms. Cynthia Hostetler as Class II directors of the Company. In accordance with our bye-laws as currently in effect, our Board of Directors is elected annually on a staggered basis, with each director holding office until the annual general meeting for the year in which such director’s term expires, except in the event of his or her death, resignation, removal or earlier termination of office. Our bye-laws as currently in effect provide for a classified Board of Directors, divided into three classes, which are designated as Class I, Class II and Class III. At each such annual general meeting of shareholders, directors in the class whose term expires at that annual general meeting of shareholders are elected for three-year terms. Directors may be re-elected when their term of office expires.</w:t>
      </w:r>
    </w:p>
    <w:p>
      <w:pPr>
        <w:spacing w:after="0" w:line="195" w:lineRule="exact"/>
        <w:rPr>
          <w:sz w:val="20"/>
          <w:szCs w:val="20"/>
          <w:color w:val="auto"/>
        </w:rPr>
      </w:pPr>
    </w:p>
    <w:p>
      <w:pPr>
        <w:jc w:val="both"/>
        <w:ind w:right="20" w:firstLine="440"/>
        <w:spacing w:after="0" w:line="279" w:lineRule="auto"/>
        <w:rPr>
          <w:sz w:val="20"/>
          <w:szCs w:val="20"/>
          <w:color w:val="auto"/>
        </w:rPr>
      </w:pPr>
      <w:r>
        <w:rPr>
          <w:rFonts w:ascii="Arial" w:cs="Arial" w:eastAsia="Arial" w:hAnsi="Arial"/>
          <w:sz w:val="17"/>
          <w:szCs w:val="17"/>
          <w:color w:val="auto"/>
        </w:rPr>
        <w:t>Mr. David M. Nurek, Mr. Robert D. Pedersen and Ms. Grace Tang are currently designated Class III directors, each of whom holds office until our 2023 annual general meeting of shareholders. Messrs. Olivier Ghesquiere and Hennie van der Merwe are currently designated as Class II directors, each of whom holds office until the 2021 annual general meeting of shareholders. Messrs. John A. Maccarone, Dudley R. Cottingham and Hyman Shwiel are currently designated as Class I directors, each of whom holds office until our 2022 Annual Meeting.</w:t>
      </w:r>
    </w:p>
    <w:p>
      <w:pPr>
        <w:spacing w:after="0" w:line="171" w:lineRule="exact"/>
        <w:rPr>
          <w:sz w:val="20"/>
          <w:szCs w:val="20"/>
          <w:color w:val="auto"/>
        </w:rPr>
      </w:pPr>
    </w:p>
    <w:p>
      <w:pPr>
        <w:ind w:firstLine="440"/>
        <w:spacing w:after="0" w:line="253" w:lineRule="auto"/>
        <w:rPr>
          <w:sz w:val="20"/>
          <w:szCs w:val="20"/>
          <w:color w:val="auto"/>
        </w:rPr>
      </w:pPr>
      <w:r>
        <w:rPr>
          <w:rFonts w:ascii="Arial" w:cs="Arial" w:eastAsia="Arial" w:hAnsi="Arial"/>
          <w:sz w:val="18"/>
          <w:szCs w:val="18"/>
          <w:color w:val="auto"/>
        </w:rPr>
        <w:t>The terms of the Class II directors are set to expire at the 2021 Annual Meeting. Mr. Hennie van der Merwe has determined to retire from the Board of Directors and is not standing for re-election at the expiration of his term in May 2021. Based upon the recommendation of the Corporate Governance and Nominating Committee of our Board of Directors, our Board of Directors has nominated Mr. Olivier Ghesquiere to stand for re-election and has determined to increase the size of the Board of Directors to nine members and has nominated Mr. James Earl and Ms. Cynthia Hostetler to fill the two vacancies on the Board of Directors, in each case, as a Class II director of the Company, at the 2021 Annual Meeting. Proposal One calls for a vote FOR the approval of the election of each of Messrs. Olivier Ghesquiere and James Earl and Ms. Cynthia Hostetler as a Class II director of the Company at the 2021 Annual Meeting. If elected at the 2021 Annual Meeting, each of Messrs. Olivier Ghesquiere and James Earl and Ms. Cynthia Hostetler will each serve for a three-year term expiring at our 2024 annual general meeting of shareholders, subject to his or her office being vacated earlier.</w:t>
      </w:r>
    </w:p>
    <w:p>
      <w:pPr>
        <w:spacing w:after="0" w:line="196" w:lineRule="exact"/>
        <w:rPr>
          <w:sz w:val="20"/>
          <w:szCs w:val="20"/>
          <w:color w:val="auto"/>
        </w:rPr>
      </w:pPr>
    </w:p>
    <w:p>
      <w:pPr>
        <w:ind w:right="340" w:firstLine="440"/>
        <w:spacing w:after="0" w:line="277" w:lineRule="auto"/>
        <w:rPr>
          <w:sz w:val="20"/>
          <w:szCs w:val="20"/>
          <w:color w:val="auto"/>
        </w:rPr>
      </w:pPr>
      <w:r>
        <w:rPr>
          <w:rFonts w:ascii="Arial" w:cs="Arial" w:eastAsia="Arial" w:hAnsi="Arial"/>
          <w:sz w:val="18"/>
          <w:szCs w:val="18"/>
          <w:color w:val="auto"/>
        </w:rPr>
        <w:t>Biographical information relating to the directors and director nominees under Proposal One is presented in this Proxy Statement below under “Directors and Senior Management—Directors.”</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Directors and Senior Management</w:t>
      </w:r>
    </w:p>
    <w:p>
      <w:pPr>
        <w:spacing w:after="0" w:line="121" w:lineRule="exact"/>
        <w:rPr>
          <w:sz w:val="20"/>
          <w:szCs w:val="20"/>
          <w:color w:val="auto"/>
        </w:rPr>
      </w:pPr>
    </w:p>
    <w:p>
      <w:pPr>
        <w:jc w:val="both"/>
        <w:ind w:right="400" w:firstLine="440"/>
        <w:spacing w:after="0" w:line="259" w:lineRule="auto"/>
        <w:rPr>
          <w:sz w:val="20"/>
          <w:szCs w:val="20"/>
          <w:color w:val="auto"/>
        </w:rPr>
      </w:pPr>
      <w:r>
        <w:rPr>
          <w:rFonts w:ascii="Arial" w:cs="Arial" w:eastAsia="Arial" w:hAnsi="Arial"/>
          <w:sz w:val="18"/>
          <w:szCs w:val="18"/>
          <w:color w:val="auto"/>
        </w:rPr>
        <w:t>The following table sets forth information regarding our executive officers, directors and director nominees as of April 1, 2021. The business address of each of our executive officers is c/o Textainer Equipment Management (U.S.) Limited, 650 California Street, 16th Floor, San Francisco, California 94108, United States. The business address for each of our non-management directors is Century House, 16 Par-la-Ville Road, Hamilton HM 08, Bermuda.</w:t>
      </w:r>
    </w:p>
    <w:p>
      <w:pPr>
        <w:spacing w:after="0" w:line="187" w:lineRule="exact"/>
        <w:rPr>
          <w:sz w:val="20"/>
          <w:szCs w:val="20"/>
          <w:color w:val="auto"/>
        </w:rPr>
      </w:pPr>
    </w:p>
    <w:p>
      <w:pPr>
        <w:ind w:firstLine="440"/>
        <w:spacing w:after="0" w:line="257" w:lineRule="auto"/>
        <w:rPr>
          <w:sz w:val="20"/>
          <w:szCs w:val="20"/>
          <w:color w:val="auto"/>
        </w:rPr>
      </w:pPr>
      <w:r>
        <w:rPr>
          <w:rFonts w:ascii="Arial" w:cs="Arial" w:eastAsia="Arial" w:hAnsi="Arial"/>
          <w:sz w:val="18"/>
          <w:szCs w:val="18"/>
          <w:color w:val="auto"/>
        </w:rPr>
        <w:t>In December 2019, we commenced a secondary, or dual, listing of our common shares on the JSE in Johannesburg, South Africa under the symbol “TXT”. Promptly following our dual listing, Trencor distributed approximately 24.3 million of its shares in the Company to Trencor’s own shareholders and those shares are trading on the JSE. In June 2020, Trencor distributed its remaining 3.0 million shares or approximately 5.3% of our outstanding share capital to Trencor’s own shareholders and these shares are trading on the JSE. Following the June 2020 distribution of shares, Trencor no longer holds any shares in the Company.</w:t>
      </w:r>
    </w:p>
    <w:p>
      <w:pPr>
        <w:spacing w:after="0" w:line="12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000"/>
          </w:cols>
          <w:pgMar w:left="440" w:top="270" w:right="459" w:bottom="1440" w:gutter="0" w:footer="0" w:header="0"/>
        </w:sectPr>
      </w:pPr>
    </w:p>
    <w:bookmarkStart w:id="180" w:name="page181"/>
    <w:bookmarkEnd w:id="180"/>
    <w:tbl>
      <w:tblPr>
        <w:tblLayout w:type="fixed"/>
        <w:tblInd w:w="1324" w:type="dxa"/>
        <w:tblCellMar>
          <w:top w:w="0" w:type="dxa"/>
          <w:left w:w="0" w:type="dxa"/>
          <w:bottom w:w="0" w:type="dxa"/>
          <w:right w:w="0" w:type="dxa"/>
        </w:tblCellMar>
      </w:tblPr>
      <w:tr>
        <w:trPr>
          <w:trHeight w:val="191"/>
        </w:trPr>
        <w:tc>
          <w:tcPr>
            <w:tcW w:w="202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w w:val="92"/>
              </w:rPr>
              <w:t>Executive Officers and Directors</w:t>
            </w:r>
          </w:p>
        </w:tc>
        <w:tc>
          <w:tcPr>
            <w:tcW w:w="1380" w:type="dxa"/>
            <w:vAlign w:val="bottom"/>
          </w:tcPr>
          <w:p>
            <w:pPr>
              <w:spacing w:after="0"/>
              <w:rPr>
                <w:sz w:val="16"/>
                <w:szCs w:val="16"/>
                <w:color w:val="auto"/>
              </w:rPr>
            </w:pPr>
          </w:p>
        </w:tc>
        <w:tc>
          <w:tcPr>
            <w:tcW w:w="48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90"/>
              </w:rPr>
              <w:t>Age</w:t>
            </w:r>
          </w:p>
        </w:tc>
        <w:tc>
          <w:tcPr>
            <w:tcW w:w="4480" w:type="dxa"/>
            <w:vAlign w:val="bottom"/>
          </w:tcPr>
          <w:p>
            <w:pPr>
              <w:ind w:left="2000"/>
              <w:spacing w:after="0"/>
              <w:rPr>
                <w:sz w:val="20"/>
                <w:szCs w:val="20"/>
                <w:color w:val="auto"/>
              </w:rPr>
            </w:pPr>
            <w:r>
              <w:rPr>
                <w:rFonts w:ascii="Arial" w:cs="Arial" w:eastAsia="Arial" w:hAnsi="Arial"/>
                <w:sz w:val="14"/>
                <w:szCs w:val="14"/>
                <w:b w:val="1"/>
                <w:bCs w:val="1"/>
                <w:color w:val="auto"/>
              </w:rPr>
              <w:t>Position</w:t>
            </w:r>
          </w:p>
        </w:tc>
      </w:tr>
      <w:tr>
        <w:trPr>
          <w:trHeight w:val="203"/>
        </w:trPr>
        <w:tc>
          <w:tcPr>
            <w:tcW w:w="340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Hyman Shwiel (1)(2)(3)</w:t>
            </w:r>
          </w:p>
        </w:tc>
        <w:tc>
          <w:tcPr>
            <w:tcW w:w="240" w:type="dxa"/>
            <w:vAlign w:val="bottom"/>
            <w:tcBorders>
              <w:top w:val="single" w:sz="8" w:color="auto"/>
            </w:tcBorders>
            <w:shd w:val="clear" w:color="auto" w:fill="CCEEFF"/>
          </w:tcPr>
          <w:p>
            <w:pPr>
              <w:jc w:val="center"/>
              <w:spacing w:after="0" w:line="203" w:lineRule="exact"/>
              <w:rPr>
                <w:sz w:val="20"/>
                <w:szCs w:val="20"/>
                <w:color w:val="auto"/>
              </w:rPr>
            </w:pPr>
            <w:r>
              <w:rPr>
                <w:rFonts w:ascii="Arial" w:cs="Arial" w:eastAsia="Arial" w:hAnsi="Arial"/>
                <w:sz w:val="18"/>
                <w:szCs w:val="18"/>
                <w:color w:val="auto"/>
                <w:w w:val="89"/>
              </w:rPr>
              <w:t>76</w:t>
            </w:r>
          </w:p>
        </w:tc>
        <w:tc>
          <w:tcPr>
            <w:tcW w:w="240" w:type="dxa"/>
            <w:vAlign w:val="bottom"/>
            <w:tcBorders>
              <w:top w:val="single" w:sz="8" w:color="CCEEFF"/>
            </w:tcBorders>
            <w:shd w:val="clear" w:color="auto" w:fill="CCEEFF"/>
          </w:tcPr>
          <w:p>
            <w:pPr>
              <w:spacing w:after="0"/>
              <w:rPr>
                <w:sz w:val="17"/>
                <w:szCs w:val="17"/>
                <w:color w:val="auto"/>
              </w:rPr>
            </w:pPr>
          </w:p>
        </w:tc>
        <w:tc>
          <w:tcPr>
            <w:tcW w:w="4480" w:type="dxa"/>
            <w:vAlign w:val="bottom"/>
            <w:tcBorders>
              <w:top w:val="single" w:sz="8" w:color="auto"/>
            </w:tcBorders>
            <w:shd w:val="clear" w:color="auto" w:fill="CCEEFF"/>
          </w:tcPr>
          <w:p>
            <w:pPr>
              <w:spacing w:after="0" w:line="203" w:lineRule="exact"/>
              <w:rPr>
                <w:sz w:val="20"/>
                <w:szCs w:val="20"/>
                <w:color w:val="auto"/>
              </w:rPr>
            </w:pPr>
            <w:r>
              <w:rPr>
                <w:rFonts w:ascii="Arial" w:cs="Arial" w:eastAsia="Arial" w:hAnsi="Arial"/>
                <w:sz w:val="18"/>
                <w:szCs w:val="18"/>
                <w:color w:val="auto"/>
              </w:rPr>
              <w:t>Chairman</w:t>
            </w:r>
          </w:p>
        </w:tc>
      </w:tr>
      <w:tr>
        <w:trPr>
          <w:trHeight w:val="216"/>
        </w:trPr>
        <w:tc>
          <w:tcPr>
            <w:tcW w:w="3400" w:type="dxa"/>
            <w:vAlign w:val="bottom"/>
            <w:gridSpan w:val="2"/>
          </w:tcPr>
          <w:p>
            <w:pPr>
              <w:spacing w:after="0"/>
              <w:rPr>
                <w:sz w:val="20"/>
                <w:szCs w:val="20"/>
                <w:color w:val="auto"/>
              </w:rPr>
            </w:pPr>
            <w:r>
              <w:rPr>
                <w:rFonts w:ascii="Arial" w:cs="Arial" w:eastAsia="Arial" w:hAnsi="Arial"/>
                <w:sz w:val="18"/>
                <w:szCs w:val="18"/>
                <w:color w:val="auto"/>
              </w:rPr>
              <w:t>Olivier Ghesquiere</w:t>
            </w:r>
          </w:p>
        </w:tc>
        <w:tc>
          <w:tcPr>
            <w:tcW w:w="240" w:type="dxa"/>
            <w:vAlign w:val="bottom"/>
          </w:tcPr>
          <w:p>
            <w:pPr>
              <w:jc w:val="center"/>
              <w:spacing w:after="0"/>
              <w:rPr>
                <w:sz w:val="20"/>
                <w:szCs w:val="20"/>
                <w:color w:val="auto"/>
              </w:rPr>
            </w:pPr>
            <w:r>
              <w:rPr>
                <w:rFonts w:ascii="Arial" w:cs="Arial" w:eastAsia="Arial" w:hAnsi="Arial"/>
                <w:sz w:val="18"/>
                <w:szCs w:val="18"/>
                <w:color w:val="auto"/>
                <w:w w:val="89"/>
              </w:rPr>
              <w:t>54</w:t>
            </w:r>
          </w:p>
        </w:tc>
        <w:tc>
          <w:tcPr>
            <w:tcW w:w="240" w:type="dxa"/>
            <w:vAlign w:val="bottom"/>
          </w:tcPr>
          <w:p>
            <w:pPr>
              <w:spacing w:after="0"/>
              <w:rPr>
                <w:sz w:val="18"/>
                <w:szCs w:val="18"/>
                <w:color w:val="auto"/>
              </w:rPr>
            </w:pPr>
          </w:p>
        </w:tc>
        <w:tc>
          <w:tcPr>
            <w:tcW w:w="4480" w:type="dxa"/>
            <w:vAlign w:val="bottom"/>
          </w:tcPr>
          <w:p>
            <w:pPr>
              <w:spacing w:after="0"/>
              <w:rPr>
                <w:sz w:val="20"/>
                <w:szCs w:val="20"/>
                <w:color w:val="auto"/>
              </w:rPr>
            </w:pPr>
            <w:r>
              <w:rPr>
                <w:rFonts w:ascii="Arial" w:cs="Arial" w:eastAsia="Arial" w:hAnsi="Arial"/>
                <w:sz w:val="18"/>
                <w:szCs w:val="18"/>
                <w:color w:val="auto"/>
              </w:rPr>
              <w:t>Director, President and Chief Executive Officer</w:t>
            </w:r>
          </w:p>
        </w:tc>
      </w:tr>
      <w:tr>
        <w:trPr>
          <w:trHeight w:val="216"/>
        </w:trPr>
        <w:tc>
          <w:tcPr>
            <w:tcW w:w="34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Dudley R. Cottingham (1)(2)(3)</w:t>
            </w:r>
          </w:p>
        </w:tc>
        <w:tc>
          <w:tcPr>
            <w:tcW w:w="2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69</w:t>
            </w:r>
          </w:p>
        </w:tc>
        <w:tc>
          <w:tcPr>
            <w:tcW w:w="240" w:type="dxa"/>
            <w:vAlign w:val="bottom"/>
            <w:shd w:val="clear" w:color="auto" w:fill="CCEEFF"/>
          </w:tcPr>
          <w:p>
            <w:pPr>
              <w:spacing w:after="0"/>
              <w:rPr>
                <w:sz w:val="18"/>
                <w:szCs w:val="18"/>
                <w:color w:val="auto"/>
              </w:rPr>
            </w:pPr>
          </w:p>
        </w:tc>
        <w:tc>
          <w:tcPr>
            <w:tcW w:w="4480" w:type="dxa"/>
            <w:vAlign w:val="bottom"/>
            <w:shd w:val="clear" w:color="auto" w:fill="CCEEFF"/>
          </w:tcPr>
          <w:p>
            <w:pPr>
              <w:spacing w:after="0"/>
              <w:rPr>
                <w:sz w:val="20"/>
                <w:szCs w:val="20"/>
                <w:color w:val="auto"/>
              </w:rPr>
            </w:pPr>
            <w:r>
              <w:rPr>
                <w:rFonts w:ascii="Arial" w:cs="Arial" w:eastAsia="Arial" w:hAnsi="Arial"/>
                <w:sz w:val="18"/>
                <w:szCs w:val="18"/>
                <w:color w:val="auto"/>
              </w:rPr>
              <w:t>Director</w:t>
            </w:r>
          </w:p>
        </w:tc>
      </w:tr>
      <w:tr>
        <w:trPr>
          <w:trHeight w:val="216"/>
        </w:trPr>
        <w:tc>
          <w:tcPr>
            <w:tcW w:w="3400" w:type="dxa"/>
            <w:vAlign w:val="bottom"/>
            <w:gridSpan w:val="2"/>
          </w:tcPr>
          <w:p>
            <w:pPr>
              <w:spacing w:after="0"/>
              <w:rPr>
                <w:sz w:val="20"/>
                <w:szCs w:val="20"/>
                <w:color w:val="auto"/>
              </w:rPr>
            </w:pPr>
            <w:r>
              <w:rPr>
                <w:rFonts w:ascii="Arial" w:cs="Arial" w:eastAsia="Arial" w:hAnsi="Arial"/>
                <w:sz w:val="18"/>
                <w:szCs w:val="18"/>
                <w:color w:val="auto"/>
              </w:rPr>
              <w:t>John A. Maccarone (2)(3)</w:t>
            </w:r>
          </w:p>
        </w:tc>
        <w:tc>
          <w:tcPr>
            <w:tcW w:w="240" w:type="dxa"/>
            <w:vAlign w:val="bottom"/>
          </w:tcPr>
          <w:p>
            <w:pPr>
              <w:jc w:val="center"/>
              <w:spacing w:after="0"/>
              <w:rPr>
                <w:sz w:val="20"/>
                <w:szCs w:val="20"/>
                <w:color w:val="auto"/>
              </w:rPr>
            </w:pPr>
            <w:r>
              <w:rPr>
                <w:rFonts w:ascii="Arial" w:cs="Arial" w:eastAsia="Arial" w:hAnsi="Arial"/>
                <w:sz w:val="18"/>
                <w:szCs w:val="18"/>
                <w:color w:val="auto"/>
                <w:w w:val="89"/>
              </w:rPr>
              <w:t>76</w:t>
            </w:r>
          </w:p>
        </w:tc>
        <w:tc>
          <w:tcPr>
            <w:tcW w:w="240" w:type="dxa"/>
            <w:vAlign w:val="bottom"/>
          </w:tcPr>
          <w:p>
            <w:pPr>
              <w:spacing w:after="0"/>
              <w:rPr>
                <w:sz w:val="18"/>
                <w:szCs w:val="18"/>
                <w:color w:val="auto"/>
              </w:rPr>
            </w:pPr>
          </w:p>
        </w:tc>
        <w:tc>
          <w:tcPr>
            <w:tcW w:w="4480" w:type="dxa"/>
            <w:vAlign w:val="bottom"/>
          </w:tcPr>
          <w:p>
            <w:pPr>
              <w:spacing w:after="0"/>
              <w:rPr>
                <w:sz w:val="20"/>
                <w:szCs w:val="20"/>
                <w:color w:val="auto"/>
              </w:rPr>
            </w:pPr>
            <w:r>
              <w:rPr>
                <w:rFonts w:ascii="Arial" w:cs="Arial" w:eastAsia="Arial" w:hAnsi="Arial"/>
                <w:sz w:val="18"/>
                <w:szCs w:val="18"/>
                <w:color w:val="auto"/>
              </w:rPr>
              <w:t>Director</w:t>
            </w:r>
          </w:p>
        </w:tc>
      </w:tr>
      <w:tr>
        <w:trPr>
          <w:trHeight w:val="216"/>
        </w:trPr>
        <w:tc>
          <w:tcPr>
            <w:tcW w:w="34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David M. Nurek (1)(2)(3)(4)</w:t>
            </w:r>
          </w:p>
        </w:tc>
        <w:tc>
          <w:tcPr>
            <w:tcW w:w="2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71</w:t>
            </w:r>
          </w:p>
        </w:tc>
        <w:tc>
          <w:tcPr>
            <w:tcW w:w="240" w:type="dxa"/>
            <w:vAlign w:val="bottom"/>
            <w:shd w:val="clear" w:color="auto" w:fill="CCEEFF"/>
          </w:tcPr>
          <w:p>
            <w:pPr>
              <w:spacing w:after="0"/>
              <w:rPr>
                <w:sz w:val="18"/>
                <w:szCs w:val="18"/>
                <w:color w:val="auto"/>
              </w:rPr>
            </w:pPr>
          </w:p>
        </w:tc>
        <w:tc>
          <w:tcPr>
            <w:tcW w:w="4480" w:type="dxa"/>
            <w:vAlign w:val="bottom"/>
            <w:shd w:val="clear" w:color="auto" w:fill="CCEEFF"/>
          </w:tcPr>
          <w:p>
            <w:pPr>
              <w:spacing w:after="0"/>
              <w:rPr>
                <w:sz w:val="20"/>
                <w:szCs w:val="20"/>
                <w:color w:val="auto"/>
              </w:rPr>
            </w:pPr>
            <w:r>
              <w:rPr>
                <w:rFonts w:ascii="Arial" w:cs="Arial" w:eastAsia="Arial" w:hAnsi="Arial"/>
                <w:sz w:val="18"/>
                <w:szCs w:val="18"/>
                <w:color w:val="auto"/>
              </w:rPr>
              <w:t>Director</w:t>
            </w:r>
          </w:p>
        </w:tc>
      </w:tr>
      <w:tr>
        <w:trPr>
          <w:trHeight w:val="216"/>
        </w:trPr>
        <w:tc>
          <w:tcPr>
            <w:tcW w:w="3400" w:type="dxa"/>
            <w:vAlign w:val="bottom"/>
            <w:gridSpan w:val="2"/>
          </w:tcPr>
          <w:p>
            <w:pPr>
              <w:spacing w:after="0"/>
              <w:rPr>
                <w:sz w:val="20"/>
                <w:szCs w:val="20"/>
                <w:color w:val="auto"/>
              </w:rPr>
            </w:pPr>
            <w:r>
              <w:rPr>
                <w:rFonts w:ascii="Arial" w:cs="Arial" w:eastAsia="Arial" w:hAnsi="Arial"/>
                <w:sz w:val="18"/>
                <w:szCs w:val="18"/>
                <w:color w:val="auto"/>
              </w:rPr>
              <w:t>Hennie Van der Merwe (5)</w:t>
            </w:r>
          </w:p>
        </w:tc>
        <w:tc>
          <w:tcPr>
            <w:tcW w:w="240" w:type="dxa"/>
            <w:vAlign w:val="bottom"/>
          </w:tcPr>
          <w:p>
            <w:pPr>
              <w:jc w:val="center"/>
              <w:spacing w:after="0"/>
              <w:rPr>
                <w:sz w:val="20"/>
                <w:szCs w:val="20"/>
                <w:color w:val="auto"/>
              </w:rPr>
            </w:pPr>
            <w:r>
              <w:rPr>
                <w:rFonts w:ascii="Arial" w:cs="Arial" w:eastAsia="Arial" w:hAnsi="Arial"/>
                <w:sz w:val="18"/>
                <w:szCs w:val="18"/>
                <w:color w:val="auto"/>
                <w:w w:val="89"/>
              </w:rPr>
              <w:t>73</w:t>
            </w:r>
          </w:p>
        </w:tc>
        <w:tc>
          <w:tcPr>
            <w:tcW w:w="240" w:type="dxa"/>
            <w:vAlign w:val="bottom"/>
          </w:tcPr>
          <w:p>
            <w:pPr>
              <w:spacing w:after="0"/>
              <w:rPr>
                <w:sz w:val="18"/>
                <w:szCs w:val="18"/>
                <w:color w:val="auto"/>
              </w:rPr>
            </w:pPr>
          </w:p>
        </w:tc>
        <w:tc>
          <w:tcPr>
            <w:tcW w:w="4480" w:type="dxa"/>
            <w:vAlign w:val="bottom"/>
          </w:tcPr>
          <w:p>
            <w:pPr>
              <w:spacing w:after="0"/>
              <w:rPr>
                <w:sz w:val="20"/>
                <w:szCs w:val="20"/>
                <w:color w:val="auto"/>
              </w:rPr>
            </w:pPr>
            <w:r>
              <w:rPr>
                <w:rFonts w:ascii="Arial" w:cs="Arial" w:eastAsia="Arial" w:hAnsi="Arial"/>
                <w:sz w:val="18"/>
                <w:szCs w:val="18"/>
                <w:color w:val="auto"/>
              </w:rPr>
              <w:t>Director</w:t>
            </w:r>
          </w:p>
        </w:tc>
      </w:tr>
      <w:tr>
        <w:trPr>
          <w:trHeight w:val="216"/>
        </w:trPr>
        <w:tc>
          <w:tcPr>
            <w:tcW w:w="34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Robert D. Pedersen</w:t>
            </w:r>
          </w:p>
        </w:tc>
        <w:tc>
          <w:tcPr>
            <w:tcW w:w="2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61</w:t>
            </w:r>
          </w:p>
        </w:tc>
        <w:tc>
          <w:tcPr>
            <w:tcW w:w="240" w:type="dxa"/>
            <w:vAlign w:val="bottom"/>
            <w:shd w:val="clear" w:color="auto" w:fill="CCEEFF"/>
          </w:tcPr>
          <w:p>
            <w:pPr>
              <w:spacing w:after="0"/>
              <w:rPr>
                <w:sz w:val="18"/>
                <w:szCs w:val="18"/>
                <w:color w:val="auto"/>
              </w:rPr>
            </w:pPr>
          </w:p>
        </w:tc>
        <w:tc>
          <w:tcPr>
            <w:tcW w:w="4480" w:type="dxa"/>
            <w:vAlign w:val="bottom"/>
            <w:shd w:val="clear" w:color="auto" w:fill="CCEEFF"/>
          </w:tcPr>
          <w:p>
            <w:pPr>
              <w:spacing w:after="0"/>
              <w:rPr>
                <w:sz w:val="20"/>
                <w:szCs w:val="20"/>
                <w:color w:val="auto"/>
              </w:rPr>
            </w:pPr>
            <w:r>
              <w:rPr>
                <w:rFonts w:ascii="Arial" w:cs="Arial" w:eastAsia="Arial" w:hAnsi="Arial"/>
                <w:sz w:val="18"/>
                <w:szCs w:val="18"/>
                <w:color w:val="auto"/>
              </w:rPr>
              <w:t>Director</w:t>
            </w:r>
          </w:p>
        </w:tc>
      </w:tr>
      <w:tr>
        <w:trPr>
          <w:trHeight w:val="216"/>
        </w:trPr>
        <w:tc>
          <w:tcPr>
            <w:tcW w:w="3400" w:type="dxa"/>
            <w:vAlign w:val="bottom"/>
            <w:gridSpan w:val="2"/>
          </w:tcPr>
          <w:p>
            <w:pPr>
              <w:spacing w:after="0"/>
              <w:rPr>
                <w:sz w:val="20"/>
                <w:szCs w:val="20"/>
                <w:color w:val="auto"/>
              </w:rPr>
            </w:pPr>
            <w:r>
              <w:rPr>
                <w:rFonts w:ascii="Arial" w:cs="Arial" w:eastAsia="Arial" w:hAnsi="Arial"/>
                <w:sz w:val="18"/>
                <w:szCs w:val="18"/>
                <w:color w:val="auto"/>
              </w:rPr>
              <w:t>Grace Tang (1)</w:t>
            </w:r>
          </w:p>
        </w:tc>
        <w:tc>
          <w:tcPr>
            <w:tcW w:w="240" w:type="dxa"/>
            <w:vAlign w:val="bottom"/>
          </w:tcPr>
          <w:p>
            <w:pPr>
              <w:jc w:val="center"/>
              <w:spacing w:after="0"/>
              <w:rPr>
                <w:sz w:val="20"/>
                <w:szCs w:val="20"/>
                <w:color w:val="auto"/>
              </w:rPr>
            </w:pPr>
            <w:r>
              <w:rPr>
                <w:rFonts w:ascii="Arial" w:cs="Arial" w:eastAsia="Arial" w:hAnsi="Arial"/>
                <w:sz w:val="18"/>
                <w:szCs w:val="18"/>
                <w:color w:val="auto"/>
                <w:w w:val="89"/>
              </w:rPr>
              <w:t>61</w:t>
            </w:r>
          </w:p>
        </w:tc>
        <w:tc>
          <w:tcPr>
            <w:tcW w:w="240" w:type="dxa"/>
            <w:vAlign w:val="bottom"/>
          </w:tcPr>
          <w:p>
            <w:pPr>
              <w:spacing w:after="0"/>
              <w:rPr>
                <w:sz w:val="18"/>
                <w:szCs w:val="18"/>
                <w:color w:val="auto"/>
              </w:rPr>
            </w:pPr>
          </w:p>
        </w:tc>
        <w:tc>
          <w:tcPr>
            <w:tcW w:w="4480" w:type="dxa"/>
            <w:vAlign w:val="bottom"/>
          </w:tcPr>
          <w:p>
            <w:pPr>
              <w:spacing w:after="0"/>
              <w:rPr>
                <w:sz w:val="20"/>
                <w:szCs w:val="20"/>
                <w:color w:val="auto"/>
              </w:rPr>
            </w:pPr>
            <w:r>
              <w:rPr>
                <w:rFonts w:ascii="Arial" w:cs="Arial" w:eastAsia="Arial" w:hAnsi="Arial"/>
                <w:sz w:val="18"/>
                <w:szCs w:val="18"/>
                <w:color w:val="auto"/>
              </w:rPr>
              <w:t>Director</w:t>
            </w:r>
          </w:p>
        </w:tc>
      </w:tr>
      <w:tr>
        <w:trPr>
          <w:trHeight w:val="216"/>
        </w:trPr>
        <w:tc>
          <w:tcPr>
            <w:tcW w:w="34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James Earl</w:t>
            </w:r>
          </w:p>
        </w:tc>
        <w:tc>
          <w:tcPr>
            <w:tcW w:w="2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64</w:t>
            </w:r>
          </w:p>
        </w:tc>
        <w:tc>
          <w:tcPr>
            <w:tcW w:w="240" w:type="dxa"/>
            <w:vAlign w:val="bottom"/>
            <w:shd w:val="clear" w:color="auto" w:fill="CCEEFF"/>
          </w:tcPr>
          <w:p>
            <w:pPr>
              <w:spacing w:after="0"/>
              <w:rPr>
                <w:sz w:val="18"/>
                <w:szCs w:val="18"/>
                <w:color w:val="auto"/>
              </w:rPr>
            </w:pPr>
          </w:p>
        </w:tc>
        <w:tc>
          <w:tcPr>
            <w:tcW w:w="4480" w:type="dxa"/>
            <w:vAlign w:val="bottom"/>
            <w:shd w:val="clear" w:color="auto" w:fill="CCEEFF"/>
          </w:tcPr>
          <w:p>
            <w:pPr>
              <w:spacing w:after="0"/>
              <w:rPr>
                <w:sz w:val="20"/>
                <w:szCs w:val="20"/>
                <w:color w:val="auto"/>
              </w:rPr>
            </w:pPr>
            <w:r>
              <w:rPr>
                <w:rFonts w:ascii="Arial" w:cs="Arial" w:eastAsia="Arial" w:hAnsi="Arial"/>
                <w:sz w:val="18"/>
                <w:szCs w:val="18"/>
                <w:color w:val="auto"/>
              </w:rPr>
              <w:t>Director Nominee</w:t>
            </w:r>
          </w:p>
        </w:tc>
      </w:tr>
      <w:tr>
        <w:trPr>
          <w:trHeight w:val="216"/>
        </w:trPr>
        <w:tc>
          <w:tcPr>
            <w:tcW w:w="3400" w:type="dxa"/>
            <w:vAlign w:val="bottom"/>
            <w:gridSpan w:val="2"/>
          </w:tcPr>
          <w:p>
            <w:pPr>
              <w:spacing w:after="0"/>
              <w:rPr>
                <w:sz w:val="20"/>
                <w:szCs w:val="20"/>
                <w:color w:val="auto"/>
              </w:rPr>
            </w:pPr>
            <w:r>
              <w:rPr>
                <w:rFonts w:ascii="Arial" w:cs="Arial" w:eastAsia="Arial" w:hAnsi="Arial"/>
                <w:sz w:val="18"/>
                <w:szCs w:val="18"/>
                <w:color w:val="auto"/>
              </w:rPr>
              <w:t>Cynthia Hostetler</w:t>
            </w:r>
          </w:p>
        </w:tc>
        <w:tc>
          <w:tcPr>
            <w:tcW w:w="240" w:type="dxa"/>
            <w:vAlign w:val="bottom"/>
          </w:tcPr>
          <w:p>
            <w:pPr>
              <w:jc w:val="center"/>
              <w:spacing w:after="0"/>
              <w:rPr>
                <w:sz w:val="20"/>
                <w:szCs w:val="20"/>
                <w:color w:val="auto"/>
              </w:rPr>
            </w:pPr>
            <w:r>
              <w:rPr>
                <w:rFonts w:ascii="Arial" w:cs="Arial" w:eastAsia="Arial" w:hAnsi="Arial"/>
                <w:sz w:val="18"/>
                <w:szCs w:val="18"/>
                <w:color w:val="auto"/>
                <w:w w:val="89"/>
              </w:rPr>
              <w:t>58</w:t>
            </w:r>
          </w:p>
        </w:tc>
        <w:tc>
          <w:tcPr>
            <w:tcW w:w="240" w:type="dxa"/>
            <w:vAlign w:val="bottom"/>
          </w:tcPr>
          <w:p>
            <w:pPr>
              <w:spacing w:after="0"/>
              <w:rPr>
                <w:sz w:val="18"/>
                <w:szCs w:val="18"/>
                <w:color w:val="auto"/>
              </w:rPr>
            </w:pPr>
          </w:p>
        </w:tc>
        <w:tc>
          <w:tcPr>
            <w:tcW w:w="4480" w:type="dxa"/>
            <w:vAlign w:val="bottom"/>
          </w:tcPr>
          <w:p>
            <w:pPr>
              <w:spacing w:after="0"/>
              <w:rPr>
                <w:sz w:val="20"/>
                <w:szCs w:val="20"/>
                <w:color w:val="auto"/>
              </w:rPr>
            </w:pPr>
            <w:r>
              <w:rPr>
                <w:rFonts w:ascii="Arial" w:cs="Arial" w:eastAsia="Arial" w:hAnsi="Arial"/>
                <w:sz w:val="18"/>
                <w:szCs w:val="18"/>
                <w:color w:val="auto"/>
              </w:rPr>
              <w:t>Director Nominee</w:t>
            </w:r>
          </w:p>
        </w:tc>
      </w:tr>
      <w:tr>
        <w:trPr>
          <w:trHeight w:val="216"/>
        </w:trPr>
        <w:tc>
          <w:tcPr>
            <w:tcW w:w="34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Michael K. Chan</w:t>
            </w:r>
          </w:p>
        </w:tc>
        <w:tc>
          <w:tcPr>
            <w:tcW w:w="2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58</w:t>
            </w:r>
          </w:p>
        </w:tc>
        <w:tc>
          <w:tcPr>
            <w:tcW w:w="240" w:type="dxa"/>
            <w:vAlign w:val="bottom"/>
            <w:shd w:val="clear" w:color="auto" w:fill="CCEEFF"/>
          </w:tcPr>
          <w:p>
            <w:pPr>
              <w:spacing w:after="0"/>
              <w:rPr>
                <w:sz w:val="18"/>
                <w:szCs w:val="18"/>
                <w:color w:val="auto"/>
              </w:rPr>
            </w:pPr>
          </w:p>
        </w:tc>
        <w:tc>
          <w:tcPr>
            <w:tcW w:w="4480" w:type="dxa"/>
            <w:vAlign w:val="bottom"/>
            <w:shd w:val="clear" w:color="auto" w:fill="CCEEFF"/>
          </w:tcPr>
          <w:p>
            <w:pPr>
              <w:spacing w:after="0"/>
              <w:rPr>
                <w:sz w:val="20"/>
                <w:szCs w:val="20"/>
                <w:color w:val="auto"/>
              </w:rPr>
            </w:pPr>
            <w:r>
              <w:rPr>
                <w:rFonts w:ascii="Arial" w:cs="Arial" w:eastAsia="Arial" w:hAnsi="Arial"/>
                <w:sz w:val="18"/>
                <w:szCs w:val="18"/>
                <w:color w:val="auto"/>
              </w:rPr>
              <w:t>Executive Vice President and Chief Financial Officer</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7174865" cy="38735"/>
                    </a:xfrm>
                    <a:prstGeom prst="rect">
                      <a:avLst/>
                    </a:prstGeom>
                    <a:noFill/>
                  </pic:spPr>
                </pic:pic>
              </a:graphicData>
            </a:graphic>
          </wp:anchor>
        </w:drawing>
        <w:drawing>
          <wp:anchor simplePos="0" relativeHeight="251657728" behindDoc="1" locked="0" layoutInCell="0" allowOverlap="1">
            <wp:simplePos x="0" y="0"/>
            <wp:positionH relativeFrom="column">
              <wp:posOffset>0</wp:posOffset>
            </wp:positionH>
            <wp:positionV relativeFrom="paragraph">
              <wp:posOffset>85725</wp:posOffset>
            </wp:positionV>
            <wp:extent cx="771525" cy="825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771525" cy="8255"/>
                    </a:xfrm>
                    <a:prstGeom prst="rect">
                      <a:avLst/>
                    </a:prstGeom>
                    <a:noFill/>
                  </pic:spPr>
                </pic:pic>
              </a:graphicData>
            </a:graphic>
          </wp:anchor>
        </w:drawing>
      </w:r>
    </w:p>
    <w:p>
      <w:pPr>
        <w:spacing w:after="0" w:line="155" w:lineRule="exact"/>
        <w:rPr>
          <w:sz w:val="20"/>
          <w:szCs w:val="20"/>
          <w:color w:val="auto"/>
        </w:rPr>
      </w:pPr>
    </w:p>
    <w:p>
      <w:pPr>
        <w:ind w:left="424" w:hanging="424"/>
        <w:spacing w:after="0"/>
        <w:tabs>
          <w:tab w:leader="none" w:pos="424" w:val="left"/>
        </w:tabs>
        <w:numPr>
          <w:ilvl w:val="0"/>
          <w:numId w:val="144"/>
        </w:numPr>
        <w:rPr>
          <w:rFonts w:ascii="Arial" w:cs="Arial" w:eastAsia="Arial" w:hAnsi="Arial"/>
          <w:sz w:val="18"/>
          <w:szCs w:val="18"/>
          <w:color w:val="auto"/>
        </w:rPr>
      </w:pPr>
      <w:r>
        <w:rPr>
          <w:rFonts w:ascii="Arial" w:cs="Arial" w:eastAsia="Arial" w:hAnsi="Arial"/>
          <w:sz w:val="18"/>
          <w:szCs w:val="18"/>
          <w:color w:val="auto"/>
        </w:rPr>
        <w:t>Member of the Audit Committee.</w:t>
      </w:r>
    </w:p>
    <w:p>
      <w:pPr>
        <w:spacing w:after="0" w:line="23" w:lineRule="exact"/>
        <w:rPr>
          <w:rFonts w:ascii="Arial" w:cs="Arial" w:eastAsia="Arial" w:hAnsi="Arial"/>
          <w:sz w:val="18"/>
          <w:szCs w:val="18"/>
          <w:color w:val="auto"/>
        </w:rPr>
      </w:pPr>
    </w:p>
    <w:p>
      <w:pPr>
        <w:ind w:left="424" w:hanging="424"/>
        <w:spacing w:after="0"/>
        <w:tabs>
          <w:tab w:leader="none" w:pos="424" w:val="left"/>
        </w:tabs>
        <w:numPr>
          <w:ilvl w:val="0"/>
          <w:numId w:val="144"/>
        </w:numPr>
        <w:rPr>
          <w:rFonts w:ascii="Arial" w:cs="Arial" w:eastAsia="Arial" w:hAnsi="Arial"/>
          <w:sz w:val="18"/>
          <w:szCs w:val="18"/>
          <w:color w:val="auto"/>
        </w:rPr>
      </w:pPr>
      <w:r>
        <w:rPr>
          <w:rFonts w:ascii="Arial" w:cs="Arial" w:eastAsia="Arial" w:hAnsi="Arial"/>
          <w:sz w:val="18"/>
          <w:szCs w:val="18"/>
          <w:color w:val="auto"/>
        </w:rPr>
        <w:t>Member of the Compensation Committee.</w:t>
      </w:r>
    </w:p>
    <w:p>
      <w:pPr>
        <w:spacing w:after="0" w:line="9" w:lineRule="exact"/>
        <w:rPr>
          <w:rFonts w:ascii="Arial" w:cs="Arial" w:eastAsia="Arial" w:hAnsi="Arial"/>
          <w:sz w:val="18"/>
          <w:szCs w:val="18"/>
          <w:color w:val="auto"/>
        </w:rPr>
      </w:pPr>
    </w:p>
    <w:p>
      <w:pPr>
        <w:ind w:left="424" w:hanging="424"/>
        <w:spacing w:after="0"/>
        <w:tabs>
          <w:tab w:leader="none" w:pos="424" w:val="left"/>
        </w:tabs>
        <w:numPr>
          <w:ilvl w:val="0"/>
          <w:numId w:val="144"/>
        </w:numPr>
        <w:rPr>
          <w:rFonts w:ascii="Arial" w:cs="Arial" w:eastAsia="Arial" w:hAnsi="Arial"/>
          <w:sz w:val="18"/>
          <w:szCs w:val="18"/>
          <w:color w:val="auto"/>
        </w:rPr>
      </w:pPr>
      <w:r>
        <w:rPr>
          <w:rFonts w:ascii="Arial" w:cs="Arial" w:eastAsia="Arial" w:hAnsi="Arial"/>
          <w:sz w:val="18"/>
          <w:szCs w:val="18"/>
          <w:color w:val="auto"/>
        </w:rPr>
        <w:t>Member of the Corporate Governance and Nominating Committee.</w:t>
      </w:r>
    </w:p>
    <w:p>
      <w:pPr>
        <w:spacing w:after="0" w:line="9" w:lineRule="exact"/>
        <w:rPr>
          <w:rFonts w:ascii="Arial" w:cs="Arial" w:eastAsia="Arial" w:hAnsi="Arial"/>
          <w:sz w:val="18"/>
          <w:szCs w:val="18"/>
          <w:color w:val="auto"/>
        </w:rPr>
      </w:pPr>
    </w:p>
    <w:p>
      <w:pPr>
        <w:ind w:left="424" w:hanging="424"/>
        <w:spacing w:after="0"/>
        <w:tabs>
          <w:tab w:leader="none" w:pos="424" w:val="left"/>
        </w:tabs>
        <w:numPr>
          <w:ilvl w:val="0"/>
          <w:numId w:val="144"/>
        </w:numPr>
        <w:rPr>
          <w:rFonts w:ascii="Arial" w:cs="Arial" w:eastAsia="Arial" w:hAnsi="Arial"/>
          <w:sz w:val="16"/>
          <w:szCs w:val="16"/>
          <w:color w:val="auto"/>
        </w:rPr>
      </w:pPr>
      <w:r>
        <w:rPr>
          <w:rFonts w:ascii="Arial" w:cs="Arial" w:eastAsia="Arial" w:hAnsi="Arial"/>
          <w:sz w:val="16"/>
          <w:szCs w:val="16"/>
          <w:color w:val="auto"/>
        </w:rPr>
        <w:t>Chairman of Trencor. Following the June 2020 unbundling of the remaining shares, Trencor no longer hold any share interest in the Company.</w:t>
      </w:r>
    </w:p>
    <w:p>
      <w:pPr>
        <w:spacing w:after="0" w:line="32" w:lineRule="exact"/>
        <w:rPr>
          <w:rFonts w:ascii="Arial" w:cs="Arial" w:eastAsia="Arial" w:hAnsi="Arial"/>
          <w:sz w:val="16"/>
          <w:szCs w:val="16"/>
          <w:color w:val="auto"/>
        </w:rPr>
      </w:pPr>
    </w:p>
    <w:p>
      <w:pPr>
        <w:ind w:left="424" w:right="140" w:hanging="424"/>
        <w:spacing w:after="0" w:line="260" w:lineRule="auto"/>
        <w:tabs>
          <w:tab w:leader="none" w:pos="424" w:val="left"/>
        </w:tabs>
        <w:numPr>
          <w:ilvl w:val="0"/>
          <w:numId w:val="144"/>
        </w:numPr>
        <w:rPr>
          <w:rFonts w:ascii="Arial" w:cs="Arial" w:eastAsia="Arial" w:hAnsi="Arial"/>
          <w:sz w:val="18"/>
          <w:szCs w:val="18"/>
          <w:color w:val="auto"/>
        </w:rPr>
      </w:pPr>
      <w:r>
        <w:rPr>
          <w:rFonts w:ascii="Arial" w:cs="Arial" w:eastAsia="Arial" w:hAnsi="Arial"/>
          <w:sz w:val="18"/>
          <w:szCs w:val="18"/>
          <w:color w:val="auto"/>
        </w:rPr>
        <w:t>Chief Executive Officer and Director of Trencor. Following the June 2020 unbundling of the remaining shares, Trencor no longer hold any share interest in the Company.</w:t>
      </w:r>
    </w:p>
    <w:p>
      <w:pPr>
        <w:spacing w:after="0" w:line="77" w:lineRule="exact"/>
        <w:rPr>
          <w:rFonts w:ascii="Arial" w:cs="Arial" w:eastAsia="Arial" w:hAnsi="Arial"/>
          <w:sz w:val="18"/>
          <w:szCs w:val="18"/>
          <w:color w:val="auto"/>
        </w:rPr>
      </w:pPr>
    </w:p>
    <w:p>
      <w:pPr>
        <w:ind w:left="444"/>
        <w:spacing w:after="0"/>
        <w:rPr>
          <w:rFonts w:ascii="Arial" w:cs="Arial" w:eastAsia="Arial" w:hAnsi="Arial"/>
          <w:sz w:val="18"/>
          <w:szCs w:val="18"/>
          <w:color w:val="auto"/>
        </w:rPr>
      </w:pPr>
      <w:r>
        <w:rPr>
          <w:rFonts w:ascii="Arial" w:cs="Arial" w:eastAsia="Arial" w:hAnsi="Arial"/>
          <w:sz w:val="18"/>
          <w:szCs w:val="18"/>
          <w:color w:val="auto"/>
        </w:rPr>
        <w:t>Certain biographical information about each of these individuals is set forth below.</w:t>
      </w:r>
    </w:p>
    <w:p>
      <w:pPr>
        <w:spacing w:after="0" w:line="333" w:lineRule="exact"/>
        <w:rPr>
          <w:sz w:val="20"/>
          <w:szCs w:val="20"/>
          <w:color w:val="auto"/>
        </w:rPr>
      </w:pPr>
    </w:p>
    <w:p>
      <w:pPr>
        <w:ind w:left="4"/>
        <w:spacing w:after="0"/>
        <w:rPr>
          <w:sz w:val="20"/>
          <w:szCs w:val="20"/>
          <w:color w:val="auto"/>
        </w:rPr>
      </w:pPr>
      <w:r>
        <w:rPr>
          <w:rFonts w:ascii="Arial" w:cs="Arial" w:eastAsia="Arial" w:hAnsi="Arial"/>
          <w:sz w:val="18"/>
          <w:szCs w:val="18"/>
          <w:i w:val="1"/>
          <w:iCs w:val="1"/>
          <w:color w:val="auto"/>
        </w:rPr>
        <w:t>Directors</w:t>
      </w:r>
    </w:p>
    <w:p>
      <w:pPr>
        <w:spacing w:after="0" w:line="117" w:lineRule="exact"/>
        <w:rPr>
          <w:sz w:val="20"/>
          <w:szCs w:val="20"/>
          <w:color w:val="auto"/>
        </w:rPr>
      </w:pPr>
    </w:p>
    <w:p>
      <w:pPr>
        <w:ind w:left="4" w:right="40" w:firstLine="440"/>
        <w:spacing w:after="0" w:line="259" w:lineRule="auto"/>
        <w:rPr>
          <w:sz w:val="20"/>
          <w:szCs w:val="20"/>
          <w:color w:val="auto"/>
        </w:rPr>
      </w:pPr>
      <w:r>
        <w:rPr>
          <w:rFonts w:ascii="Arial" w:cs="Arial" w:eastAsia="Arial" w:hAnsi="Arial"/>
          <w:sz w:val="18"/>
          <w:szCs w:val="18"/>
          <w:b w:val="1"/>
          <w:bCs w:val="1"/>
          <w:i w:val="1"/>
          <w:iCs w:val="1"/>
          <w:color w:val="auto"/>
        </w:rPr>
        <w:t xml:space="preserve">Hyman Shwiel </w:t>
      </w:r>
      <w:r>
        <w:rPr>
          <w:rFonts w:ascii="Arial" w:cs="Arial" w:eastAsia="Arial" w:hAnsi="Arial"/>
          <w:sz w:val="18"/>
          <w:szCs w:val="18"/>
          <w:color w:val="auto"/>
        </w:rPr>
        <w:t>has been a member of our board of directors since September 2007. Mr. Shwiel was a partner with Ernst &amp; Young LLP for 25</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years. He served during that period in various roles, including Area Managing Partner and as National Director of Enterprise and Professional Risk. Upon his retirement in 2005, he became a consultant to Ernst &amp; Young until 2007. Mr. Shwiel holds a C.T.A. and a M.B.A. from the University of Cape Town and is a Chartered Accountant (South Africa) and a CPA.</w:t>
      </w:r>
    </w:p>
    <w:p>
      <w:pPr>
        <w:spacing w:after="0" w:line="187" w:lineRule="exact"/>
        <w:rPr>
          <w:sz w:val="20"/>
          <w:szCs w:val="20"/>
          <w:color w:val="auto"/>
        </w:rPr>
      </w:pPr>
    </w:p>
    <w:p>
      <w:pPr>
        <w:ind w:left="4" w:right="80" w:firstLine="440"/>
        <w:spacing w:after="0" w:line="290" w:lineRule="auto"/>
        <w:rPr>
          <w:sz w:val="20"/>
          <w:szCs w:val="20"/>
          <w:color w:val="auto"/>
        </w:rPr>
      </w:pPr>
      <w:r>
        <w:rPr>
          <w:rFonts w:ascii="Arial" w:cs="Arial" w:eastAsia="Arial" w:hAnsi="Arial"/>
          <w:sz w:val="16"/>
          <w:szCs w:val="16"/>
          <w:b w:val="1"/>
          <w:bCs w:val="1"/>
          <w:i w:val="1"/>
          <w:iCs w:val="1"/>
          <w:color w:val="auto"/>
        </w:rPr>
        <w:t xml:space="preserve">Olivier Ghesquiere </w:t>
      </w:r>
      <w:r>
        <w:rPr>
          <w:rFonts w:ascii="Arial" w:cs="Arial" w:eastAsia="Arial" w:hAnsi="Arial"/>
          <w:sz w:val="16"/>
          <w:szCs w:val="16"/>
          <w:color w:val="auto"/>
        </w:rPr>
        <w:t>was appointed President and Chief Executive Officer and to our board of directors in August 2018. Mr. Ghesquiere served as</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our Executive Vice President – Leasing from January 2017 to August 2018, responsible for worldwide sales and marketing related activities and operations. Mr. Ghesquiere served as our Senior Vice President – Marketing and Sales since December 2015. Mr. Ghesquiere worked at Groupe Ermewa S.A. as Chief Operating Officer and then Chief Executive Officer from January 2009 through February 2015 where he was responsible for growing the railcar and locomotive fleet to become the second largest in Europe. During that time Mr. Ghesquiere was also chairman of Eurotainer SA for which he was the Managing Director from April 2004 through December 2008 where he developed their tank container business focusing on higher value segments of the market. Mr. Ghesquiere has served as Vice Chairman and chairman of the International Tank Container Organization (ITCO) leasing committee from 2006 through 2010. Mr. Ghesquiere holds a degree in Applied Economics from the Louvain School of Management, Belgium.</w:t>
      </w:r>
    </w:p>
    <w:p>
      <w:pPr>
        <w:spacing w:after="0" w:line="165" w:lineRule="exact"/>
        <w:rPr>
          <w:sz w:val="20"/>
          <w:szCs w:val="20"/>
          <w:color w:val="auto"/>
        </w:rPr>
      </w:pPr>
    </w:p>
    <w:p>
      <w:pPr>
        <w:ind w:left="4" w:firstLine="440"/>
        <w:spacing w:after="0" w:line="296" w:lineRule="auto"/>
        <w:rPr>
          <w:sz w:val="20"/>
          <w:szCs w:val="20"/>
          <w:color w:val="auto"/>
        </w:rPr>
      </w:pPr>
      <w:r>
        <w:rPr>
          <w:rFonts w:ascii="Arial" w:cs="Arial" w:eastAsia="Arial" w:hAnsi="Arial"/>
          <w:sz w:val="16"/>
          <w:szCs w:val="16"/>
          <w:b w:val="1"/>
          <w:bCs w:val="1"/>
          <w:i w:val="1"/>
          <w:iCs w:val="1"/>
          <w:color w:val="auto"/>
        </w:rPr>
        <w:t xml:space="preserve">Dudley R. Cottingham </w:t>
      </w:r>
      <w:r>
        <w:rPr>
          <w:rFonts w:ascii="Arial" w:cs="Arial" w:eastAsia="Arial" w:hAnsi="Arial"/>
          <w:sz w:val="16"/>
          <w:szCs w:val="16"/>
          <w:color w:val="auto"/>
        </w:rPr>
        <w:t>has been a member of our board of directors since December 1993 and served as assistant Secretary and/or secretary</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between December 1993 and October 2007. He has also served in the past as president of certain of our subsidiaries and continues to serve as a director of our Bermuda subsidiaries. Mr. Cottingham has over 35 years of experience in public accounting for a variety of international and local clients. He is a director and the audit committee chairman of Bermuda Press (Holdings) Ltd., a newspaper publishing and commercial printing company listed on the Bermuda Stock Exchange and is chairman of the listing committee of the Bermuda Stock Exchange. He is chairman and an Investment and Operational</w:t>
      </w:r>
    </w:p>
    <w:p>
      <w:pPr>
        <w:spacing w:after="0" w:line="94"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0984"/>
          </w:cols>
          <w:pgMar w:left="436" w:top="265" w:right="479" w:bottom="1440" w:gutter="0" w:footer="0" w:header="0"/>
        </w:sectPr>
      </w:pPr>
    </w:p>
    <w:bookmarkStart w:id="181" w:name="page182"/>
    <w:bookmarkEnd w:id="181"/>
    <w:p>
      <w:pPr>
        <w:ind w:right="20"/>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7174865" cy="38735"/>
                    </a:xfrm>
                    <a:prstGeom prst="rect">
                      <a:avLst/>
                    </a:prstGeom>
                    <a:noFill/>
                  </pic:spPr>
                </pic:pic>
              </a:graphicData>
            </a:graphic>
          </wp:anchor>
        </w:drawing>
        <w:t>Committee member of the Aurum Funds which are listed on the Bermuda Stock Exchange. He was a managing director of and was formerly a partner of Arthur Morris &amp; Company Limited, a provider of audit and accounting services for international clients, since 1982. Mr. Cottingham is currently a consultant and had served as vice president and director of Continental Management Ltd., a Bermuda company providing corporate representation, administration and management services, since 1982 and a director of Continental Trust Corporation Ltd., a Bermuda company that provides corporate and individual trust administration services, since 1994. He is a director of Morris, Cottingham &amp; Co. Ltd. and their other group companies in Turks &amp; Caicos Islands. Mr. Cottingham is a Chartered Accountant.</w:t>
      </w:r>
    </w:p>
    <w:p>
      <w:pPr>
        <w:spacing w:after="0" w:line="192" w:lineRule="exact"/>
        <w:rPr>
          <w:sz w:val="20"/>
          <w:szCs w:val="20"/>
          <w:color w:val="auto"/>
        </w:rPr>
      </w:pPr>
    </w:p>
    <w:p>
      <w:pPr>
        <w:ind w:right="20" w:firstLine="440"/>
        <w:spacing w:after="0" w:line="254" w:lineRule="auto"/>
        <w:rPr>
          <w:sz w:val="20"/>
          <w:szCs w:val="20"/>
          <w:color w:val="auto"/>
        </w:rPr>
      </w:pPr>
      <w:r>
        <w:rPr>
          <w:rFonts w:ascii="Arial" w:cs="Arial" w:eastAsia="Arial" w:hAnsi="Arial"/>
          <w:sz w:val="18"/>
          <w:szCs w:val="18"/>
          <w:b w:val="1"/>
          <w:bCs w:val="1"/>
          <w:i w:val="1"/>
          <w:iCs w:val="1"/>
          <w:color w:val="auto"/>
        </w:rPr>
        <w:t xml:space="preserve">John A. Maccarone </w:t>
      </w:r>
      <w:r>
        <w:rPr>
          <w:rFonts w:ascii="Arial" w:cs="Arial" w:eastAsia="Arial" w:hAnsi="Arial"/>
          <w:sz w:val="18"/>
          <w:szCs w:val="18"/>
          <w:color w:val="auto"/>
        </w:rPr>
        <w:t>served as our President and Chief Executive Officer from January 1999 until October 2011 when he retired from Textainer</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and as a member of our board of directors since December 1993. Mr. Maccarone co-founded Intermodal Equipment Associates, a marine container leasing company based in San Francisco, and held a variety of executive positions with the company from 1979 until 1987, when he joined the Textainer Group as President and Chief Executive Officer of TEML, now a subsidiary of our company. From 1977 through 1978, Mr. Maccarone was Director of Marketing based in Hong Kong for Trans Ocean Leasing Corporation, a San Francisco-based company. From 1969 to 1976, Mr. Maccarone was a marketing representative for IBM Corporation in Chicago, Illinois. From 1966 to 1968, he served as a Lieutenant in the U.S. Army Corps of Engineers in Thailand and Virginia. Mr. Maccarone holds a B.S. in Engineering Management from Boston University and an M.B.A. from Loyola University of Chicago.</w:t>
      </w:r>
    </w:p>
    <w:p>
      <w:pPr>
        <w:spacing w:after="0" w:line="192" w:lineRule="exact"/>
        <w:rPr>
          <w:sz w:val="20"/>
          <w:szCs w:val="20"/>
          <w:color w:val="auto"/>
        </w:rPr>
      </w:pPr>
    </w:p>
    <w:p>
      <w:pPr>
        <w:ind w:right="40" w:firstLine="440"/>
        <w:spacing w:after="0" w:line="289" w:lineRule="auto"/>
        <w:rPr>
          <w:sz w:val="20"/>
          <w:szCs w:val="20"/>
          <w:color w:val="auto"/>
        </w:rPr>
      </w:pPr>
      <w:r>
        <w:rPr>
          <w:rFonts w:ascii="Arial" w:cs="Arial" w:eastAsia="Arial" w:hAnsi="Arial"/>
          <w:sz w:val="16"/>
          <w:szCs w:val="16"/>
          <w:b w:val="1"/>
          <w:bCs w:val="1"/>
          <w:i w:val="1"/>
          <w:iCs w:val="1"/>
          <w:color w:val="auto"/>
        </w:rPr>
        <w:t xml:space="preserve">David M. Nurek </w:t>
      </w:r>
      <w:r>
        <w:rPr>
          <w:rFonts w:ascii="Arial" w:cs="Arial" w:eastAsia="Arial" w:hAnsi="Arial"/>
          <w:sz w:val="16"/>
          <w:szCs w:val="16"/>
          <w:color w:val="auto"/>
        </w:rPr>
        <w:t>of Trencor in November 1992 and as a non-executive member of its board of directors in July 1995. He is chairman of Trencor</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and a member of Trencor’s audit, remuneration, social and ethics, risk and governance committees. In August 2019, Mr. Nurek retired from his position as an executive of Investec Bank Limited, a subsidiary of Investec Limited, which is listed on the JSE. Investec Limited has entered into a dual listed company structure with Investec plc, which is quoted on the London Stock Exchange (collectively, the “Investec Group”). He was the regional chairman of Investec Limited’s various businesses in the Western Cape, South Africa, and also the Investec Group’s worldwide head of legal risk. Prior to joining Investec Limited in June 2000, Mr. Nurek served as chairman of the South African legal firm Sonnenberg Hoffmann &amp; Galombik, which has since changed its name to Edward Nathan Sonnenbergs Inc. Mr. Nurek serves as a non-executive on the boards of directors of various listed and unlisted companies in South Africa and holds a Diploma in Law and a Graduate Diploma in Company Law from the University of Cape Town and completed a Program of Instruction for Lawyers at Harvard Law School and a Leadership in Professional Services Firms program at Harvard Business School.</w:t>
      </w:r>
    </w:p>
    <w:p>
      <w:pPr>
        <w:spacing w:after="0" w:line="166" w:lineRule="exact"/>
        <w:rPr>
          <w:sz w:val="20"/>
          <w:szCs w:val="20"/>
          <w:color w:val="auto"/>
        </w:rPr>
      </w:pPr>
    </w:p>
    <w:p>
      <w:pPr>
        <w:ind w:firstLine="440"/>
        <w:spacing w:after="0" w:line="289" w:lineRule="auto"/>
        <w:rPr>
          <w:sz w:val="20"/>
          <w:szCs w:val="20"/>
          <w:color w:val="auto"/>
        </w:rPr>
      </w:pPr>
      <w:r>
        <w:rPr>
          <w:rFonts w:ascii="Arial" w:cs="Arial" w:eastAsia="Arial" w:hAnsi="Arial"/>
          <w:sz w:val="16"/>
          <w:szCs w:val="16"/>
          <w:b w:val="1"/>
          <w:bCs w:val="1"/>
          <w:i w:val="1"/>
          <w:iCs w:val="1"/>
          <w:color w:val="auto"/>
        </w:rPr>
        <w:t xml:space="preserve">Hennie Van der Merwe </w:t>
      </w:r>
      <w:r>
        <w:rPr>
          <w:rFonts w:ascii="Arial" w:cs="Arial" w:eastAsia="Arial" w:hAnsi="Arial"/>
          <w:sz w:val="16"/>
          <w:szCs w:val="16"/>
          <w:color w:val="auto"/>
        </w:rPr>
        <w:t>has been a member of our board of directors since August 2017 and between March 2003 to 2011. Mr. Van der Merwe</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joined Trencor in 1997 and began serving as a director of Trencor in 1998. He was appointed the Chief Executive Officer of Trencor in August 2017 and a member of Trencor’s risk and governance committees. Mr. Van der Merwe also serves as non-executive chairman of the board of Master Drilling Group Limited and as a non-executive director of Bell Equipment Limited, both of which are listed on the JSE. From 1984 to 1991, he held various senior executive positions in the banking sector in South Africa, lastly as chief executive officer of Senbank, the corporate/merchant banking arm of Bankorp Group Ltd. From 1991 to 1998, Mr. Van der Merwe served as deputy chairman for Waco International Ltd., an international industrial group listed on the JSE with subsidiaries listed on the Sydney and London Stock Exchanges. Prior to entering the business world, Mr. Van der Merwe practiced as an attorney at law in Johannesburg, South Africa. Mr. Van der Merwe holds Bachelor of Arts and L.L.B degrees in Law from the University of Stellenbosch in South Africa, and a Master of Law in Tax Law from the University of the Witwatersrand in South Africa.</w:t>
      </w:r>
    </w:p>
    <w:p>
      <w:pPr>
        <w:spacing w:after="0" w:line="166" w:lineRule="exact"/>
        <w:rPr>
          <w:sz w:val="20"/>
          <w:szCs w:val="20"/>
          <w:color w:val="auto"/>
        </w:rPr>
      </w:pPr>
    </w:p>
    <w:p>
      <w:pPr>
        <w:ind w:right="320" w:firstLine="440"/>
        <w:spacing w:after="0" w:line="279" w:lineRule="auto"/>
        <w:rPr>
          <w:sz w:val="20"/>
          <w:szCs w:val="20"/>
          <w:color w:val="auto"/>
        </w:rPr>
      </w:pPr>
      <w:r>
        <w:rPr>
          <w:rFonts w:ascii="Arial" w:cs="Arial" w:eastAsia="Arial" w:hAnsi="Arial"/>
          <w:sz w:val="17"/>
          <w:szCs w:val="17"/>
          <w:b w:val="1"/>
          <w:bCs w:val="1"/>
          <w:i w:val="1"/>
          <w:iCs w:val="1"/>
          <w:color w:val="auto"/>
        </w:rPr>
        <w:t xml:space="preserve">Robert D. Pedersen </w:t>
      </w:r>
      <w:r>
        <w:rPr>
          <w:rFonts w:ascii="Arial" w:cs="Arial" w:eastAsia="Arial" w:hAnsi="Arial"/>
          <w:sz w:val="17"/>
          <w:szCs w:val="17"/>
          <w:color w:val="auto"/>
        </w:rPr>
        <w:t>has been a member of our board of directors since April 2017. Mr. Pedersen was appointed President and Chief Executive</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Officer of TEML, our management company, in October 2011 and retired on March 31, 2017. Mr. Pedersen served as our Executive Vice President responsible for worldwide sales and marketing related activities and operations since January 2006. Mr. Pedersen was Senior Vice President of our leasing group from 1999 to 2005. From 1991 to 1999, Mr. Pedersen held several positions within our</w:t>
      </w:r>
    </w:p>
    <w:p>
      <w:pPr>
        <w:spacing w:after="0" w:line="10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020"/>
          </w:cols>
          <w:pgMar w:left="440" w:top="274" w:right="439" w:bottom="1440" w:gutter="0" w:footer="0" w:header="0"/>
        </w:sectPr>
      </w:pPr>
    </w:p>
    <w:bookmarkStart w:id="182" w:name="page183"/>
    <w:bookmarkEnd w:id="182"/>
    <w:p>
      <w:pPr>
        <w:ind w:right="10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7174865" cy="38735"/>
                    </a:xfrm>
                    <a:prstGeom prst="rect">
                      <a:avLst/>
                    </a:prstGeom>
                    <a:noFill/>
                  </pic:spPr>
                </pic:pic>
              </a:graphicData>
            </a:graphic>
          </wp:anchor>
        </w:drawing>
        <w:t>company, and from 1978 through 1991, he worked in various capacities for Klinge Cool, a manufacturer of refrigerated container cooling units, XTRA, a container lessor, and Maersk Line, a container shipping line. Mr. Pedersen is a graduate of the A.P. Moller Shipping and Transportation Program and the Merkonom Business School in Copenhagen, where he majored in Company Organization.</w:t>
      </w:r>
    </w:p>
    <w:p>
      <w:pPr>
        <w:spacing w:after="0" w:line="184" w:lineRule="exact"/>
        <w:rPr>
          <w:sz w:val="20"/>
          <w:szCs w:val="20"/>
          <w:color w:val="auto"/>
        </w:rPr>
      </w:pPr>
    </w:p>
    <w:p>
      <w:pPr>
        <w:ind w:right="20" w:firstLine="440"/>
        <w:spacing w:after="0" w:line="273" w:lineRule="auto"/>
        <w:rPr>
          <w:sz w:val="20"/>
          <w:szCs w:val="20"/>
          <w:color w:val="auto"/>
        </w:rPr>
      </w:pPr>
      <w:r>
        <w:rPr>
          <w:rFonts w:ascii="Arial" w:cs="Arial" w:eastAsia="Arial" w:hAnsi="Arial"/>
          <w:sz w:val="17"/>
          <w:szCs w:val="17"/>
          <w:b w:val="1"/>
          <w:bCs w:val="1"/>
          <w:i w:val="1"/>
          <w:iCs w:val="1"/>
          <w:color w:val="auto"/>
        </w:rPr>
        <w:t xml:space="preserve">Grace Tang </w:t>
      </w:r>
      <w:r>
        <w:rPr>
          <w:rFonts w:ascii="Arial" w:cs="Arial" w:eastAsia="Arial" w:hAnsi="Arial"/>
          <w:sz w:val="17"/>
          <w:szCs w:val="17"/>
          <w:color w:val="auto"/>
        </w:rPr>
        <w:t>has been a member of our board of directors since August 2020. Ms. Tang was a partner with PwC for 22 years until her retirement in</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2020. She served on the Board of Partners of the PwC China, Hong Kong, Taiwan and Singapore firms. She served as the leader of the Industrial Products sector and also the multinational client practice in China where she assisted domestic Chinese and international clients. Ms. Tang serves as an instructor of the Masters of Business Administration and Master of Professional Accounting degree programs at the Peking University. Ms. Tang is a US certified public accountant, a member of the American Institute of Certified Public Accountants, and a fellow of the Hong Kong Institute of Certified Public Accountants. Ms. Tang has a B.S. from the University of Utah and an M.B.A. from Utah State University.</w:t>
      </w:r>
    </w:p>
    <w:p>
      <w:pPr>
        <w:spacing w:after="0" w:line="178" w:lineRule="exact"/>
        <w:rPr>
          <w:sz w:val="20"/>
          <w:szCs w:val="20"/>
          <w:color w:val="auto"/>
        </w:rPr>
      </w:pPr>
    </w:p>
    <w:p>
      <w:pPr>
        <w:ind w:right="20" w:firstLine="440"/>
        <w:spacing w:after="0" w:line="287" w:lineRule="auto"/>
        <w:rPr>
          <w:sz w:val="20"/>
          <w:szCs w:val="20"/>
          <w:color w:val="auto"/>
        </w:rPr>
      </w:pPr>
      <w:r>
        <w:rPr>
          <w:rFonts w:ascii="Arial" w:cs="Arial" w:eastAsia="Arial" w:hAnsi="Arial"/>
          <w:sz w:val="16"/>
          <w:szCs w:val="16"/>
          <w:b w:val="1"/>
          <w:bCs w:val="1"/>
          <w:i w:val="1"/>
          <w:iCs w:val="1"/>
          <w:color w:val="auto"/>
        </w:rPr>
        <w:t xml:space="preserve">James Earl </w:t>
      </w:r>
      <w:r>
        <w:rPr>
          <w:rFonts w:ascii="Arial" w:cs="Arial" w:eastAsia="Arial" w:hAnsi="Arial"/>
          <w:sz w:val="16"/>
          <w:szCs w:val="16"/>
          <w:color w:val="auto"/>
        </w:rPr>
        <w:t>is a nominee for membership on our board of directors. Mr. Earl was an executive with GATX Corporation, a publicly-traded lessor of</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railcars, from 1988 to 2018, ultimately serving as Executive Vice President, President of its Rail International division and CEO of GATX’s American Steamship Company. Previously Mr. Earl held management positions with the Soo Line Railroad and Southern Pacific Transportation Company.</w:t>
      </w:r>
    </w:p>
    <w:p>
      <w:pPr>
        <w:spacing w:after="0" w:line="2" w:lineRule="exact"/>
        <w:rPr>
          <w:sz w:val="20"/>
          <w:szCs w:val="20"/>
          <w:color w:val="auto"/>
        </w:rPr>
      </w:pPr>
    </w:p>
    <w:p>
      <w:pPr>
        <w:ind w:right="100"/>
        <w:spacing w:after="0" w:line="255" w:lineRule="auto"/>
        <w:rPr>
          <w:sz w:val="20"/>
          <w:szCs w:val="20"/>
          <w:color w:val="auto"/>
        </w:rPr>
      </w:pPr>
      <w:r>
        <w:rPr>
          <w:rFonts w:ascii="Arial" w:cs="Arial" w:eastAsia="Arial" w:hAnsi="Arial"/>
          <w:sz w:val="18"/>
          <w:szCs w:val="18"/>
          <w:color w:val="auto"/>
        </w:rPr>
        <w:t>Mr. Earl serves on the Board of Directors of Harsco Corporation, a NYSE listed global market leader providing environmental solutions for industrial and specialty waste streams, and innovative technologies for the rail sector. Mr. Earl has a B.S. from Washington University in St. Louis and an M.B.A. from the Wharton School at the University of Pennsylvania.</w:t>
      </w:r>
    </w:p>
    <w:p>
      <w:pPr>
        <w:spacing w:after="0" w:line="190" w:lineRule="exact"/>
        <w:rPr>
          <w:sz w:val="20"/>
          <w:szCs w:val="20"/>
          <w:color w:val="auto"/>
        </w:rPr>
      </w:pPr>
    </w:p>
    <w:p>
      <w:pPr>
        <w:ind w:firstLine="440"/>
        <w:spacing w:after="0" w:line="270" w:lineRule="auto"/>
        <w:rPr>
          <w:sz w:val="20"/>
          <w:szCs w:val="20"/>
          <w:color w:val="auto"/>
        </w:rPr>
      </w:pPr>
      <w:r>
        <w:rPr>
          <w:rFonts w:ascii="Arial" w:cs="Arial" w:eastAsia="Arial" w:hAnsi="Arial"/>
          <w:sz w:val="17"/>
          <w:szCs w:val="17"/>
          <w:b w:val="1"/>
          <w:bCs w:val="1"/>
          <w:i w:val="1"/>
          <w:iCs w:val="1"/>
          <w:color w:val="auto"/>
        </w:rPr>
        <w:t xml:space="preserve">Cynthia Hostetler </w:t>
      </w:r>
      <w:r>
        <w:rPr>
          <w:rFonts w:ascii="Arial" w:cs="Arial" w:eastAsia="Arial" w:hAnsi="Arial"/>
          <w:sz w:val="17"/>
          <w:szCs w:val="17"/>
          <w:color w:val="auto"/>
        </w:rPr>
        <w:t>is a nominee for membership on our board of directors. Ms. Hostetler serves as a Trustee of Invesco Ltd. and is a member of</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the boards of TriLinc Global Fund, an impact investment company, Vulcan Materials Company, an NYSE listed producer of construction aggregates and Resideo Technologies, Inc., an NYSE listed manufacturer and distributor of security, energy efficiency and control systems for homes. Ms. Hostetler also has served on the board of the Investment Company Institute since 2018. From 2001 to 2009, Ms. Hostetler served as Head of Investment Funds and Private Equity at the Overseas Private Investment Corporation (OPIC). She also served on the Board of Directors of Edgen Group, a global energy infrastructure company, prior to its acquisition by Sumitomo and the Board of Directors of Genesse &amp; Wyoming, Inc. prior to its sale. Additionally, she has served as President and a member of the Board of Directors of First Manhattan Bancorporation, a bank holding company in the Midwest. She began her career as a corporate lawyer with Simpson Thacher &amp; Bartlett in New York. Ms. Hostetler has a J.D. from the University of Virginia and a B.A. from Southern Methodist University.</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Executive Officers</w:t>
      </w:r>
    </w:p>
    <w:p>
      <w:pPr>
        <w:spacing w:after="0" w:line="11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For certain biographical information about Olivier Ghesquiere, see “Directors” above.</w:t>
      </w:r>
    </w:p>
    <w:p>
      <w:pPr>
        <w:spacing w:after="0" w:line="225" w:lineRule="exact"/>
        <w:rPr>
          <w:sz w:val="20"/>
          <w:szCs w:val="20"/>
          <w:color w:val="auto"/>
        </w:rPr>
      </w:pPr>
    </w:p>
    <w:p>
      <w:pPr>
        <w:ind w:right="100" w:firstLine="440"/>
        <w:spacing w:after="0" w:line="288" w:lineRule="auto"/>
        <w:rPr>
          <w:sz w:val="20"/>
          <w:szCs w:val="20"/>
          <w:color w:val="auto"/>
        </w:rPr>
      </w:pPr>
      <w:r>
        <w:rPr>
          <w:rFonts w:ascii="Arial" w:cs="Arial" w:eastAsia="Arial" w:hAnsi="Arial"/>
          <w:sz w:val="16"/>
          <w:szCs w:val="16"/>
          <w:b w:val="1"/>
          <w:bCs w:val="1"/>
          <w:i w:val="1"/>
          <w:iCs w:val="1"/>
          <w:color w:val="auto"/>
        </w:rPr>
        <w:t xml:space="preserve">Michael K. Chan </w:t>
      </w:r>
      <w:r>
        <w:rPr>
          <w:rFonts w:ascii="Arial" w:cs="Arial" w:eastAsia="Arial" w:hAnsi="Arial"/>
          <w:sz w:val="16"/>
          <w:szCs w:val="16"/>
          <w:color w:val="auto"/>
        </w:rPr>
        <w:t>was appointed Executive Vice President and Chief Financial Officer (CFO) in September 2018. Mr. Chan served as our Vice</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President and Senior Vice President of Finance from April 2017 through August 2018, responsible for overseeing treasury, investor relations, accounting, financial reporting, and financial planning and analysis. Mr. Chan also served as a Controller from 1994 to 2006. Prior to re-joining the company in 2017, Mr. Chan was CFO at Ygrene Energy Fund from 2015 to 2017, a market-leading specialty finance company, where he raised nearly $1 billion in capital and achieved the industry’s first AAA rating on the company’s senior notes. From 2011 to 2015, Mr. Chan worked as Senior Director of Treasury and Capital Markets for The Cronos Group, a leading global container leasing company which was acquired by Shenzhen Stock Exchange listed Bohai Leasing Company. Before that, Mr. Chan held the CFO position at The Chartres Lodging Group from 2006 to 2011, where he was instrumental in executing key acquisitions and sales for the hotel investment and asset management company. Mr. Chan joined Coopers &amp; Lybrand in 1989, now PricewaterhouseCoopers (PwC) and held the position of Audit Manager. Mr. Chan is a member of the American Institute of Certified Public Accountants (AICPA) and holds a B.S. in Business Administration – Accounting from California State University East Bay.</w:t>
      </w:r>
    </w:p>
    <w:p>
      <w:pPr>
        <w:spacing w:after="0" w:line="10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020"/>
          </w:cols>
          <w:pgMar w:left="440" w:top="274" w:right="439" w:bottom="1440" w:gutter="0" w:footer="0" w:header="0"/>
        </w:sectPr>
      </w:pPr>
    </w:p>
    <w:bookmarkStart w:id="183" w:name="page184"/>
    <w:bookmarkEnd w:id="183"/>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7174865" cy="38735"/>
                    </a:xfrm>
                    <a:prstGeom prst="rect">
                      <a:avLst/>
                    </a:prstGeom>
                    <a:noFill/>
                  </pic:spPr>
                </pic:pic>
              </a:graphicData>
            </a:graphic>
          </wp:anchor>
        </w:drawing>
        <w:t>Board Practices</w:t>
      </w:r>
    </w:p>
    <w:p>
      <w:pPr>
        <w:spacing w:after="0" w:line="121" w:lineRule="exact"/>
        <w:rPr>
          <w:sz w:val="20"/>
          <w:szCs w:val="20"/>
          <w:color w:val="auto"/>
        </w:rPr>
      </w:pPr>
    </w:p>
    <w:p>
      <w:pPr>
        <w:ind w:right="60" w:firstLine="440"/>
        <w:spacing w:after="0" w:line="279" w:lineRule="auto"/>
        <w:rPr>
          <w:sz w:val="20"/>
          <w:szCs w:val="20"/>
          <w:color w:val="auto"/>
        </w:rPr>
      </w:pPr>
      <w:r>
        <w:rPr>
          <w:rFonts w:ascii="Arial" w:cs="Arial" w:eastAsia="Arial" w:hAnsi="Arial"/>
          <w:sz w:val="17"/>
          <w:szCs w:val="17"/>
          <w:color w:val="auto"/>
        </w:rPr>
        <w:t>Our corporate governance practices are in compliance with, and are not prohibited by, the laws of Bermuda. Therefore, we are exempt from many of the New York Stock Exchange’s (“</w:t>
      </w:r>
      <w:r>
        <w:rPr>
          <w:rFonts w:ascii="Arial" w:cs="Arial" w:eastAsia="Arial" w:hAnsi="Arial"/>
          <w:sz w:val="17"/>
          <w:szCs w:val="17"/>
          <w:b w:val="1"/>
          <w:bCs w:val="1"/>
          <w:color w:val="auto"/>
        </w:rPr>
        <w:t>NYSE</w:t>
      </w:r>
      <w:r>
        <w:rPr>
          <w:rFonts w:ascii="Arial" w:cs="Arial" w:eastAsia="Arial" w:hAnsi="Arial"/>
          <w:sz w:val="17"/>
          <w:szCs w:val="17"/>
          <w:color w:val="auto"/>
        </w:rPr>
        <w:t>”) corporate governance practices, other than the establishment of a formal Audit Committee satisfying the requirements of Rule 10A-3 under the Securities Exchange Act of 1934, as amended (the “</w:t>
      </w:r>
      <w:r>
        <w:rPr>
          <w:rFonts w:ascii="Arial" w:cs="Arial" w:eastAsia="Arial" w:hAnsi="Arial"/>
          <w:sz w:val="17"/>
          <w:szCs w:val="17"/>
          <w:b w:val="1"/>
          <w:bCs w:val="1"/>
          <w:color w:val="auto"/>
        </w:rPr>
        <w:t>Exchange Act</w:t>
      </w:r>
      <w:r>
        <w:rPr>
          <w:rFonts w:ascii="Arial" w:cs="Arial" w:eastAsia="Arial" w:hAnsi="Arial"/>
          <w:sz w:val="17"/>
          <w:szCs w:val="17"/>
          <w:color w:val="auto"/>
        </w:rPr>
        <w:t>”) and notification of non-compliance with NYSE listing requirements. The practices that we follow in lieu of the NYSE’s corporate governance rules are described below.</w:t>
      </w:r>
    </w:p>
    <w:p>
      <w:pPr>
        <w:spacing w:after="0" w:line="77" w:lineRule="exact"/>
        <w:rPr>
          <w:sz w:val="20"/>
          <w:szCs w:val="20"/>
          <w:color w:val="auto"/>
        </w:rPr>
      </w:pPr>
    </w:p>
    <w:p>
      <w:pPr>
        <w:ind w:left="960" w:right="100" w:hanging="424"/>
        <w:spacing w:after="0" w:line="311" w:lineRule="auto"/>
        <w:tabs>
          <w:tab w:leader="none" w:pos="960" w:val="left"/>
        </w:tabs>
        <w:numPr>
          <w:ilvl w:val="0"/>
          <w:numId w:val="145"/>
        </w:numPr>
        <w:rPr>
          <w:rFonts w:ascii="Arial" w:cs="Arial" w:eastAsia="Arial" w:hAnsi="Arial"/>
          <w:sz w:val="16"/>
          <w:szCs w:val="16"/>
          <w:color w:val="auto"/>
        </w:rPr>
      </w:pPr>
      <w:r>
        <w:rPr>
          <w:rFonts w:ascii="Arial" w:cs="Arial" w:eastAsia="Arial" w:hAnsi="Arial"/>
          <w:sz w:val="16"/>
          <w:szCs w:val="16"/>
          <w:color w:val="auto"/>
        </w:rPr>
        <w:t>We are not required under Bermuda law to maintain a board of directors with a majority of independent directors. However, as of March 2021 seven of our eight current directors are independent, as that term is defined by the NYSE. Our Board of Directors have determined that James Earl and Cynthia Hostetler, the new director nominees for election as Class II directors will be independent directors if elected.</w:t>
      </w:r>
    </w:p>
    <w:p>
      <w:pPr>
        <w:spacing w:after="0" w:line="54" w:lineRule="exact"/>
        <w:rPr>
          <w:rFonts w:ascii="Arial" w:cs="Arial" w:eastAsia="Arial" w:hAnsi="Arial"/>
          <w:sz w:val="16"/>
          <w:szCs w:val="16"/>
          <w:color w:val="auto"/>
        </w:rPr>
      </w:pPr>
    </w:p>
    <w:p>
      <w:pPr>
        <w:jc w:val="both"/>
        <w:ind w:left="960" w:right="260" w:hanging="424"/>
        <w:spacing w:after="0" w:line="263" w:lineRule="auto"/>
        <w:tabs>
          <w:tab w:leader="none" w:pos="960" w:val="left"/>
        </w:tabs>
        <w:numPr>
          <w:ilvl w:val="0"/>
          <w:numId w:val="145"/>
        </w:numPr>
        <w:rPr>
          <w:rFonts w:ascii="Arial" w:cs="Arial" w:eastAsia="Arial" w:hAnsi="Arial"/>
          <w:sz w:val="18"/>
          <w:szCs w:val="18"/>
          <w:color w:val="auto"/>
        </w:rPr>
      </w:pPr>
      <w:r>
        <w:rPr>
          <w:rFonts w:ascii="Arial" w:cs="Arial" w:eastAsia="Arial" w:hAnsi="Arial"/>
          <w:sz w:val="18"/>
          <w:szCs w:val="18"/>
          <w:color w:val="auto"/>
        </w:rPr>
        <w:t>We are not required by Bermuda law to hold regular meetings of the board of directors at which only independent directors are present. However, we regularly hold non-executive sessions of our board of directors, where Mr. Ghesquiere, our President and Chief Executive Officer is not present.</w:t>
      </w:r>
    </w:p>
    <w:p>
      <w:pPr>
        <w:spacing w:after="0" w:line="89" w:lineRule="exact"/>
        <w:rPr>
          <w:rFonts w:ascii="Arial" w:cs="Arial" w:eastAsia="Arial" w:hAnsi="Arial"/>
          <w:sz w:val="18"/>
          <w:szCs w:val="18"/>
          <w:color w:val="auto"/>
        </w:rPr>
      </w:pPr>
    </w:p>
    <w:p>
      <w:pPr>
        <w:ind w:left="960" w:right="80" w:hanging="424"/>
        <w:spacing w:after="0" w:line="291" w:lineRule="auto"/>
        <w:tabs>
          <w:tab w:leader="none" w:pos="960" w:val="left"/>
        </w:tabs>
        <w:numPr>
          <w:ilvl w:val="0"/>
          <w:numId w:val="145"/>
        </w:numPr>
        <w:rPr>
          <w:rFonts w:ascii="Arial" w:cs="Arial" w:eastAsia="Arial" w:hAnsi="Arial"/>
          <w:sz w:val="16"/>
          <w:szCs w:val="16"/>
          <w:color w:val="auto"/>
        </w:rPr>
      </w:pPr>
      <w:r>
        <w:rPr>
          <w:rFonts w:ascii="Arial" w:cs="Arial" w:eastAsia="Arial" w:hAnsi="Arial"/>
          <w:sz w:val="16"/>
          <w:szCs w:val="16"/>
          <w:color w:val="auto"/>
        </w:rPr>
        <w:t>Under Bermuda law, compensation of executive officers does not need to be determined by an independent committee. We have established a compensation committee that reviews and approves the compensation and benefits for our executive officers and other key executives, makes recommendations to the board regarding compensation matters and is responsible for awarding compensation to our executive officers and other employees under our share compensation plans. The committee also has the discretion to interpret and amend the terms of, and take all other actions necessary to administer, the 2019 Share Incentive Plan (the “</w:t>
      </w:r>
      <w:r>
        <w:rPr>
          <w:rFonts w:ascii="Arial" w:cs="Arial" w:eastAsia="Arial" w:hAnsi="Arial"/>
          <w:sz w:val="16"/>
          <w:szCs w:val="16"/>
          <w:b w:val="1"/>
          <w:bCs w:val="1"/>
          <w:color w:val="auto"/>
        </w:rPr>
        <w:t>2019 Plan</w:t>
      </w:r>
      <w:r>
        <w:rPr>
          <w:rFonts w:ascii="Arial" w:cs="Arial" w:eastAsia="Arial" w:hAnsi="Arial"/>
          <w:sz w:val="16"/>
          <w:szCs w:val="16"/>
          <w:color w:val="auto"/>
        </w:rPr>
        <w:t>”). All members of our compensation committee are independent, as that term is defined by the NYSE. The members of our compensation committee are Messrs. Cottingham, Maccarone, Nurek and Shwiel. Our board of directors has also adopted a compensation committee charter.</w:t>
      </w:r>
    </w:p>
    <w:p>
      <w:pPr>
        <w:spacing w:after="0" w:line="71" w:lineRule="exact"/>
        <w:rPr>
          <w:rFonts w:ascii="Arial" w:cs="Arial" w:eastAsia="Arial" w:hAnsi="Arial"/>
          <w:sz w:val="16"/>
          <w:szCs w:val="16"/>
          <w:color w:val="auto"/>
        </w:rPr>
      </w:pPr>
    </w:p>
    <w:p>
      <w:pPr>
        <w:ind w:left="960" w:hanging="424"/>
        <w:spacing w:after="0"/>
        <w:tabs>
          <w:tab w:leader="none" w:pos="960" w:val="left"/>
        </w:tabs>
        <w:numPr>
          <w:ilvl w:val="0"/>
          <w:numId w:val="145"/>
        </w:numPr>
        <w:rPr>
          <w:rFonts w:ascii="Arial" w:cs="Arial" w:eastAsia="Arial" w:hAnsi="Arial"/>
          <w:sz w:val="17"/>
          <w:szCs w:val="17"/>
          <w:color w:val="auto"/>
        </w:rPr>
      </w:pPr>
      <w:r>
        <w:rPr>
          <w:rFonts w:ascii="Arial" w:cs="Arial" w:eastAsia="Arial" w:hAnsi="Arial"/>
          <w:sz w:val="17"/>
          <w:szCs w:val="17"/>
          <w:color w:val="auto"/>
        </w:rPr>
        <w:t>We have established an audit committee responsible for (i) advising the board regarding the selection of independent auditors,</w:t>
      </w:r>
    </w:p>
    <w:p>
      <w:pPr>
        <w:spacing w:after="0" w:line="34" w:lineRule="exact"/>
        <w:rPr>
          <w:rFonts w:ascii="Arial" w:cs="Arial" w:eastAsia="Arial" w:hAnsi="Arial"/>
          <w:sz w:val="17"/>
          <w:szCs w:val="17"/>
          <w:color w:val="auto"/>
        </w:rPr>
      </w:pPr>
    </w:p>
    <w:p>
      <w:pPr>
        <w:ind w:left="960" w:right="120"/>
        <w:spacing w:after="0" w:line="252" w:lineRule="auto"/>
        <w:rPr>
          <w:rFonts w:ascii="Arial" w:cs="Arial" w:eastAsia="Arial" w:hAnsi="Arial"/>
          <w:sz w:val="17"/>
          <w:szCs w:val="17"/>
          <w:color w:val="auto"/>
        </w:rPr>
      </w:pPr>
      <w:r>
        <w:rPr>
          <w:rFonts w:ascii="Arial" w:cs="Arial" w:eastAsia="Arial" w:hAnsi="Arial"/>
          <w:sz w:val="18"/>
          <w:szCs w:val="18"/>
          <w:color w:val="auto"/>
        </w:rPr>
        <w:t>(ii) overseeing the Company’s accounting and financial reporting processes, (iii) evaluating our internal controls, and (iv) overseeing compliance with policies and legal requirements with respect to financial reporting. Our audit committee need not comply with the NYSE’s requirements that the audit committee have a minimum of three members or the NYSE’s standards of independence for domestic issuers. Our audit committee has four members, Mr. Cottingham, Mr. Nurek, Ms. Tang and Mr. Shwiel. Our Board determined that all members of the Audit Committee are independent as that term is defined in Rule 10A-3 under the Exchange Act. Our board of directors has also adopted an audit committee charter.</w:t>
      </w:r>
    </w:p>
    <w:p>
      <w:pPr>
        <w:spacing w:after="0" w:line="99" w:lineRule="exact"/>
        <w:rPr>
          <w:rFonts w:ascii="Arial" w:cs="Arial" w:eastAsia="Arial" w:hAnsi="Arial"/>
          <w:sz w:val="17"/>
          <w:szCs w:val="17"/>
          <w:color w:val="auto"/>
        </w:rPr>
      </w:pPr>
    </w:p>
    <w:p>
      <w:pPr>
        <w:ind w:left="960" w:right="220" w:hanging="424"/>
        <w:spacing w:after="0" w:line="301" w:lineRule="auto"/>
        <w:tabs>
          <w:tab w:leader="none" w:pos="960" w:val="left"/>
        </w:tabs>
        <w:numPr>
          <w:ilvl w:val="0"/>
          <w:numId w:val="145"/>
        </w:numPr>
        <w:rPr>
          <w:rFonts w:ascii="Arial" w:cs="Arial" w:eastAsia="Arial" w:hAnsi="Arial"/>
          <w:sz w:val="16"/>
          <w:szCs w:val="16"/>
          <w:color w:val="auto"/>
        </w:rPr>
      </w:pPr>
      <w:r>
        <w:rPr>
          <w:rFonts w:ascii="Arial" w:cs="Arial" w:eastAsia="Arial" w:hAnsi="Arial"/>
          <w:sz w:val="16"/>
          <w:szCs w:val="16"/>
          <w:color w:val="auto"/>
        </w:rPr>
        <w:t>We have established a corporate governance and nominating committee, although this committee is not comprised solely of independent directors, as would be required of a domestic issuer. Our corporate governance and nominating committee has four members, Messrs. Cottingham, Maccarone, Nurek, and Shwiel. All members of our corporate governance and nominating committee satisfy the NYSE’s standards for director independence. Our board of directors has also adopted a corporate governance and nominating committee charter.</w:t>
      </w:r>
    </w:p>
    <w:p>
      <w:pPr>
        <w:spacing w:after="0" w:line="62" w:lineRule="exact"/>
        <w:rPr>
          <w:rFonts w:ascii="Arial" w:cs="Arial" w:eastAsia="Arial" w:hAnsi="Arial"/>
          <w:sz w:val="16"/>
          <w:szCs w:val="16"/>
          <w:color w:val="auto"/>
        </w:rPr>
      </w:pPr>
    </w:p>
    <w:p>
      <w:pPr>
        <w:ind w:left="960" w:hanging="424"/>
        <w:spacing w:after="0" w:line="273" w:lineRule="auto"/>
        <w:tabs>
          <w:tab w:leader="none" w:pos="960" w:val="left"/>
        </w:tabs>
        <w:numPr>
          <w:ilvl w:val="0"/>
          <w:numId w:val="145"/>
        </w:numPr>
        <w:rPr>
          <w:rFonts w:ascii="Arial" w:cs="Arial" w:eastAsia="Arial" w:hAnsi="Arial"/>
          <w:sz w:val="17"/>
          <w:szCs w:val="17"/>
          <w:color w:val="auto"/>
        </w:rPr>
      </w:pPr>
      <w:r>
        <w:rPr>
          <w:rFonts w:ascii="Arial" w:cs="Arial" w:eastAsia="Arial" w:hAnsi="Arial"/>
          <w:sz w:val="17"/>
          <w:szCs w:val="17"/>
          <w:color w:val="auto"/>
        </w:rPr>
        <w:t>Under Bermuda law, we are not required to obtain shareholder consent prior to issuing securities or adopting share compensation plans. Nonetheless, we sought and received the approval of our shareholders for our 2007 Share Incentive Plan (the “2007 Plan”) on September 4, 2007 on May 21, 2015 we received shareholder approval for the amendment and restatement of our 2007 Share Incentive Plan as the 2015 Share Incentive Plan, and on May 23, 2019 we received shareholder approval for the amendment and restatement of our 2015 Share Incentive Plan as the 2019 Share Incentive Plan. We are also required under Bermuda law to obtain the consent of the Bermuda Monetary Authority for the issuance of securities in certain circumstances.</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000"/>
          </w:cols>
          <w:pgMar w:left="440" w:top="270" w:right="459" w:bottom="1440" w:gutter="0" w:footer="0" w:header="0"/>
        </w:sectPr>
      </w:pPr>
    </w:p>
    <w:bookmarkStart w:id="184" w:name="page185"/>
    <w:bookmarkEnd w:id="184"/>
    <w:p>
      <w:pPr>
        <w:ind w:left="964" w:right="260" w:hanging="424"/>
        <w:spacing w:after="0" w:line="277" w:lineRule="auto"/>
        <w:tabs>
          <w:tab w:leader="none" w:pos="964" w:val="left"/>
        </w:tabs>
        <w:numPr>
          <w:ilvl w:val="0"/>
          <w:numId w:val="146"/>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7174865" cy="38735"/>
                    </a:xfrm>
                    <a:prstGeom prst="rect">
                      <a:avLst/>
                    </a:prstGeom>
                    <a:noFill/>
                  </pic:spPr>
                </pic:pic>
              </a:graphicData>
            </a:graphic>
          </wp:anchor>
        </w:drawing>
        <w:t>Under Bermuda law, we are not required to adopt corporate governance guidelines or a code of business conduct. Nonetheless, we have adopted both corporate governance guidelines and a code of business conduct.</w:t>
      </w:r>
    </w:p>
    <w:p>
      <w:pPr>
        <w:spacing w:after="0" w:line="274"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Environmental and Social Matters</w:t>
      </w:r>
    </w:p>
    <w:p>
      <w:pPr>
        <w:spacing w:after="0" w:line="121" w:lineRule="exact"/>
        <w:rPr>
          <w:sz w:val="20"/>
          <w:szCs w:val="20"/>
          <w:color w:val="auto"/>
        </w:rPr>
      </w:pPr>
    </w:p>
    <w:p>
      <w:pPr>
        <w:ind w:left="4" w:firstLine="440"/>
        <w:spacing w:after="0" w:line="273" w:lineRule="auto"/>
        <w:rPr>
          <w:sz w:val="20"/>
          <w:szCs w:val="20"/>
          <w:color w:val="auto"/>
        </w:rPr>
      </w:pPr>
      <w:r>
        <w:rPr>
          <w:rFonts w:ascii="Arial" w:cs="Arial" w:eastAsia="Arial" w:hAnsi="Arial"/>
          <w:sz w:val="17"/>
          <w:szCs w:val="17"/>
          <w:color w:val="auto"/>
        </w:rPr>
        <w:t>Our Board and Management are mindful of the Company’s environmental and social footprint. Container shipping has been a key element in furthering world trade and related economic development. Containerization and the use of ever larger vessels have a significantly lower environmental footprint than other forms of shipping such as air freight and we are proud that our container fleet and business have enabled the continued growth of the industry. Additionally, at the end of container’s useful life at sea, they are not sent to landfills and have a myriad of additional uses, including as construction sheds, static storage and as shelter or housing. Containers used for these purposes have a positive environmental benefit by reducing the need to use new materials to create these storage or housing solutions.</w:t>
      </w:r>
    </w:p>
    <w:p>
      <w:pPr>
        <w:spacing w:after="0" w:line="178" w:lineRule="exact"/>
        <w:rPr>
          <w:sz w:val="20"/>
          <w:szCs w:val="20"/>
          <w:color w:val="auto"/>
        </w:rPr>
      </w:pPr>
    </w:p>
    <w:p>
      <w:pPr>
        <w:ind w:left="4" w:right="20" w:firstLine="440"/>
        <w:spacing w:after="0" w:line="271" w:lineRule="auto"/>
        <w:rPr>
          <w:sz w:val="20"/>
          <w:szCs w:val="20"/>
          <w:color w:val="auto"/>
        </w:rPr>
      </w:pPr>
      <w:r>
        <w:rPr>
          <w:rFonts w:ascii="Arial" w:cs="Arial" w:eastAsia="Arial" w:hAnsi="Arial"/>
          <w:sz w:val="17"/>
          <w:szCs w:val="17"/>
          <w:color w:val="auto"/>
        </w:rPr>
        <w:t>We are an active member in industry groups such as the International Institute of Container Lessors that participate in industry projects such as the evaluation and development of more environmentally friendly container flooring that use bamboo rather than endangered hardwoods. We worked closely with container factories and others in the industry to complete the shift to container flooring that uses farmed wood, such as larch, birch, eucalyptuses and bamboo and we are also supporting industry efforts to implement a floor design which would reduce approximately 30% of the wood content (by substituting steel for wood). The new floor design should commence production in late 2021 or early 2022. We support industry efforts to explore other flooring materials such as orientated strand board and the use of recycled materials. We have also worked with and supported our container suppliers’ transition to the use of waterborne paint that does not use harmful solvents in the drying process. This occurred about four years ago for dry freight containers and the transition is now occurring for refrigerated containers.</w:t>
      </w:r>
    </w:p>
    <w:p>
      <w:pPr>
        <w:spacing w:after="0" w:line="282"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Board and Committee Meetings</w:t>
      </w:r>
    </w:p>
    <w:p>
      <w:pPr>
        <w:spacing w:after="0" w:line="121" w:lineRule="exact"/>
        <w:rPr>
          <w:sz w:val="20"/>
          <w:szCs w:val="20"/>
          <w:color w:val="auto"/>
        </w:rPr>
      </w:pPr>
    </w:p>
    <w:p>
      <w:pPr>
        <w:jc w:val="both"/>
        <w:ind w:left="4" w:right="180" w:firstLine="440"/>
        <w:spacing w:after="0" w:line="311" w:lineRule="auto"/>
        <w:rPr>
          <w:sz w:val="20"/>
          <w:szCs w:val="20"/>
          <w:color w:val="auto"/>
        </w:rPr>
      </w:pPr>
      <w:r>
        <w:rPr>
          <w:rFonts w:ascii="Arial" w:cs="Arial" w:eastAsia="Arial" w:hAnsi="Arial"/>
          <w:sz w:val="16"/>
          <w:szCs w:val="16"/>
          <w:color w:val="auto"/>
        </w:rPr>
        <w:t>In 2020, our Board of Directors held eleven meetings and all current members of the Board attended each meeting occurring during their tenure. In 2020, our Audit Committee held eight meetings, our Compensation Committee held four meetings and our Corporate Governance and Nominating Committee held one meeting. All current committee members attended 100% of the applicable committee meetings during their tenure.</w:t>
      </w:r>
    </w:p>
    <w:p>
      <w:pPr>
        <w:spacing w:after="0" w:line="253"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Senior Management Compensation</w:t>
      </w:r>
    </w:p>
    <w:p>
      <w:pPr>
        <w:spacing w:after="0" w:line="121" w:lineRule="exact"/>
        <w:rPr>
          <w:sz w:val="20"/>
          <w:szCs w:val="20"/>
          <w:color w:val="auto"/>
        </w:rPr>
      </w:pPr>
    </w:p>
    <w:p>
      <w:pPr>
        <w:ind w:left="4"/>
        <w:spacing w:after="0"/>
        <w:rPr>
          <w:sz w:val="20"/>
          <w:szCs w:val="20"/>
          <w:color w:val="auto"/>
        </w:rPr>
      </w:pPr>
      <w:r>
        <w:rPr>
          <w:rFonts w:ascii="Arial" w:cs="Arial" w:eastAsia="Arial" w:hAnsi="Arial"/>
          <w:sz w:val="18"/>
          <w:szCs w:val="18"/>
          <w:b w:val="1"/>
          <w:bCs w:val="1"/>
          <w:i w:val="1"/>
          <w:iCs w:val="1"/>
          <w:color w:val="auto"/>
        </w:rPr>
        <w:t>Compensation Objectives</w:t>
      </w:r>
    </w:p>
    <w:p>
      <w:pPr>
        <w:spacing w:after="0" w:line="117" w:lineRule="exact"/>
        <w:rPr>
          <w:sz w:val="20"/>
          <w:szCs w:val="20"/>
          <w:color w:val="auto"/>
        </w:rPr>
      </w:pPr>
    </w:p>
    <w:p>
      <w:pPr>
        <w:jc w:val="both"/>
        <w:ind w:left="4" w:right="260" w:firstLine="440"/>
        <w:spacing w:after="0" w:line="263" w:lineRule="auto"/>
        <w:rPr>
          <w:sz w:val="20"/>
          <w:szCs w:val="20"/>
          <w:color w:val="auto"/>
        </w:rPr>
      </w:pPr>
      <w:r>
        <w:rPr>
          <w:rFonts w:ascii="Arial" w:cs="Arial" w:eastAsia="Arial" w:hAnsi="Arial"/>
          <w:sz w:val="18"/>
          <w:szCs w:val="18"/>
          <w:color w:val="auto"/>
        </w:rPr>
        <w:t>The Board and the Compensation Committee believe that compensation for executive officers should reward executives for their contributions with a substantial portion of the compensation being “at risk” and tied to corporate performance. Individual performance and key contributions to the success of our business are also substantially weighted in compensation packages.</w:t>
      </w:r>
    </w:p>
    <w:p>
      <w:pPr>
        <w:spacing w:after="0" w:line="184" w:lineRule="exact"/>
        <w:rPr>
          <w:sz w:val="20"/>
          <w:szCs w:val="20"/>
          <w:color w:val="auto"/>
        </w:rPr>
      </w:pPr>
    </w:p>
    <w:p>
      <w:pPr>
        <w:ind w:left="4"/>
        <w:spacing w:after="0"/>
        <w:rPr>
          <w:sz w:val="20"/>
          <w:szCs w:val="20"/>
          <w:color w:val="auto"/>
        </w:rPr>
      </w:pPr>
      <w:r>
        <w:rPr>
          <w:rFonts w:ascii="Arial" w:cs="Arial" w:eastAsia="Arial" w:hAnsi="Arial"/>
          <w:sz w:val="18"/>
          <w:szCs w:val="18"/>
          <w:color w:val="auto"/>
        </w:rPr>
        <w:t>Our executive compensation program seeks to:</w:t>
      </w:r>
    </w:p>
    <w:p>
      <w:pPr>
        <w:spacing w:after="0" w:line="131" w:lineRule="exact"/>
        <w:rPr>
          <w:sz w:val="20"/>
          <w:szCs w:val="20"/>
          <w:color w:val="auto"/>
        </w:rPr>
      </w:pPr>
    </w:p>
    <w:p>
      <w:pPr>
        <w:ind w:left="424" w:hanging="424"/>
        <w:spacing w:after="0"/>
        <w:tabs>
          <w:tab w:leader="none" w:pos="424" w:val="left"/>
        </w:tabs>
        <w:numPr>
          <w:ilvl w:val="0"/>
          <w:numId w:val="147"/>
        </w:numPr>
        <w:rPr>
          <w:rFonts w:ascii="Arial" w:cs="Arial" w:eastAsia="Arial" w:hAnsi="Arial"/>
          <w:sz w:val="18"/>
          <w:szCs w:val="18"/>
          <w:color w:val="auto"/>
        </w:rPr>
      </w:pPr>
      <w:r>
        <w:rPr>
          <w:rFonts w:ascii="Arial" w:cs="Arial" w:eastAsia="Arial" w:hAnsi="Arial"/>
          <w:sz w:val="18"/>
          <w:szCs w:val="18"/>
          <w:color w:val="auto"/>
        </w:rPr>
        <w:t>appropriately reward executives for their contributions to the Company and allow them to share in the Company’s success</w:t>
      </w:r>
    </w:p>
    <w:p>
      <w:pPr>
        <w:spacing w:after="0" w:line="130" w:lineRule="exact"/>
        <w:rPr>
          <w:rFonts w:ascii="Arial" w:cs="Arial" w:eastAsia="Arial" w:hAnsi="Arial"/>
          <w:sz w:val="18"/>
          <w:szCs w:val="18"/>
          <w:color w:val="auto"/>
        </w:rPr>
      </w:pPr>
    </w:p>
    <w:p>
      <w:pPr>
        <w:ind w:left="424" w:hanging="424"/>
        <w:spacing w:after="0"/>
        <w:tabs>
          <w:tab w:leader="none" w:pos="424" w:val="left"/>
        </w:tabs>
        <w:numPr>
          <w:ilvl w:val="0"/>
          <w:numId w:val="147"/>
        </w:numPr>
        <w:rPr>
          <w:rFonts w:ascii="Arial" w:cs="Arial" w:eastAsia="Arial" w:hAnsi="Arial"/>
          <w:sz w:val="18"/>
          <w:szCs w:val="18"/>
          <w:color w:val="auto"/>
        </w:rPr>
      </w:pPr>
      <w:r>
        <w:rPr>
          <w:rFonts w:ascii="Arial" w:cs="Arial" w:eastAsia="Arial" w:hAnsi="Arial"/>
          <w:sz w:val="18"/>
          <w:szCs w:val="18"/>
          <w:color w:val="auto"/>
        </w:rPr>
        <w:t>allow the Company to attract and retain talented executives for our business</w:t>
      </w:r>
    </w:p>
    <w:p>
      <w:pPr>
        <w:spacing w:after="0" w:line="130" w:lineRule="exact"/>
        <w:rPr>
          <w:rFonts w:ascii="Arial" w:cs="Arial" w:eastAsia="Arial" w:hAnsi="Arial"/>
          <w:sz w:val="18"/>
          <w:szCs w:val="18"/>
          <w:color w:val="auto"/>
        </w:rPr>
      </w:pPr>
    </w:p>
    <w:p>
      <w:pPr>
        <w:ind w:left="424" w:right="880" w:hanging="424"/>
        <w:spacing w:after="0" w:line="277" w:lineRule="auto"/>
        <w:tabs>
          <w:tab w:leader="none" w:pos="424" w:val="left"/>
        </w:tabs>
        <w:numPr>
          <w:ilvl w:val="0"/>
          <w:numId w:val="147"/>
        </w:numPr>
        <w:rPr>
          <w:rFonts w:ascii="Arial" w:cs="Arial" w:eastAsia="Arial" w:hAnsi="Arial"/>
          <w:sz w:val="18"/>
          <w:szCs w:val="18"/>
          <w:color w:val="auto"/>
        </w:rPr>
      </w:pPr>
      <w:r>
        <w:rPr>
          <w:rFonts w:ascii="Arial" w:cs="Arial" w:eastAsia="Arial" w:hAnsi="Arial"/>
          <w:sz w:val="18"/>
          <w:szCs w:val="18"/>
          <w:color w:val="auto"/>
        </w:rPr>
        <w:t>align executive compensation with the achievement of our short- and long-term corporate goals and with the long-term interests of our shareholders</w:t>
      </w:r>
    </w:p>
    <w:p>
      <w:pPr>
        <w:spacing w:after="0" w:line="75" w:lineRule="exact"/>
        <w:rPr>
          <w:rFonts w:ascii="Arial" w:cs="Arial" w:eastAsia="Arial" w:hAnsi="Arial"/>
          <w:sz w:val="18"/>
          <w:szCs w:val="18"/>
          <w:color w:val="auto"/>
        </w:rPr>
      </w:pPr>
    </w:p>
    <w:p>
      <w:pPr>
        <w:ind w:left="424" w:hanging="424"/>
        <w:spacing w:after="0"/>
        <w:tabs>
          <w:tab w:leader="none" w:pos="424" w:val="left"/>
        </w:tabs>
        <w:numPr>
          <w:ilvl w:val="0"/>
          <w:numId w:val="147"/>
        </w:numPr>
        <w:rPr>
          <w:rFonts w:ascii="Arial" w:cs="Arial" w:eastAsia="Arial" w:hAnsi="Arial"/>
          <w:sz w:val="18"/>
          <w:szCs w:val="18"/>
          <w:color w:val="auto"/>
        </w:rPr>
      </w:pPr>
      <w:r>
        <w:rPr>
          <w:rFonts w:ascii="Arial" w:cs="Arial" w:eastAsia="Arial" w:hAnsi="Arial"/>
          <w:sz w:val="18"/>
          <w:szCs w:val="18"/>
          <w:color w:val="auto"/>
        </w:rPr>
        <w:t>not promote excessive risk taking</w:t>
      </w:r>
    </w:p>
    <w:p>
      <w:pPr>
        <w:spacing w:after="0" w:line="158"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004"/>
          </w:cols>
          <w:pgMar w:left="436" w:top="274" w:right="459" w:bottom="1440" w:gutter="0" w:footer="0" w:header="0"/>
        </w:sectPr>
      </w:pPr>
    </w:p>
    <w:bookmarkStart w:id="185" w:name="page186"/>
    <w:bookmarkEnd w:id="185"/>
    <w:p>
      <w:pPr>
        <w:ind w:right="40" w:firstLine="440"/>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The Compensation Committee oversees our compensation programs, including our annual short-term and equity-based long term stock compensation program, and in doing so, reviews each annually to see that they do not encourage excessive risk taking. We believe that our compensation practices, which link a substantial portion of executive pay to the Company’s long-term performance and include claw-back provisions to recoup compensation paid to those determined to have acted inappropriately, mitigate excessive risk taking. We also have a policy prohibiting employees from engaging in speculative transactions involving our common shares, including prohibitions on short term trading in Company shares and hedging or pledging transactions.</w:t>
      </w:r>
    </w:p>
    <w:p>
      <w:pPr>
        <w:spacing w:after="0" w:line="30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2020 and 2021 Compensation Program Changes</w:t>
      </w:r>
    </w:p>
    <w:p>
      <w:pPr>
        <w:spacing w:after="0" w:line="117" w:lineRule="exact"/>
        <w:rPr>
          <w:sz w:val="20"/>
          <w:szCs w:val="20"/>
          <w:color w:val="auto"/>
        </w:rPr>
      </w:pPr>
    </w:p>
    <w:p>
      <w:pPr>
        <w:ind w:right="280" w:firstLine="440"/>
        <w:spacing w:after="0" w:line="277" w:lineRule="auto"/>
        <w:rPr>
          <w:sz w:val="20"/>
          <w:szCs w:val="20"/>
          <w:color w:val="auto"/>
        </w:rPr>
      </w:pPr>
      <w:r>
        <w:rPr>
          <w:rFonts w:ascii="Arial" w:cs="Arial" w:eastAsia="Arial" w:hAnsi="Arial"/>
          <w:sz w:val="18"/>
          <w:szCs w:val="18"/>
          <w:color w:val="auto"/>
        </w:rPr>
        <w:t>In October 2020, the Compensation Committee and the Board made substantial changes to our executive compensation program to better align short and long-term compensation with the performance of our Company and increasing shareholder value:</w:t>
      </w:r>
    </w:p>
    <w:p>
      <w:pPr>
        <w:spacing w:after="0" w:line="76" w:lineRule="exact"/>
        <w:rPr>
          <w:sz w:val="20"/>
          <w:szCs w:val="20"/>
          <w:color w:val="auto"/>
        </w:rPr>
      </w:pPr>
    </w:p>
    <w:p>
      <w:pPr>
        <w:ind w:left="960" w:right="120" w:hanging="532"/>
        <w:spacing w:after="0" w:line="273" w:lineRule="auto"/>
        <w:tabs>
          <w:tab w:leader="none" w:pos="960" w:val="left"/>
        </w:tabs>
        <w:numPr>
          <w:ilvl w:val="0"/>
          <w:numId w:val="148"/>
        </w:numPr>
        <w:rPr>
          <w:rFonts w:ascii="Arial" w:cs="Arial" w:eastAsia="Arial" w:hAnsi="Arial"/>
          <w:sz w:val="17"/>
          <w:szCs w:val="17"/>
          <w:color w:val="auto"/>
        </w:rPr>
      </w:pPr>
      <w:r>
        <w:rPr>
          <w:rFonts w:ascii="Arial" w:cs="Arial" w:eastAsia="Arial" w:hAnsi="Arial"/>
          <w:sz w:val="17"/>
          <w:szCs w:val="17"/>
          <w:i w:val="1"/>
          <w:iCs w:val="1"/>
          <w:color w:val="auto"/>
        </w:rPr>
        <w:t xml:space="preserve">Short Term Incentive Program (STIP). </w:t>
      </w:r>
      <w:r>
        <w:rPr>
          <w:rFonts w:ascii="Arial" w:cs="Arial" w:eastAsia="Arial" w:hAnsi="Arial"/>
          <w:sz w:val="17"/>
          <w:szCs w:val="17"/>
          <w:color w:val="auto"/>
        </w:rPr>
        <w:t>Previously, the annual STIP for our executive officers and other employees (including our senior</w:t>
      </w:r>
      <w:r>
        <w:rPr>
          <w:rFonts w:ascii="Arial" w:cs="Arial" w:eastAsia="Arial" w:hAnsi="Arial"/>
          <w:sz w:val="17"/>
          <w:szCs w:val="17"/>
          <w:i w:val="1"/>
          <w:iCs w:val="1"/>
          <w:color w:val="auto"/>
        </w:rPr>
        <w:t xml:space="preserve"> </w:t>
      </w:r>
      <w:r>
        <w:rPr>
          <w:rFonts w:ascii="Arial" w:cs="Arial" w:eastAsia="Arial" w:hAnsi="Arial"/>
          <w:sz w:val="17"/>
          <w:szCs w:val="17"/>
          <w:color w:val="auto"/>
        </w:rPr>
        <w:t>executives) was based on a weighting of 30% of individual performance and 70% company performance relative to budgeted metrics. To align our compensation closer to Company performance and to reward executive officers for their contributions, starting in calendar year 2021 the STIP for our executive officers was changed so STIP payments for executive officers will only occur if company performance is at least 80% or more of budgeted performance (previously the minimum threshold was 50%) and STIP award targets as a percentage of base salary were increased for executive officers to bring compensation closer to market levels.</w:t>
      </w:r>
    </w:p>
    <w:p>
      <w:pPr>
        <w:spacing w:after="0" w:line="83" w:lineRule="exact"/>
        <w:rPr>
          <w:rFonts w:ascii="Arial" w:cs="Arial" w:eastAsia="Arial" w:hAnsi="Arial"/>
          <w:sz w:val="17"/>
          <w:szCs w:val="17"/>
          <w:color w:val="auto"/>
        </w:rPr>
      </w:pPr>
    </w:p>
    <w:p>
      <w:pPr>
        <w:ind w:left="960" w:hanging="532"/>
        <w:spacing w:after="0" w:line="269" w:lineRule="auto"/>
        <w:tabs>
          <w:tab w:leader="none" w:pos="960" w:val="left"/>
        </w:tabs>
        <w:numPr>
          <w:ilvl w:val="0"/>
          <w:numId w:val="148"/>
        </w:numPr>
        <w:rPr>
          <w:rFonts w:ascii="Arial" w:cs="Arial" w:eastAsia="Arial" w:hAnsi="Arial"/>
          <w:sz w:val="17"/>
          <w:szCs w:val="17"/>
          <w:color w:val="auto"/>
        </w:rPr>
      </w:pPr>
      <w:r>
        <w:rPr>
          <w:rFonts w:ascii="Arial" w:cs="Arial" w:eastAsia="Arial" w:hAnsi="Arial"/>
          <w:sz w:val="17"/>
          <w:szCs w:val="17"/>
          <w:i w:val="1"/>
          <w:iCs w:val="1"/>
          <w:color w:val="auto"/>
        </w:rPr>
        <w:t xml:space="preserve">Long-Term Incentive Program (LTIP). </w:t>
      </w:r>
      <w:r>
        <w:rPr>
          <w:rFonts w:ascii="Arial" w:cs="Arial" w:eastAsia="Arial" w:hAnsi="Arial"/>
          <w:sz w:val="17"/>
          <w:szCs w:val="17"/>
          <w:color w:val="auto"/>
        </w:rPr>
        <w:t>Our LTIP program has historically consisted of 50% share options and 50% restricted share grants,</w:t>
      </w:r>
      <w:r>
        <w:rPr>
          <w:rFonts w:ascii="Arial" w:cs="Arial" w:eastAsia="Arial" w:hAnsi="Arial"/>
          <w:sz w:val="17"/>
          <w:szCs w:val="17"/>
          <w:i w:val="1"/>
          <w:iCs w:val="1"/>
          <w:color w:val="auto"/>
        </w:rPr>
        <w:t xml:space="preserve"> </w:t>
      </w:r>
      <w:r>
        <w:rPr>
          <w:rFonts w:ascii="Arial" w:cs="Arial" w:eastAsia="Arial" w:hAnsi="Arial"/>
          <w:sz w:val="17"/>
          <w:szCs w:val="17"/>
          <w:color w:val="auto"/>
        </w:rPr>
        <w:t>each of which vested 25% annually over four years. Additionally, we historically granted a reasonably consistent number of shares year to year regardless of changes in the share price of the Company common shares. For grants made in October 2020, the Compensation Committee made substantial changes to our LTIP program in order to target granting awards with consistent annual initial dollar values based on an employee’s position and salary grade. Further for Company vice presidents and above, the Compensation Committee determined that 75% of the annual award value would be in the form of performance-based restricted shares and 25% in the form of time vested restricted shares. The performance-based restricted shares will have a cliff vesting three years after grant and the vesting percentage will be solely based on the relative performance of the Company’s common shares compared to the Total Shareholder Return (rTSR) of the Russell 2000 index as measured over the vesting period. The changes to the LTIP program make 75% of executive officers’ share based compensation subject to the Company’s share price performance relative to a market index and align executive compensation to shareholder returns.</w:t>
      </w:r>
    </w:p>
    <w:p>
      <w:pPr>
        <w:spacing w:after="0" w:line="182" w:lineRule="exact"/>
        <w:rPr>
          <w:sz w:val="20"/>
          <w:szCs w:val="20"/>
          <w:color w:val="auto"/>
        </w:rPr>
      </w:pPr>
    </w:p>
    <w:p>
      <w:pPr>
        <w:ind w:right="700" w:firstLine="440"/>
        <w:spacing w:after="0" w:line="277" w:lineRule="auto"/>
        <w:rPr>
          <w:sz w:val="20"/>
          <w:szCs w:val="20"/>
          <w:color w:val="auto"/>
        </w:rPr>
      </w:pPr>
      <w:r>
        <w:rPr>
          <w:rFonts w:ascii="Arial" w:cs="Arial" w:eastAsia="Arial" w:hAnsi="Arial"/>
          <w:sz w:val="18"/>
          <w:szCs w:val="18"/>
          <w:color w:val="auto"/>
        </w:rPr>
        <w:t>The Compensation Committee and the Board believe that these changes better align our executive compensation with the interests of our shareholders. Further information on the historic and revised STIP and LTIP programs is set forth below.</w:t>
      </w:r>
    </w:p>
    <w:p>
      <w:pPr>
        <w:spacing w:after="0" w:line="27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Compensation Determination</w:t>
      </w:r>
    </w:p>
    <w:p>
      <w:pPr>
        <w:spacing w:after="0" w:line="117" w:lineRule="exact"/>
        <w:rPr>
          <w:sz w:val="20"/>
          <w:szCs w:val="20"/>
          <w:color w:val="auto"/>
        </w:rPr>
      </w:pPr>
    </w:p>
    <w:p>
      <w:pPr>
        <w:ind w:right="220" w:firstLine="440"/>
        <w:spacing w:after="0" w:line="277" w:lineRule="auto"/>
        <w:rPr>
          <w:sz w:val="20"/>
          <w:szCs w:val="20"/>
          <w:color w:val="auto"/>
        </w:rPr>
      </w:pPr>
      <w:r>
        <w:rPr>
          <w:rFonts w:ascii="Arial" w:cs="Arial" w:eastAsia="Arial" w:hAnsi="Arial"/>
          <w:sz w:val="18"/>
          <w:szCs w:val="18"/>
          <w:color w:val="auto"/>
        </w:rPr>
        <w:t>The compensation programs for our executive officers are designed to offer compensation that is competitive with compensation offered by our competitors and other similar companies in the finance and equipment leasing industries.</w:t>
      </w:r>
    </w:p>
    <w:p>
      <w:pPr>
        <w:spacing w:after="0" w:line="170" w:lineRule="exact"/>
        <w:rPr>
          <w:sz w:val="20"/>
          <w:szCs w:val="20"/>
          <w:color w:val="auto"/>
        </w:rPr>
      </w:pPr>
    </w:p>
    <w:p>
      <w:pPr>
        <w:ind w:right="120" w:firstLine="440"/>
        <w:spacing w:after="0" w:line="263" w:lineRule="auto"/>
        <w:rPr>
          <w:sz w:val="20"/>
          <w:szCs w:val="20"/>
          <w:color w:val="auto"/>
        </w:rPr>
      </w:pPr>
      <w:r>
        <w:rPr>
          <w:rFonts w:ascii="Arial" w:cs="Arial" w:eastAsia="Arial" w:hAnsi="Arial"/>
          <w:sz w:val="18"/>
          <w:szCs w:val="18"/>
          <w:color w:val="auto"/>
        </w:rPr>
        <w:t>Our Compensation Committee is comprised of four independent directors: Hyman Schwiel (Chair), Dudley Cottingham, John Maccarone and David Nurek. In accordance with its charter, the Compensation Committee is responsible for establishing and overseeing our compensation and benefit philosophies, plans and practices, including the compensation for our executive officers.</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000"/>
          </w:cols>
          <w:pgMar w:left="440" w:top="274" w:right="459" w:bottom="1440" w:gutter="0" w:footer="0" w:header="0"/>
        </w:sectPr>
      </w:pPr>
    </w:p>
    <w:bookmarkStart w:id="186" w:name="page187"/>
    <w:bookmarkEnd w:id="186"/>
    <w:p>
      <w:pPr>
        <w:ind w:right="40" w:firstLine="44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The Compensation Committee determines and approves the compensation of, and annually evaluates the performance of, the Chief Executive Officer, the Chief Financial Officer (both of whom are our senior executives) and the other executive officers in light of the goals and objectives of the Company’s executive compensation plans. The Compensation Committee has the authority under its charter to retain compensation consultants to assist it in setting executive compensation and it has historically used Willis Towers Watson and other independent consulting firms to conduct benchmarking and compensation analysis information.</w:t>
      </w:r>
    </w:p>
    <w:p>
      <w:pPr>
        <w:spacing w:after="0" w:line="188" w:lineRule="exact"/>
        <w:rPr>
          <w:sz w:val="20"/>
          <w:szCs w:val="20"/>
          <w:color w:val="auto"/>
        </w:rPr>
      </w:pPr>
    </w:p>
    <w:p>
      <w:pPr>
        <w:ind w:right="300" w:firstLine="440"/>
        <w:spacing w:after="0" w:line="273" w:lineRule="auto"/>
        <w:rPr>
          <w:sz w:val="20"/>
          <w:szCs w:val="20"/>
          <w:color w:val="auto"/>
        </w:rPr>
      </w:pPr>
      <w:r>
        <w:rPr>
          <w:rFonts w:ascii="Arial" w:cs="Arial" w:eastAsia="Arial" w:hAnsi="Arial"/>
          <w:sz w:val="17"/>
          <w:szCs w:val="17"/>
          <w:color w:val="auto"/>
        </w:rPr>
        <w:t>The Compensation Committee consistently has sought to provide compensation packages to our executive officers that are competitive and market-based. Compensation determinations are based on executive and Company performance relative to goals and targets, historic compensation levels and market data on comparable company compensation and performance. In general, the overall compensation for our executive officers is comprised of a mix of base salary, STIP and LTIP. Executive officers like all employees are entitled to participate in our defined contribution 401(k) plan where the Company matches employee contributions to a specified maximum. Executive officers participate in our employee benefit programs, such as health insurance, on the same basis and at the same cost as other employees.</w:t>
      </w:r>
    </w:p>
    <w:p>
      <w:pPr>
        <w:spacing w:after="0" w:line="178" w:lineRule="exact"/>
        <w:rPr>
          <w:sz w:val="20"/>
          <w:szCs w:val="20"/>
          <w:color w:val="auto"/>
        </w:rPr>
      </w:pPr>
    </w:p>
    <w:p>
      <w:pPr>
        <w:ind w:right="20" w:firstLine="440"/>
        <w:spacing w:after="0" w:line="273" w:lineRule="auto"/>
        <w:rPr>
          <w:sz w:val="20"/>
          <w:szCs w:val="20"/>
          <w:color w:val="auto"/>
        </w:rPr>
      </w:pPr>
      <w:r>
        <w:rPr>
          <w:rFonts w:ascii="Arial" w:cs="Arial" w:eastAsia="Arial" w:hAnsi="Arial"/>
          <w:sz w:val="17"/>
          <w:szCs w:val="17"/>
          <w:color w:val="auto"/>
        </w:rPr>
        <w:t>The Compensation Committee, with analytical assistance from Willis Towers Watson, uses peer company data to facilitate its review of the total compensation of our executive officers and to understand market competitive compensation. The Compensation Committee focuses on ensuring that the elements of our executive compensation program are consistent with peer and industry trends. The Compensation Committee does not target compensation to any specific percentile or range compared to peer data for any specific element of compensation or total compensation. Mr. Ghesquiere provides input and recommendations to the Compensation Committee on the compensation of executive officers other than himself. No other executive officer participates in the determination of executive officer compensation.</w:t>
      </w:r>
    </w:p>
    <w:p>
      <w:pPr>
        <w:spacing w:after="0" w:line="2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Base Salary</w:t>
      </w:r>
    </w:p>
    <w:p>
      <w:pPr>
        <w:spacing w:after="0" w:line="117" w:lineRule="exact"/>
        <w:rPr>
          <w:sz w:val="20"/>
          <w:szCs w:val="20"/>
          <w:color w:val="auto"/>
        </w:rPr>
      </w:pPr>
    </w:p>
    <w:p>
      <w:pPr>
        <w:ind w:right="80" w:firstLine="440"/>
        <w:spacing w:after="0" w:line="301" w:lineRule="auto"/>
        <w:rPr>
          <w:sz w:val="20"/>
          <w:szCs w:val="20"/>
          <w:color w:val="auto"/>
        </w:rPr>
      </w:pPr>
      <w:r>
        <w:rPr>
          <w:rFonts w:ascii="Arial" w:cs="Arial" w:eastAsia="Arial" w:hAnsi="Arial"/>
          <w:sz w:val="16"/>
          <w:szCs w:val="16"/>
          <w:color w:val="auto"/>
        </w:rPr>
        <w:t>The Compensation Committee reviews executive officer base salaries annually in an effort to ensure that they are competitive with market levels, appropriate for the job function, responsibility and skills and qualifications of the executive. Cost of living, or inflation adjustments, are also typically made annually to base salaries from the salary in the prior year. The Compensation Committee may also consider the base salaries paid to similarly-positioned executives by peer organizations, individual performance of each of our executive officers and overall Company performance.</w:t>
      </w:r>
    </w:p>
    <w:p>
      <w:pPr>
        <w:spacing w:after="0" w:line="26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Short Term Incentive Program (STIP)</w:t>
      </w:r>
    </w:p>
    <w:p>
      <w:pPr>
        <w:spacing w:after="0" w:line="117" w:lineRule="exact"/>
        <w:rPr>
          <w:sz w:val="20"/>
          <w:szCs w:val="20"/>
          <w:color w:val="auto"/>
        </w:rPr>
      </w:pPr>
    </w:p>
    <w:p>
      <w:pPr>
        <w:jc w:val="both"/>
        <w:ind w:right="240" w:firstLine="440"/>
        <w:spacing w:after="0" w:line="259" w:lineRule="auto"/>
        <w:rPr>
          <w:sz w:val="20"/>
          <w:szCs w:val="20"/>
          <w:color w:val="auto"/>
        </w:rPr>
      </w:pPr>
      <w:r>
        <w:rPr>
          <w:rFonts w:ascii="Arial" w:cs="Arial" w:eastAsia="Arial" w:hAnsi="Arial"/>
          <w:sz w:val="18"/>
          <w:szCs w:val="18"/>
          <w:color w:val="auto"/>
        </w:rPr>
        <w:t>The Compensation Committee believes that our STIP, which provides an annual cash bonus to all employees, including our executive officers, based on performance relative to Company and individual achievement goals provides executives’ incentives to increase shareholder value and helps ensure that we attract and retain talented personnel. The Compensation Committee and the Board review and set objective performance criteria when determining the yearly STIP program.</w:t>
      </w:r>
    </w:p>
    <w:p>
      <w:pPr>
        <w:spacing w:after="0" w:line="187" w:lineRule="exact"/>
        <w:rPr>
          <w:sz w:val="20"/>
          <w:szCs w:val="20"/>
          <w:color w:val="auto"/>
        </w:rPr>
      </w:pPr>
    </w:p>
    <w:p>
      <w:pPr>
        <w:ind w:firstLine="440"/>
        <w:spacing w:after="0" w:line="254" w:lineRule="auto"/>
        <w:rPr>
          <w:sz w:val="20"/>
          <w:szCs w:val="20"/>
          <w:color w:val="auto"/>
        </w:rPr>
      </w:pPr>
      <w:r>
        <w:rPr>
          <w:rFonts w:ascii="Arial" w:cs="Arial" w:eastAsia="Arial" w:hAnsi="Arial"/>
          <w:sz w:val="18"/>
          <w:szCs w:val="18"/>
          <w:color w:val="auto"/>
        </w:rPr>
        <w:t>For calendar year 2020 and prior years, the annual STIP for our executive officers and other employees (excluding our senior executives) was based on a weighting of 30% of individual performance and 70% Company performance relative to budgeted metrics. The company performance targets for 2020 and prior years generally have been Company net income and Company return on equity (ROE). The targeted amounts are determined in an annual Company budget that is subject to Board approval and typically set in the fourth quarter of the year prior to the STIP year. In 2020, 70% of the Company performance target was the net income target and 30% was the ROE target. STIP payments are subject to a multiplier, with a payout of 200% possible with performance at 120% of target. The performance threshold for a STIP payment was at least 50% of targeted performance. STIP awards earned by our executive officers are subject to our claw-back policy in the event an award payment was impacted by financial impropriety of the grantee.</w:t>
      </w:r>
    </w:p>
    <w:p>
      <w:pPr>
        <w:spacing w:after="0" w:line="12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0980"/>
          </w:cols>
          <w:pgMar w:left="440" w:top="274" w:right="479" w:bottom="1440" w:gutter="0" w:footer="0" w:header="0"/>
        </w:sectPr>
      </w:pPr>
    </w:p>
    <w:bookmarkStart w:id="187" w:name="page188"/>
    <w:bookmarkEnd w:id="187"/>
    <w:p>
      <w:pPr>
        <w:ind w:right="80" w:firstLine="44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To align our compensation closer to Company performance and to reward executive officers for their contributions, starting in calendar year 2021 the STIP for our executive officers was changed so STIP payments for executive officers will only occur if Company performance is at least 80% of targeted performance (previously the minimum threshold was 50%) and STIP award targets as a percentage of base salary were increased for executive officers to bring compensation closer to market levels.</w:t>
      </w:r>
    </w:p>
    <w:p>
      <w:pPr>
        <w:spacing w:after="0" w:line="187" w:lineRule="exact"/>
        <w:rPr>
          <w:sz w:val="20"/>
          <w:szCs w:val="20"/>
          <w:color w:val="auto"/>
        </w:rPr>
      </w:pPr>
    </w:p>
    <w:p>
      <w:pPr>
        <w:ind w:right="200" w:firstLine="440"/>
        <w:spacing w:after="0" w:line="259" w:lineRule="auto"/>
        <w:rPr>
          <w:sz w:val="20"/>
          <w:szCs w:val="20"/>
          <w:color w:val="auto"/>
        </w:rPr>
      </w:pPr>
      <w:r>
        <w:rPr>
          <w:rFonts w:ascii="Arial" w:cs="Arial" w:eastAsia="Arial" w:hAnsi="Arial"/>
          <w:sz w:val="18"/>
          <w:szCs w:val="18"/>
          <w:color w:val="auto"/>
        </w:rPr>
        <w:t>In 2020, all STIP participants, including our executive officers received 86.5% of their target incentive award that applied to calendar year 2019 performance with the incentive award paid in early 2020. The 2020 STIP achievement was 200% of the target and is attributable to the Company significantly exceeding the net income and ROE budget targets for 2020. The 2020 STIP payout occurred in March 2021 and will be included in the total compensation amount detailed for senior executives for 2021.</w:t>
      </w:r>
    </w:p>
    <w:p>
      <w:pPr>
        <w:spacing w:after="0" w:line="29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Long-Term Incentive Program (LTIP)</w:t>
      </w:r>
    </w:p>
    <w:p>
      <w:pPr>
        <w:spacing w:after="0" w:line="117" w:lineRule="exact"/>
        <w:rPr>
          <w:sz w:val="20"/>
          <w:szCs w:val="20"/>
          <w:color w:val="auto"/>
        </w:rPr>
      </w:pPr>
    </w:p>
    <w:p>
      <w:pPr>
        <w:ind w:right="100" w:firstLine="440"/>
        <w:spacing w:after="0" w:line="255" w:lineRule="auto"/>
        <w:rPr>
          <w:sz w:val="20"/>
          <w:szCs w:val="20"/>
          <w:color w:val="auto"/>
        </w:rPr>
      </w:pPr>
      <w:r>
        <w:rPr>
          <w:rFonts w:ascii="Arial" w:cs="Arial" w:eastAsia="Arial" w:hAnsi="Arial"/>
          <w:sz w:val="18"/>
          <w:szCs w:val="18"/>
          <w:color w:val="auto"/>
        </w:rPr>
        <w:t>Our LTIP is a share-based program that provides variable “at risk” compensation in the form of equity awards to executive officers to align their compensation with the growth in long-term value for our shareholders, to motivate executive officers in achieving long-range goals and for long term retention. The Compensation Committee administers our 2019 Share Incentive Plan and determines the individuals eligible to receive awards, the types of awards, the number of common shares subject to the awards, the value and timing of awards, and the other terms, conditions, performance criteria and restrictions on the awards. LTIP awards earned by our executive officers are subject to our claw-back policy in the event an award payment was impacted by financial impropriety of the grantee.</w:t>
      </w:r>
    </w:p>
    <w:p>
      <w:pPr>
        <w:spacing w:after="0" w:line="192" w:lineRule="exact"/>
        <w:rPr>
          <w:sz w:val="20"/>
          <w:szCs w:val="20"/>
          <w:color w:val="auto"/>
        </w:rPr>
      </w:pPr>
    </w:p>
    <w:p>
      <w:pPr>
        <w:ind w:right="60" w:firstLine="440"/>
        <w:spacing w:after="0" w:line="287" w:lineRule="auto"/>
        <w:rPr>
          <w:sz w:val="20"/>
          <w:szCs w:val="20"/>
          <w:color w:val="auto"/>
        </w:rPr>
      </w:pPr>
      <w:r>
        <w:rPr>
          <w:rFonts w:ascii="Arial" w:cs="Arial" w:eastAsia="Arial" w:hAnsi="Arial"/>
          <w:sz w:val="16"/>
          <w:szCs w:val="16"/>
          <w:color w:val="auto"/>
        </w:rPr>
        <w:t>For grants made in 2019 and prior years, the LTIP program consisted of 50% share options and 50% restricted share grants, each of which vested 25% annually over four years. Additionally, we historically granted a reasonably consistent total number of shares year to year regardless of changes in the share price of the Company common shares. For grants made in October 2020, the Compensation Committee made substantial changes to our LTIP program in order to target granting awards with consistent annual initial dollar values based on an employee’s position and salary grade. Further for Company vice presidents and above, the Compensation Committee determined that 75% of the annual award value would be in the form of performance-based restricted shares and 25% in the form of restricted share units that vest one third per year over three years. The performance-based restricted shares will have a cliff vesting three years after grant and the vesting percentage will be solely based on the relative performance of the total shareholder return on the Company’s common shares compared to the Total Shareholder Return (rTSR) of the Russell 2000 index as measured over the vesting period. If the Company’s rTSR is in the 50th percentile of the Russell index, 100% of the grant shall vest. If Company rTSR is at the 25th percentile of the Russell index, 50% of the grant shall vest and if performance is at the 75th or greater percentile of the Russell index, 200% of the grant shall vest. None of the performance based restricted shares shall vest if performance is below the 25th percentile of the Russell index.</w:t>
      </w:r>
    </w:p>
    <w:p>
      <w:pPr>
        <w:spacing w:after="0" w:line="172" w:lineRule="exact"/>
        <w:rPr>
          <w:sz w:val="20"/>
          <w:szCs w:val="20"/>
          <w:color w:val="auto"/>
        </w:rPr>
      </w:pPr>
    </w:p>
    <w:p>
      <w:pPr>
        <w:ind w:right="180" w:firstLine="440"/>
        <w:spacing w:after="0" w:line="263" w:lineRule="auto"/>
        <w:rPr>
          <w:sz w:val="20"/>
          <w:szCs w:val="20"/>
          <w:color w:val="auto"/>
        </w:rPr>
      </w:pPr>
      <w:r>
        <w:rPr>
          <w:rFonts w:ascii="Arial" w:cs="Arial" w:eastAsia="Arial" w:hAnsi="Arial"/>
          <w:sz w:val="18"/>
          <w:szCs w:val="18"/>
          <w:color w:val="auto"/>
        </w:rPr>
        <w:t>The changes to the LTIP program make 75% of executive officers’ share based compensation subject to the Company’s share price performance relative to a market index and align executive compensation to shareholder returns so executive officers will not disproportionately benefit if the Company does not outperform the market index.</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Total Executive Compensation for 2020</w:t>
      </w:r>
    </w:p>
    <w:p>
      <w:pPr>
        <w:spacing w:after="0" w:line="121" w:lineRule="exact"/>
        <w:rPr>
          <w:sz w:val="20"/>
          <w:szCs w:val="20"/>
          <w:color w:val="auto"/>
        </w:rPr>
      </w:pPr>
    </w:p>
    <w:p>
      <w:pPr>
        <w:ind w:firstLine="440"/>
        <w:spacing w:after="0" w:line="257" w:lineRule="auto"/>
        <w:rPr>
          <w:sz w:val="20"/>
          <w:szCs w:val="20"/>
          <w:color w:val="auto"/>
        </w:rPr>
      </w:pPr>
      <w:r>
        <w:rPr>
          <w:rFonts w:ascii="Arial" w:cs="Arial" w:eastAsia="Arial" w:hAnsi="Arial"/>
          <w:sz w:val="18"/>
          <w:szCs w:val="18"/>
          <w:color w:val="auto"/>
        </w:rPr>
        <w:t>The aggregate direct compensation we paid to our two senior executives (CEO and CFO) as a group for the year ended December 31, 2020 was approximately $2,301,000, which included approximately $316,000 in STIP bonuses paid in 2020 (representing STIP earned for calendar year 2019 but paid in early 2020), approximately $772,000 in restricted stock awards that vested in 2020 from grants made in prior years, and approximately $70,000 funds set aside or accrued to provide for health and life insurance, retirement, or similar benefits. This amount does not include expenses we incurred for other payments, including dues for professional and business</w:t>
      </w:r>
    </w:p>
    <w:p>
      <w:pPr>
        <w:spacing w:after="0" w:line="12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000"/>
          </w:cols>
          <w:pgMar w:left="440" w:top="274" w:right="459" w:bottom="1440" w:gutter="0" w:footer="0" w:header="0"/>
        </w:sectPr>
      </w:pPr>
    </w:p>
    <w:bookmarkStart w:id="188" w:name="page189"/>
    <w:bookmarkEnd w:id="188"/>
    <w:p>
      <w:pPr>
        <w:ind w:left="4" w:right="340"/>
        <w:spacing w:after="0" w:line="30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associations, business travel and other expenses, which amounted to approximately $11,000. We did not pay our senior executives who also serve as directors any separate compensation for their directorship during 2020, other than reimbursements for travel expenses.</w:t>
      </w:r>
    </w:p>
    <w:p>
      <w:pPr>
        <w:spacing w:after="0" w:line="146" w:lineRule="exact"/>
        <w:rPr>
          <w:sz w:val="20"/>
          <w:szCs w:val="20"/>
          <w:color w:val="auto"/>
        </w:rPr>
      </w:pPr>
    </w:p>
    <w:p>
      <w:pPr>
        <w:ind w:left="444"/>
        <w:spacing w:after="0"/>
        <w:rPr>
          <w:sz w:val="20"/>
          <w:szCs w:val="20"/>
          <w:color w:val="auto"/>
        </w:rPr>
      </w:pPr>
      <w:r>
        <w:rPr>
          <w:rFonts w:ascii="Arial" w:cs="Arial" w:eastAsia="Arial" w:hAnsi="Arial"/>
          <w:sz w:val="18"/>
          <w:szCs w:val="18"/>
          <w:color w:val="auto"/>
        </w:rPr>
        <w:t>The direct compensation paid to our two senior executives composed of the following in 2020:</w:t>
      </w:r>
    </w:p>
    <w:p>
      <w:pPr>
        <w:spacing w:after="0" w:line="231" w:lineRule="exact"/>
        <w:rPr>
          <w:sz w:val="20"/>
          <w:szCs w:val="20"/>
          <w:color w:val="auto"/>
        </w:rPr>
      </w:pPr>
    </w:p>
    <w:tbl>
      <w:tblPr>
        <w:tblLayout w:type="fixed"/>
        <w:tblInd w:w="4" w:type="dxa"/>
        <w:tblCellMar>
          <w:top w:w="0" w:type="dxa"/>
          <w:left w:w="0" w:type="dxa"/>
          <w:bottom w:w="0" w:type="dxa"/>
          <w:right w:w="0" w:type="dxa"/>
        </w:tblCellMar>
      </w:tblPr>
      <w:tr>
        <w:trPr>
          <w:trHeight w:val="161"/>
        </w:trPr>
        <w:tc>
          <w:tcPr>
            <w:tcW w:w="1760" w:type="dxa"/>
            <w:vAlign w:val="bottom"/>
          </w:tcPr>
          <w:p>
            <w:pPr>
              <w:spacing w:after="0"/>
              <w:rPr>
                <w:sz w:val="14"/>
                <w:szCs w:val="14"/>
                <w:color w:val="auto"/>
              </w:rPr>
            </w:pPr>
          </w:p>
        </w:tc>
        <w:tc>
          <w:tcPr>
            <w:tcW w:w="4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98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91"/>
              </w:rPr>
              <w:t>Value of</w:t>
            </w:r>
          </w:p>
        </w:tc>
        <w:tc>
          <w:tcPr>
            <w:tcW w:w="9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9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8"/>
        </w:trPr>
        <w:tc>
          <w:tcPr>
            <w:tcW w:w="1760" w:type="dxa"/>
            <w:vAlign w:val="bottom"/>
          </w:tcPr>
          <w:p>
            <w:pPr>
              <w:spacing w:after="0"/>
              <w:rPr>
                <w:sz w:val="12"/>
                <w:szCs w:val="12"/>
                <w:color w:val="auto"/>
              </w:rPr>
            </w:pPr>
          </w:p>
        </w:tc>
        <w:tc>
          <w:tcPr>
            <w:tcW w:w="4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920" w:type="dxa"/>
            <w:vAlign w:val="bottom"/>
            <w:gridSpan w:val="2"/>
            <w:vMerge w:val="restart"/>
          </w:tcPr>
          <w:p>
            <w:pPr>
              <w:jc w:val="center"/>
              <w:ind w:right="240"/>
              <w:spacing w:after="0"/>
              <w:rPr>
                <w:sz w:val="20"/>
                <w:szCs w:val="20"/>
                <w:color w:val="auto"/>
              </w:rPr>
            </w:pPr>
            <w:r>
              <w:rPr>
                <w:rFonts w:ascii="Arial" w:cs="Arial" w:eastAsia="Arial" w:hAnsi="Arial"/>
                <w:sz w:val="14"/>
                <w:szCs w:val="14"/>
                <w:b w:val="1"/>
                <w:bCs w:val="1"/>
                <w:color w:val="auto"/>
              </w:rPr>
              <w:t>STIP</w:t>
            </w:r>
          </w:p>
        </w:tc>
        <w:tc>
          <w:tcPr>
            <w:tcW w:w="98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93"/>
              </w:rPr>
              <w:t>Restricted</w:t>
            </w:r>
          </w:p>
        </w:tc>
        <w:tc>
          <w:tcPr>
            <w:tcW w:w="1140" w:type="dxa"/>
            <w:vAlign w:val="bottom"/>
            <w:gridSpan w:val="2"/>
            <w:vMerge w:val="restart"/>
          </w:tcPr>
          <w:p>
            <w:pPr>
              <w:jc w:val="center"/>
              <w:ind w:right="240"/>
              <w:spacing w:after="0"/>
              <w:rPr>
                <w:sz w:val="20"/>
                <w:szCs w:val="20"/>
                <w:color w:val="auto"/>
              </w:rPr>
            </w:pPr>
            <w:r>
              <w:rPr>
                <w:rFonts w:ascii="Arial" w:cs="Arial" w:eastAsia="Arial" w:hAnsi="Arial"/>
                <w:sz w:val="14"/>
                <w:szCs w:val="14"/>
                <w:b w:val="1"/>
                <w:bCs w:val="1"/>
                <w:color w:val="auto"/>
                <w:w w:val="98"/>
              </w:rPr>
              <w:t>All Other</w:t>
            </w:r>
          </w:p>
        </w:tc>
        <w:tc>
          <w:tcPr>
            <w:tcW w:w="960" w:type="dxa"/>
            <w:vAlign w:val="bottom"/>
            <w:gridSpan w:val="2"/>
            <w:vMerge w:val="restart"/>
          </w:tcPr>
          <w:p>
            <w:pPr>
              <w:jc w:val="center"/>
              <w:ind w:right="60"/>
              <w:spacing w:after="0"/>
              <w:rPr>
                <w:sz w:val="20"/>
                <w:szCs w:val="20"/>
                <w:color w:val="auto"/>
              </w:rPr>
            </w:pPr>
            <w:r>
              <w:rPr>
                <w:rFonts w:ascii="Arial" w:cs="Arial" w:eastAsia="Arial" w:hAnsi="Arial"/>
                <w:sz w:val="14"/>
                <w:szCs w:val="14"/>
                <w:b w:val="1"/>
                <w:bCs w:val="1"/>
                <w:color w:val="auto"/>
                <w:w w:val="89"/>
              </w:rPr>
              <w:t>Total</w:t>
            </w:r>
          </w:p>
        </w:tc>
        <w:tc>
          <w:tcPr>
            <w:tcW w:w="0" w:type="dxa"/>
            <w:vAlign w:val="bottom"/>
          </w:tcPr>
          <w:p>
            <w:pPr>
              <w:spacing w:after="0"/>
              <w:rPr>
                <w:sz w:val="1"/>
                <w:szCs w:val="1"/>
                <w:color w:val="auto"/>
              </w:rPr>
            </w:pPr>
          </w:p>
        </w:tc>
      </w:tr>
      <w:tr>
        <w:trPr>
          <w:trHeight w:val="148"/>
        </w:trPr>
        <w:tc>
          <w:tcPr>
            <w:tcW w:w="1760" w:type="dxa"/>
            <w:vAlign w:val="bottom"/>
          </w:tcPr>
          <w:p>
            <w:pPr>
              <w:spacing w:after="0"/>
              <w:rPr>
                <w:sz w:val="12"/>
                <w:szCs w:val="12"/>
                <w:color w:val="auto"/>
              </w:rPr>
            </w:pPr>
          </w:p>
        </w:tc>
        <w:tc>
          <w:tcPr>
            <w:tcW w:w="4100" w:type="dxa"/>
            <w:vAlign w:val="bottom"/>
          </w:tcPr>
          <w:p>
            <w:pPr>
              <w:spacing w:after="0"/>
              <w:rPr>
                <w:sz w:val="12"/>
                <w:szCs w:val="12"/>
                <w:color w:val="auto"/>
              </w:rPr>
            </w:pPr>
          </w:p>
        </w:tc>
        <w:tc>
          <w:tcPr>
            <w:tcW w:w="1160" w:type="dxa"/>
            <w:vAlign w:val="bottom"/>
            <w:gridSpan w:val="3"/>
            <w:vMerge w:val="restart"/>
          </w:tcPr>
          <w:p>
            <w:pPr>
              <w:jc w:val="right"/>
              <w:ind w:right="240"/>
              <w:spacing w:after="0"/>
              <w:rPr>
                <w:sz w:val="20"/>
                <w:szCs w:val="20"/>
                <w:color w:val="auto"/>
              </w:rPr>
            </w:pPr>
            <w:r>
              <w:rPr>
                <w:rFonts w:ascii="Arial" w:cs="Arial" w:eastAsia="Arial" w:hAnsi="Arial"/>
                <w:sz w:val="14"/>
                <w:szCs w:val="14"/>
                <w:b w:val="1"/>
                <w:bCs w:val="1"/>
                <w:color w:val="auto"/>
              </w:rPr>
              <w:t>Salary Paid</w:t>
            </w:r>
          </w:p>
        </w:tc>
        <w:tc>
          <w:tcPr>
            <w:tcW w:w="920" w:type="dxa"/>
            <w:vAlign w:val="bottom"/>
            <w:gridSpan w:val="2"/>
            <w:vMerge w:val="continue"/>
          </w:tcPr>
          <w:p>
            <w:pPr>
              <w:spacing w:after="0"/>
              <w:rPr>
                <w:sz w:val="12"/>
                <w:szCs w:val="12"/>
                <w:color w:val="auto"/>
              </w:rPr>
            </w:pPr>
          </w:p>
        </w:tc>
        <w:tc>
          <w:tcPr>
            <w:tcW w:w="98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92"/>
              </w:rPr>
              <w:t>Share Units</w:t>
            </w:r>
          </w:p>
        </w:tc>
        <w:tc>
          <w:tcPr>
            <w:tcW w:w="1140" w:type="dxa"/>
            <w:vAlign w:val="bottom"/>
            <w:gridSpan w:val="2"/>
            <w:vMerge w:val="continue"/>
          </w:tcPr>
          <w:p>
            <w:pPr>
              <w:spacing w:after="0"/>
              <w:rPr>
                <w:sz w:val="12"/>
                <w:szCs w:val="12"/>
                <w:color w:val="auto"/>
              </w:rPr>
            </w:pPr>
          </w:p>
        </w:tc>
        <w:tc>
          <w:tcPr>
            <w:tcW w:w="96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1760" w:type="dxa"/>
            <w:vAlign w:val="bottom"/>
          </w:tcPr>
          <w:p>
            <w:pPr>
              <w:spacing w:after="0"/>
              <w:rPr>
                <w:sz w:val="12"/>
                <w:szCs w:val="12"/>
                <w:color w:val="auto"/>
              </w:rPr>
            </w:pPr>
          </w:p>
        </w:tc>
        <w:tc>
          <w:tcPr>
            <w:tcW w:w="4100" w:type="dxa"/>
            <w:vAlign w:val="bottom"/>
          </w:tcPr>
          <w:p>
            <w:pPr>
              <w:spacing w:after="0"/>
              <w:rPr>
                <w:sz w:val="12"/>
                <w:szCs w:val="12"/>
                <w:color w:val="auto"/>
              </w:rPr>
            </w:pPr>
          </w:p>
        </w:tc>
        <w:tc>
          <w:tcPr>
            <w:tcW w:w="1160" w:type="dxa"/>
            <w:vAlign w:val="bottom"/>
            <w:gridSpan w:val="3"/>
            <w:vMerge w:val="continue"/>
          </w:tcPr>
          <w:p>
            <w:pPr>
              <w:spacing w:after="0"/>
              <w:rPr>
                <w:sz w:val="12"/>
                <w:szCs w:val="12"/>
                <w:color w:val="auto"/>
              </w:rPr>
            </w:pPr>
          </w:p>
        </w:tc>
        <w:tc>
          <w:tcPr>
            <w:tcW w:w="92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95"/>
              </w:rPr>
              <w:t>Paid in</w:t>
            </w:r>
          </w:p>
        </w:tc>
        <w:tc>
          <w:tcPr>
            <w:tcW w:w="98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90"/>
              </w:rPr>
              <w:t>that Vested</w:t>
            </w:r>
          </w:p>
        </w:tc>
        <w:tc>
          <w:tcPr>
            <w:tcW w:w="114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90"/>
              </w:rPr>
              <w:t>Compensation</w:t>
            </w:r>
          </w:p>
        </w:tc>
        <w:tc>
          <w:tcPr>
            <w:tcW w:w="960" w:type="dxa"/>
            <w:vAlign w:val="bottom"/>
            <w:gridSpan w:val="2"/>
          </w:tcPr>
          <w:p>
            <w:pPr>
              <w:jc w:val="center"/>
              <w:ind w:right="60"/>
              <w:spacing w:after="0" w:line="149" w:lineRule="exact"/>
              <w:rPr>
                <w:sz w:val="20"/>
                <w:szCs w:val="20"/>
                <w:color w:val="auto"/>
              </w:rPr>
            </w:pPr>
            <w:r>
              <w:rPr>
                <w:rFonts w:ascii="Arial" w:cs="Arial" w:eastAsia="Arial" w:hAnsi="Arial"/>
                <w:sz w:val="14"/>
                <w:szCs w:val="14"/>
                <w:b w:val="1"/>
                <w:bCs w:val="1"/>
                <w:color w:val="auto"/>
                <w:w w:val="92"/>
              </w:rPr>
              <w:t>Compensation</w:t>
            </w:r>
          </w:p>
        </w:tc>
        <w:tc>
          <w:tcPr>
            <w:tcW w:w="0" w:type="dxa"/>
            <w:vAlign w:val="bottom"/>
          </w:tcPr>
          <w:p>
            <w:pPr>
              <w:spacing w:after="0"/>
              <w:rPr>
                <w:sz w:val="1"/>
                <w:szCs w:val="1"/>
                <w:color w:val="auto"/>
              </w:rPr>
            </w:pPr>
          </w:p>
        </w:tc>
      </w:tr>
      <w:tr>
        <w:trPr>
          <w:trHeight w:val="148"/>
        </w:trPr>
        <w:tc>
          <w:tcPr>
            <w:tcW w:w="1760" w:type="dxa"/>
            <w:vAlign w:val="bottom"/>
            <w:vMerge w:val="restart"/>
          </w:tcPr>
          <w:p>
            <w:pPr>
              <w:spacing w:after="0"/>
              <w:rPr>
                <w:sz w:val="20"/>
                <w:szCs w:val="20"/>
                <w:color w:val="auto"/>
              </w:rPr>
            </w:pPr>
            <w:r>
              <w:rPr>
                <w:rFonts w:ascii="Arial" w:cs="Arial" w:eastAsia="Arial" w:hAnsi="Arial"/>
                <w:sz w:val="14"/>
                <w:szCs w:val="14"/>
                <w:b w:val="1"/>
                <w:bCs w:val="1"/>
                <w:color w:val="auto"/>
                <w:w w:val="92"/>
              </w:rPr>
              <w:t>Name and Principal Position</w:t>
            </w:r>
          </w:p>
        </w:tc>
        <w:tc>
          <w:tcPr>
            <w:tcW w:w="4100" w:type="dxa"/>
            <w:vAlign w:val="bottom"/>
            <w:vMerge w:val="restart"/>
          </w:tcPr>
          <w:p>
            <w:pPr>
              <w:spacing w:after="0"/>
              <w:rPr>
                <w:sz w:val="12"/>
                <w:szCs w:val="12"/>
                <w:color w:val="auto"/>
              </w:rPr>
            </w:pPr>
          </w:p>
        </w:tc>
        <w:tc>
          <w:tcPr>
            <w:tcW w:w="200" w:type="dxa"/>
            <w:vAlign w:val="bottom"/>
          </w:tcPr>
          <w:p>
            <w:pPr>
              <w:spacing w:after="0"/>
              <w:rPr>
                <w:sz w:val="12"/>
                <w:szCs w:val="12"/>
                <w:color w:val="auto"/>
              </w:rPr>
            </w:pPr>
          </w:p>
        </w:tc>
        <w:tc>
          <w:tcPr>
            <w:tcW w:w="960" w:type="dxa"/>
            <w:vAlign w:val="bottom"/>
            <w:gridSpan w:val="2"/>
          </w:tcPr>
          <w:p>
            <w:pPr>
              <w:ind w:left="140"/>
              <w:spacing w:after="0" w:line="149" w:lineRule="exact"/>
              <w:rPr>
                <w:sz w:val="20"/>
                <w:szCs w:val="20"/>
                <w:color w:val="auto"/>
              </w:rPr>
            </w:pPr>
            <w:r>
              <w:rPr>
                <w:rFonts w:ascii="Arial" w:cs="Arial" w:eastAsia="Arial" w:hAnsi="Arial"/>
                <w:sz w:val="14"/>
                <w:szCs w:val="14"/>
                <w:b w:val="1"/>
                <w:bCs w:val="1"/>
                <w:color w:val="auto"/>
              </w:rPr>
              <w:t>in 2020</w:t>
            </w:r>
          </w:p>
        </w:tc>
        <w:tc>
          <w:tcPr>
            <w:tcW w:w="660" w:type="dxa"/>
            <w:vAlign w:val="bottom"/>
          </w:tcPr>
          <w:p>
            <w:pPr>
              <w:jc w:val="right"/>
              <w:ind w:right="102"/>
              <w:spacing w:after="0" w:line="149" w:lineRule="exact"/>
              <w:rPr>
                <w:sz w:val="20"/>
                <w:szCs w:val="20"/>
                <w:color w:val="auto"/>
              </w:rPr>
            </w:pPr>
            <w:r>
              <w:rPr>
                <w:rFonts w:ascii="Arial" w:cs="Arial" w:eastAsia="Arial" w:hAnsi="Arial"/>
                <w:sz w:val="14"/>
                <w:szCs w:val="14"/>
                <w:b w:val="1"/>
                <w:bCs w:val="1"/>
                <w:color w:val="auto"/>
              </w:rPr>
              <w:t>2020</w:t>
            </w:r>
          </w:p>
        </w:tc>
        <w:tc>
          <w:tcPr>
            <w:tcW w:w="260" w:type="dxa"/>
            <w:vAlign w:val="bottom"/>
          </w:tcPr>
          <w:p>
            <w:pPr>
              <w:spacing w:after="0"/>
              <w:rPr>
                <w:sz w:val="12"/>
                <w:szCs w:val="12"/>
                <w:color w:val="auto"/>
              </w:rPr>
            </w:pPr>
          </w:p>
        </w:tc>
        <w:tc>
          <w:tcPr>
            <w:tcW w:w="98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92"/>
              </w:rPr>
              <w:t>in 2020</w:t>
            </w:r>
          </w:p>
        </w:tc>
        <w:tc>
          <w:tcPr>
            <w:tcW w:w="114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92"/>
              </w:rPr>
              <w:t>in 2020</w:t>
            </w:r>
          </w:p>
        </w:tc>
        <w:tc>
          <w:tcPr>
            <w:tcW w:w="960" w:type="dxa"/>
            <w:vAlign w:val="bottom"/>
            <w:gridSpan w:val="2"/>
          </w:tcPr>
          <w:p>
            <w:pPr>
              <w:jc w:val="center"/>
              <w:ind w:right="40"/>
              <w:spacing w:after="0" w:line="149" w:lineRule="exact"/>
              <w:rPr>
                <w:sz w:val="20"/>
                <w:szCs w:val="20"/>
                <w:color w:val="auto"/>
              </w:rPr>
            </w:pPr>
            <w:r>
              <w:rPr>
                <w:rFonts w:ascii="Arial" w:cs="Arial" w:eastAsia="Arial" w:hAnsi="Arial"/>
                <w:sz w:val="14"/>
                <w:szCs w:val="14"/>
                <w:b w:val="1"/>
                <w:bCs w:val="1"/>
                <w:color w:val="auto"/>
                <w:w w:val="92"/>
              </w:rPr>
              <w:t>in 2020</w:t>
            </w:r>
          </w:p>
        </w:tc>
        <w:tc>
          <w:tcPr>
            <w:tcW w:w="0" w:type="dxa"/>
            <w:vAlign w:val="bottom"/>
          </w:tcPr>
          <w:p>
            <w:pPr>
              <w:spacing w:after="0"/>
              <w:rPr>
                <w:sz w:val="1"/>
                <w:szCs w:val="1"/>
                <w:color w:val="auto"/>
              </w:rPr>
            </w:pPr>
          </w:p>
        </w:tc>
      </w:tr>
      <w:tr>
        <w:trPr>
          <w:trHeight w:val="178"/>
        </w:trPr>
        <w:tc>
          <w:tcPr>
            <w:tcW w:w="1760" w:type="dxa"/>
            <w:vAlign w:val="bottom"/>
            <w:tcBorders>
              <w:bottom w:val="single" w:sz="8" w:color="auto"/>
            </w:tcBorders>
            <w:vMerge w:val="continue"/>
          </w:tcPr>
          <w:p>
            <w:pPr>
              <w:spacing w:after="0"/>
              <w:rPr>
                <w:sz w:val="15"/>
                <w:szCs w:val="15"/>
                <w:color w:val="auto"/>
              </w:rPr>
            </w:pPr>
          </w:p>
        </w:tc>
        <w:tc>
          <w:tcPr>
            <w:tcW w:w="4100" w:type="dxa"/>
            <w:vAlign w:val="bottom"/>
            <w:vMerge w:val="continue"/>
          </w:tcPr>
          <w:p>
            <w:pPr>
              <w:spacing w:after="0"/>
              <w:rPr>
                <w:sz w:val="15"/>
                <w:szCs w:val="15"/>
                <w:color w:val="auto"/>
              </w:rPr>
            </w:pPr>
          </w:p>
        </w:tc>
        <w:tc>
          <w:tcPr>
            <w:tcW w:w="920" w:type="dxa"/>
            <w:vAlign w:val="bottom"/>
            <w:gridSpan w:val="2"/>
          </w:tcPr>
          <w:p>
            <w:pPr>
              <w:jc w:val="right"/>
              <w:ind w:right="199"/>
              <w:spacing w:after="0" w:line="158" w:lineRule="exact"/>
              <w:rPr>
                <w:sz w:val="20"/>
                <w:szCs w:val="20"/>
                <w:color w:val="auto"/>
              </w:rPr>
            </w:pPr>
            <w:r>
              <w:rPr>
                <w:rFonts w:ascii="Arial" w:cs="Arial" w:eastAsia="Arial" w:hAnsi="Arial"/>
                <w:sz w:val="14"/>
                <w:szCs w:val="14"/>
                <w:b w:val="1"/>
                <w:bCs w:val="1"/>
                <w:color w:val="auto"/>
              </w:rPr>
              <w:t>($)</w:t>
            </w:r>
          </w:p>
        </w:tc>
        <w:tc>
          <w:tcPr>
            <w:tcW w:w="240" w:type="dxa"/>
            <w:vAlign w:val="bottom"/>
          </w:tcPr>
          <w:p>
            <w:pPr>
              <w:spacing w:after="0"/>
              <w:rPr>
                <w:sz w:val="15"/>
                <w:szCs w:val="15"/>
                <w:color w:val="auto"/>
              </w:rPr>
            </w:pPr>
          </w:p>
        </w:tc>
        <w:tc>
          <w:tcPr>
            <w:tcW w:w="660" w:type="dxa"/>
            <w:vAlign w:val="bottom"/>
          </w:tcPr>
          <w:p>
            <w:pPr>
              <w:jc w:val="right"/>
              <w:ind w:right="162"/>
              <w:spacing w:after="0" w:line="158" w:lineRule="exact"/>
              <w:rPr>
                <w:sz w:val="20"/>
                <w:szCs w:val="20"/>
                <w:color w:val="auto"/>
              </w:rPr>
            </w:pPr>
            <w:r>
              <w:rPr>
                <w:rFonts w:ascii="Arial" w:cs="Arial" w:eastAsia="Arial" w:hAnsi="Arial"/>
                <w:sz w:val="14"/>
                <w:szCs w:val="14"/>
                <w:b w:val="1"/>
                <w:bCs w:val="1"/>
                <w:color w:val="auto"/>
              </w:rPr>
              <w:t>($)</w:t>
            </w:r>
          </w:p>
        </w:tc>
        <w:tc>
          <w:tcPr>
            <w:tcW w:w="260" w:type="dxa"/>
            <w:vAlign w:val="bottom"/>
          </w:tcPr>
          <w:p>
            <w:pPr>
              <w:spacing w:after="0"/>
              <w:rPr>
                <w:sz w:val="15"/>
                <w:szCs w:val="15"/>
                <w:color w:val="auto"/>
              </w:rPr>
            </w:pPr>
          </w:p>
        </w:tc>
        <w:tc>
          <w:tcPr>
            <w:tcW w:w="720" w:type="dxa"/>
            <w:vAlign w:val="bottom"/>
          </w:tcPr>
          <w:p>
            <w:pPr>
              <w:jc w:val="center"/>
              <w:spacing w:after="0" w:line="158" w:lineRule="exact"/>
              <w:rPr>
                <w:sz w:val="20"/>
                <w:szCs w:val="20"/>
                <w:color w:val="auto"/>
              </w:rPr>
            </w:pPr>
            <w:r>
              <w:rPr>
                <w:rFonts w:ascii="Arial" w:cs="Arial" w:eastAsia="Arial" w:hAnsi="Arial"/>
                <w:sz w:val="14"/>
                <w:szCs w:val="14"/>
                <w:b w:val="1"/>
                <w:bCs w:val="1"/>
                <w:color w:val="auto"/>
                <w:w w:val="94"/>
              </w:rPr>
              <w:t>($) (1) (2)</w:t>
            </w:r>
          </w:p>
        </w:tc>
        <w:tc>
          <w:tcPr>
            <w:tcW w:w="260" w:type="dxa"/>
            <w:vAlign w:val="bottom"/>
          </w:tcPr>
          <w:p>
            <w:pPr>
              <w:spacing w:after="0"/>
              <w:rPr>
                <w:sz w:val="15"/>
                <w:szCs w:val="15"/>
                <w:color w:val="auto"/>
              </w:rPr>
            </w:pPr>
          </w:p>
        </w:tc>
        <w:tc>
          <w:tcPr>
            <w:tcW w:w="900" w:type="dxa"/>
            <w:vAlign w:val="bottom"/>
          </w:tcPr>
          <w:p>
            <w:pPr>
              <w:jc w:val="center"/>
              <w:spacing w:after="0" w:line="158" w:lineRule="exact"/>
              <w:rPr>
                <w:sz w:val="20"/>
                <w:szCs w:val="20"/>
                <w:color w:val="auto"/>
              </w:rPr>
            </w:pPr>
            <w:r>
              <w:rPr>
                <w:rFonts w:ascii="Arial" w:cs="Arial" w:eastAsia="Arial" w:hAnsi="Arial"/>
                <w:sz w:val="14"/>
                <w:szCs w:val="14"/>
                <w:b w:val="1"/>
                <w:bCs w:val="1"/>
                <w:color w:val="auto"/>
                <w:w w:val="99"/>
              </w:rPr>
              <w:t>($) (3)</w:t>
            </w:r>
          </w:p>
        </w:tc>
        <w:tc>
          <w:tcPr>
            <w:tcW w:w="240" w:type="dxa"/>
            <w:vAlign w:val="bottom"/>
          </w:tcPr>
          <w:p>
            <w:pPr>
              <w:spacing w:after="0"/>
              <w:rPr>
                <w:sz w:val="15"/>
                <w:szCs w:val="15"/>
                <w:color w:val="auto"/>
              </w:rPr>
            </w:pPr>
          </w:p>
        </w:tc>
        <w:tc>
          <w:tcPr>
            <w:tcW w:w="900" w:type="dxa"/>
            <w:vAlign w:val="bottom"/>
          </w:tcPr>
          <w:p>
            <w:pPr>
              <w:jc w:val="center"/>
              <w:spacing w:after="0" w:line="158" w:lineRule="exact"/>
              <w:rPr>
                <w:sz w:val="20"/>
                <w:szCs w:val="20"/>
                <w:color w:val="auto"/>
              </w:rPr>
            </w:pPr>
            <w:r>
              <w:rPr>
                <w:rFonts w:ascii="Arial" w:cs="Arial" w:eastAsia="Arial" w:hAnsi="Arial"/>
                <w:sz w:val="14"/>
                <w:szCs w:val="14"/>
                <w:b w:val="1"/>
                <w:bCs w:val="1"/>
                <w:color w:val="auto"/>
              </w:rPr>
              <w:t>($)</w:t>
            </w: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03"/>
        </w:trPr>
        <w:tc>
          <w:tcPr>
            <w:tcW w:w="586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Olivier Ghesquiere</w:t>
            </w:r>
          </w:p>
        </w:tc>
        <w:tc>
          <w:tcPr>
            <w:tcW w:w="200" w:type="dxa"/>
            <w:vAlign w:val="bottom"/>
            <w:tcBorders>
              <w:top w:val="single" w:sz="8" w:color="CCEEFF"/>
            </w:tcBorders>
            <w:shd w:val="clear" w:color="auto" w:fill="CCEEFF"/>
          </w:tcPr>
          <w:p>
            <w:pPr>
              <w:spacing w:after="0"/>
              <w:rPr>
                <w:sz w:val="17"/>
                <w:szCs w:val="17"/>
                <w:color w:val="auto"/>
              </w:rPr>
            </w:pPr>
          </w:p>
        </w:tc>
        <w:tc>
          <w:tcPr>
            <w:tcW w:w="72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653,919</w:t>
            </w:r>
          </w:p>
        </w:tc>
        <w:tc>
          <w:tcPr>
            <w:tcW w:w="240" w:type="dxa"/>
            <w:vAlign w:val="bottom"/>
            <w:tcBorders>
              <w:top w:val="single" w:sz="8" w:color="CCEEFF"/>
            </w:tcBorders>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98"/>
              </w:rPr>
              <w:t>260,219</w:t>
            </w:r>
          </w:p>
        </w:tc>
        <w:tc>
          <w:tcPr>
            <w:tcW w:w="260" w:type="dxa"/>
            <w:vAlign w:val="bottom"/>
            <w:tcBorders>
              <w:top w:val="single" w:sz="8" w:color="CCEEFF"/>
            </w:tcBorders>
            <w:shd w:val="clear" w:color="auto" w:fill="CCEEFF"/>
          </w:tcPr>
          <w:p>
            <w:pPr>
              <w:spacing w:after="0"/>
              <w:rPr>
                <w:sz w:val="17"/>
                <w:szCs w:val="17"/>
                <w:color w:val="auto"/>
              </w:rPr>
            </w:pPr>
          </w:p>
        </w:tc>
        <w:tc>
          <w:tcPr>
            <w:tcW w:w="72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557,901</w:t>
            </w:r>
          </w:p>
        </w:tc>
        <w:tc>
          <w:tcPr>
            <w:tcW w:w="260" w:type="dxa"/>
            <w:vAlign w:val="bottom"/>
            <w:tcBorders>
              <w:top w:val="single" w:sz="8" w:color="CCEEFF"/>
            </w:tcBorders>
            <w:shd w:val="clear" w:color="auto" w:fill="CCEEFF"/>
          </w:tcPr>
          <w:p>
            <w:pPr>
              <w:spacing w:after="0"/>
              <w:rPr>
                <w:sz w:val="17"/>
                <w:szCs w:val="17"/>
                <w:color w:val="auto"/>
              </w:rPr>
            </w:pPr>
          </w:p>
        </w:tc>
        <w:tc>
          <w:tcPr>
            <w:tcW w:w="90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35,247</w:t>
            </w:r>
          </w:p>
        </w:tc>
        <w:tc>
          <w:tcPr>
            <w:tcW w:w="240" w:type="dxa"/>
            <w:vAlign w:val="bottom"/>
            <w:tcBorders>
              <w:top w:val="single" w:sz="8" w:color="CCEEFF"/>
            </w:tcBorders>
            <w:shd w:val="clear" w:color="auto" w:fill="CCEEFF"/>
          </w:tcPr>
          <w:p>
            <w:pPr>
              <w:spacing w:after="0"/>
              <w:rPr>
                <w:sz w:val="17"/>
                <w:szCs w:val="17"/>
                <w:color w:val="auto"/>
              </w:rPr>
            </w:pPr>
          </w:p>
        </w:tc>
        <w:tc>
          <w:tcPr>
            <w:tcW w:w="90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1,507,286</w:t>
            </w:r>
          </w:p>
        </w:tc>
        <w:tc>
          <w:tcPr>
            <w:tcW w:w="6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5860" w:type="dxa"/>
            <w:vAlign w:val="bottom"/>
            <w:gridSpan w:val="2"/>
            <w:shd w:val="clear" w:color="auto" w:fill="CCEEFF"/>
          </w:tcPr>
          <w:p>
            <w:pPr>
              <w:spacing w:after="0"/>
              <w:rPr>
                <w:sz w:val="20"/>
                <w:szCs w:val="20"/>
                <w:color w:val="auto"/>
              </w:rPr>
            </w:pPr>
            <w:r>
              <w:rPr>
                <w:rFonts w:ascii="Arial" w:cs="Arial" w:eastAsia="Arial" w:hAnsi="Arial"/>
                <w:sz w:val="18"/>
                <w:szCs w:val="18"/>
                <w:i w:val="1"/>
                <w:iCs w:val="1"/>
                <w:color w:val="auto"/>
              </w:rPr>
              <w:t>President and Chief Executive Officer</w:t>
            </w:r>
          </w:p>
        </w:tc>
        <w:tc>
          <w:tcPr>
            <w:tcW w:w="2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5860" w:type="dxa"/>
            <w:vAlign w:val="bottom"/>
            <w:gridSpan w:val="2"/>
          </w:tcPr>
          <w:p>
            <w:pPr>
              <w:spacing w:after="0" w:line="201" w:lineRule="exact"/>
              <w:rPr>
                <w:sz w:val="20"/>
                <w:szCs w:val="20"/>
                <w:color w:val="auto"/>
              </w:rPr>
            </w:pPr>
            <w:r>
              <w:rPr>
                <w:rFonts w:ascii="Arial" w:cs="Arial" w:eastAsia="Arial" w:hAnsi="Arial"/>
                <w:sz w:val="18"/>
                <w:szCs w:val="18"/>
                <w:color w:val="auto"/>
              </w:rPr>
              <w:t>Michael K. Chan</w:t>
            </w:r>
          </w:p>
        </w:tc>
        <w:tc>
          <w:tcPr>
            <w:tcW w:w="1160" w:type="dxa"/>
            <w:vAlign w:val="bottom"/>
            <w:gridSpan w:val="3"/>
          </w:tcPr>
          <w:p>
            <w:pPr>
              <w:jc w:val="right"/>
              <w:ind w:right="240"/>
              <w:spacing w:after="0" w:line="201" w:lineRule="exact"/>
              <w:rPr>
                <w:sz w:val="20"/>
                <w:szCs w:val="20"/>
                <w:color w:val="auto"/>
              </w:rPr>
            </w:pPr>
            <w:r>
              <w:rPr>
                <w:rFonts w:ascii="Arial" w:cs="Arial" w:eastAsia="Arial" w:hAnsi="Arial"/>
                <w:sz w:val="18"/>
                <w:szCs w:val="18"/>
                <w:color w:val="auto"/>
              </w:rPr>
              <w:t>402,759</w:t>
            </w:r>
          </w:p>
        </w:tc>
        <w:tc>
          <w:tcPr>
            <w:tcW w:w="920" w:type="dxa"/>
            <w:vAlign w:val="bottom"/>
            <w:gridSpan w:val="2"/>
          </w:tcPr>
          <w:p>
            <w:pPr>
              <w:jc w:val="right"/>
              <w:ind w:right="260"/>
              <w:spacing w:after="0" w:line="201" w:lineRule="exact"/>
              <w:rPr>
                <w:sz w:val="20"/>
                <w:szCs w:val="20"/>
                <w:color w:val="auto"/>
              </w:rPr>
            </w:pPr>
            <w:r>
              <w:rPr>
                <w:rFonts w:ascii="Arial" w:cs="Arial" w:eastAsia="Arial" w:hAnsi="Arial"/>
                <w:sz w:val="18"/>
                <w:szCs w:val="18"/>
                <w:color w:val="auto"/>
                <w:w w:val="98"/>
              </w:rPr>
              <w:t>141,937</w:t>
            </w:r>
          </w:p>
        </w:tc>
        <w:tc>
          <w:tcPr>
            <w:tcW w:w="980" w:type="dxa"/>
            <w:vAlign w:val="bottom"/>
            <w:gridSpan w:val="2"/>
          </w:tcPr>
          <w:p>
            <w:pPr>
              <w:jc w:val="right"/>
              <w:ind w:right="260"/>
              <w:spacing w:after="0" w:line="201" w:lineRule="exact"/>
              <w:rPr>
                <w:sz w:val="20"/>
                <w:szCs w:val="20"/>
                <w:color w:val="auto"/>
              </w:rPr>
            </w:pPr>
            <w:r>
              <w:rPr>
                <w:rFonts w:ascii="Arial" w:cs="Arial" w:eastAsia="Arial" w:hAnsi="Arial"/>
                <w:sz w:val="18"/>
                <w:szCs w:val="18"/>
                <w:color w:val="auto"/>
              </w:rPr>
              <w:t>213,879</w:t>
            </w:r>
          </w:p>
        </w:tc>
        <w:tc>
          <w:tcPr>
            <w:tcW w:w="1140" w:type="dxa"/>
            <w:vAlign w:val="bottom"/>
            <w:gridSpan w:val="2"/>
          </w:tcPr>
          <w:p>
            <w:pPr>
              <w:jc w:val="right"/>
              <w:ind w:right="240"/>
              <w:spacing w:after="0" w:line="201" w:lineRule="exact"/>
              <w:rPr>
                <w:sz w:val="20"/>
                <w:szCs w:val="20"/>
                <w:color w:val="auto"/>
              </w:rPr>
            </w:pPr>
            <w:r>
              <w:rPr>
                <w:rFonts w:ascii="Arial" w:cs="Arial" w:eastAsia="Arial" w:hAnsi="Arial"/>
                <w:sz w:val="18"/>
                <w:szCs w:val="18"/>
                <w:color w:val="auto"/>
              </w:rPr>
              <w:t>35,247</w:t>
            </w:r>
          </w:p>
        </w:tc>
        <w:tc>
          <w:tcPr>
            <w:tcW w:w="960" w:type="dxa"/>
            <w:vAlign w:val="bottom"/>
            <w:gridSpan w:val="2"/>
          </w:tcPr>
          <w:p>
            <w:pPr>
              <w:jc w:val="right"/>
              <w:ind w:right="60"/>
              <w:spacing w:after="0" w:line="201" w:lineRule="exact"/>
              <w:rPr>
                <w:sz w:val="20"/>
                <w:szCs w:val="20"/>
                <w:color w:val="auto"/>
              </w:rPr>
            </w:pPr>
            <w:r>
              <w:rPr>
                <w:rFonts w:ascii="Arial" w:cs="Arial" w:eastAsia="Arial" w:hAnsi="Arial"/>
                <w:sz w:val="18"/>
                <w:szCs w:val="18"/>
                <w:color w:val="auto"/>
              </w:rPr>
              <w:t>793,822</w:t>
            </w:r>
          </w:p>
        </w:tc>
        <w:tc>
          <w:tcPr>
            <w:tcW w:w="0" w:type="dxa"/>
            <w:vAlign w:val="bottom"/>
          </w:tcPr>
          <w:p>
            <w:pPr>
              <w:spacing w:after="0"/>
              <w:rPr>
                <w:sz w:val="1"/>
                <w:szCs w:val="1"/>
                <w:color w:val="auto"/>
              </w:rPr>
            </w:pPr>
          </w:p>
        </w:tc>
      </w:tr>
      <w:tr>
        <w:trPr>
          <w:trHeight w:val="230"/>
        </w:trPr>
        <w:tc>
          <w:tcPr>
            <w:tcW w:w="5860" w:type="dxa"/>
            <w:vAlign w:val="bottom"/>
            <w:gridSpan w:val="2"/>
          </w:tcPr>
          <w:p>
            <w:pPr>
              <w:spacing w:after="0"/>
              <w:rPr>
                <w:sz w:val="20"/>
                <w:szCs w:val="20"/>
                <w:color w:val="auto"/>
              </w:rPr>
            </w:pPr>
            <w:r>
              <w:rPr>
                <w:rFonts w:ascii="Arial" w:cs="Arial" w:eastAsia="Arial" w:hAnsi="Arial"/>
                <w:sz w:val="18"/>
                <w:szCs w:val="18"/>
                <w:i w:val="1"/>
                <w:iCs w:val="1"/>
                <w:color w:val="auto"/>
              </w:rPr>
              <w:t>Executive Vice President and Chief Financial Officer</w:t>
            </w:r>
          </w:p>
        </w:tc>
        <w:tc>
          <w:tcPr>
            <w:tcW w:w="20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29" w:lineRule="exact"/>
        <w:rPr>
          <w:sz w:val="20"/>
          <w:szCs w:val="20"/>
          <w:color w:val="auto"/>
        </w:rPr>
      </w:pPr>
    </w:p>
    <w:p>
      <w:pPr>
        <w:ind w:left="424" w:right="140" w:hanging="424"/>
        <w:spacing w:after="0" w:line="258" w:lineRule="auto"/>
        <w:tabs>
          <w:tab w:leader="none" w:pos="424" w:val="left"/>
        </w:tabs>
        <w:numPr>
          <w:ilvl w:val="0"/>
          <w:numId w:val="149"/>
        </w:numPr>
        <w:rPr>
          <w:rFonts w:ascii="Arial" w:cs="Arial" w:eastAsia="Arial" w:hAnsi="Arial"/>
          <w:sz w:val="18"/>
          <w:szCs w:val="18"/>
          <w:color w:val="auto"/>
        </w:rPr>
      </w:pPr>
      <w:r>
        <w:rPr>
          <w:rFonts w:ascii="Arial" w:cs="Arial" w:eastAsia="Arial" w:hAnsi="Arial"/>
          <w:sz w:val="18"/>
          <w:szCs w:val="18"/>
          <w:color w:val="auto"/>
        </w:rPr>
        <w:t>The time-based restricted share award values shown in this column represent the value realized on vesting. The value realized for restricted share units is based on the closing price of our common stock on the vesting date.</w:t>
      </w:r>
    </w:p>
    <w:p>
      <w:pPr>
        <w:spacing w:after="0" w:line="1" w:lineRule="exact"/>
        <w:rPr>
          <w:rFonts w:ascii="Arial" w:cs="Arial" w:eastAsia="Arial" w:hAnsi="Arial"/>
          <w:sz w:val="18"/>
          <w:szCs w:val="18"/>
          <w:color w:val="auto"/>
        </w:rPr>
      </w:pPr>
    </w:p>
    <w:p>
      <w:pPr>
        <w:ind w:left="424" w:right="60" w:hanging="424"/>
        <w:spacing w:after="0" w:line="250" w:lineRule="auto"/>
        <w:tabs>
          <w:tab w:leader="none" w:pos="424" w:val="left"/>
        </w:tabs>
        <w:numPr>
          <w:ilvl w:val="0"/>
          <w:numId w:val="149"/>
        </w:numPr>
        <w:rPr>
          <w:rFonts w:ascii="Arial" w:cs="Arial" w:eastAsia="Arial" w:hAnsi="Arial"/>
          <w:sz w:val="18"/>
          <w:szCs w:val="18"/>
          <w:color w:val="auto"/>
        </w:rPr>
      </w:pPr>
      <w:r>
        <w:rPr>
          <w:rFonts w:ascii="Arial" w:cs="Arial" w:eastAsia="Arial" w:hAnsi="Arial"/>
          <w:sz w:val="18"/>
          <w:szCs w:val="18"/>
          <w:color w:val="auto"/>
        </w:rPr>
        <w:t>The amounts shown in this column exclude the aggregate value of the stock options that vested in 2020 for approximately $558,000 and $214,000 to Mr. Ghesquiere and Mr. Chan, respectively, which is based on the closing price of our common stock on the vesting date. For stock option awards, the value realized is the difference between the closing price of our common stock on the date of exercise and the exercise price. There were no stock options exercised by the named executive officers during 2020.</w:t>
      </w:r>
    </w:p>
    <w:p>
      <w:pPr>
        <w:spacing w:after="0" w:line="1" w:lineRule="exact"/>
        <w:rPr>
          <w:rFonts w:ascii="Arial" w:cs="Arial" w:eastAsia="Arial" w:hAnsi="Arial"/>
          <w:sz w:val="18"/>
          <w:szCs w:val="18"/>
          <w:color w:val="auto"/>
        </w:rPr>
      </w:pPr>
    </w:p>
    <w:p>
      <w:pPr>
        <w:ind w:left="424" w:right="200" w:hanging="424"/>
        <w:spacing w:after="0" w:line="260" w:lineRule="auto"/>
        <w:tabs>
          <w:tab w:leader="none" w:pos="424" w:val="left"/>
        </w:tabs>
        <w:numPr>
          <w:ilvl w:val="0"/>
          <w:numId w:val="149"/>
        </w:numPr>
        <w:rPr>
          <w:rFonts w:ascii="Arial" w:cs="Arial" w:eastAsia="Arial" w:hAnsi="Arial"/>
          <w:sz w:val="18"/>
          <w:szCs w:val="18"/>
          <w:color w:val="auto"/>
        </w:rPr>
      </w:pPr>
      <w:r>
        <w:rPr>
          <w:rFonts w:ascii="Arial" w:cs="Arial" w:eastAsia="Arial" w:hAnsi="Arial"/>
          <w:sz w:val="18"/>
          <w:szCs w:val="18"/>
          <w:color w:val="auto"/>
        </w:rPr>
        <w:t>These amounts include a Company paid match of 401(k) contributions of $7,500, health insurance costs paid by the Company and life insurance premiums paid by the Company. These benefits are available to all US based Company employees on similar terms.</w:t>
      </w:r>
    </w:p>
    <w:p>
      <w:pPr>
        <w:spacing w:after="0" w:line="185" w:lineRule="exact"/>
        <w:rPr>
          <w:sz w:val="20"/>
          <w:szCs w:val="20"/>
          <w:color w:val="auto"/>
        </w:rPr>
      </w:pPr>
    </w:p>
    <w:p>
      <w:pPr>
        <w:ind w:left="4" w:right="160" w:firstLine="440"/>
        <w:spacing w:after="0" w:line="259" w:lineRule="auto"/>
        <w:rPr>
          <w:sz w:val="20"/>
          <w:szCs w:val="20"/>
          <w:color w:val="auto"/>
        </w:rPr>
      </w:pPr>
      <w:r>
        <w:rPr>
          <w:rFonts w:ascii="Arial" w:cs="Arial" w:eastAsia="Arial" w:hAnsi="Arial"/>
          <w:sz w:val="18"/>
          <w:szCs w:val="18"/>
          <w:color w:val="auto"/>
        </w:rPr>
        <w:t>During 2020, our executive officers as a group were granted 94,844 performance-based restricted share units and 28,956 time-based restricted share units through our 2019 Share Incentive Plan. As noted above under the discussion of our LTIP program, 75% of the awards granted in 2020 were performance-based restricted share units and 25% of the awards were time-based restricted share units. Our executive officers received the following LTIP awards in 2020:</w:t>
      </w:r>
    </w:p>
    <w:p>
      <w:pPr>
        <w:spacing w:after="0" w:line="193" w:lineRule="exact"/>
        <w:rPr>
          <w:sz w:val="20"/>
          <w:szCs w:val="20"/>
          <w:color w:val="auto"/>
        </w:rPr>
      </w:pPr>
    </w:p>
    <w:tbl>
      <w:tblPr>
        <w:tblLayout w:type="fixed"/>
        <w:tblInd w:w="884" w:type="dxa"/>
        <w:tblCellMar>
          <w:top w:w="0" w:type="dxa"/>
          <w:left w:w="0" w:type="dxa"/>
          <w:bottom w:w="0" w:type="dxa"/>
          <w:right w:w="0" w:type="dxa"/>
        </w:tblCellMar>
      </w:tblPr>
      <w:tr>
        <w:trPr>
          <w:trHeight w:val="161"/>
        </w:trPr>
        <w:tc>
          <w:tcPr>
            <w:tcW w:w="1560" w:type="dxa"/>
            <w:vAlign w:val="bottom"/>
          </w:tcPr>
          <w:p>
            <w:pPr>
              <w:spacing w:after="0"/>
              <w:rPr>
                <w:sz w:val="14"/>
                <w:szCs w:val="14"/>
                <w:color w:val="auto"/>
              </w:rPr>
            </w:pPr>
          </w:p>
        </w:tc>
        <w:tc>
          <w:tcPr>
            <w:tcW w:w="2020" w:type="dxa"/>
            <w:vAlign w:val="bottom"/>
          </w:tcPr>
          <w:p>
            <w:pPr>
              <w:spacing w:after="0"/>
              <w:rPr>
                <w:sz w:val="14"/>
                <w:szCs w:val="14"/>
                <w:color w:val="auto"/>
              </w:rPr>
            </w:pPr>
          </w:p>
        </w:tc>
        <w:tc>
          <w:tcPr>
            <w:tcW w:w="1200" w:type="dxa"/>
            <w:vAlign w:val="bottom"/>
          </w:tcPr>
          <w:p>
            <w:pPr>
              <w:jc w:val="center"/>
              <w:spacing w:after="0"/>
              <w:rPr>
                <w:sz w:val="20"/>
                <w:szCs w:val="20"/>
                <w:color w:val="auto"/>
              </w:rPr>
            </w:pPr>
            <w:r>
              <w:rPr>
                <w:rFonts w:ascii="Arial" w:cs="Arial" w:eastAsia="Arial" w:hAnsi="Arial"/>
                <w:sz w:val="14"/>
                <w:szCs w:val="14"/>
                <w:b w:val="1"/>
                <w:bCs w:val="1"/>
                <w:color w:val="auto"/>
                <w:w w:val="94"/>
              </w:rPr>
              <w:t>Number of</w:t>
            </w:r>
          </w:p>
        </w:tc>
        <w:tc>
          <w:tcPr>
            <w:tcW w:w="700" w:type="dxa"/>
            <w:vAlign w:val="bottom"/>
          </w:tcPr>
          <w:p>
            <w:pPr>
              <w:spacing w:after="0"/>
              <w:rPr>
                <w:sz w:val="14"/>
                <w:szCs w:val="14"/>
                <w:color w:val="auto"/>
              </w:rPr>
            </w:pPr>
          </w:p>
        </w:tc>
        <w:tc>
          <w:tcPr>
            <w:tcW w:w="1520" w:type="dxa"/>
            <w:vAlign w:val="bottom"/>
          </w:tcPr>
          <w:p>
            <w:pPr>
              <w:spacing w:after="0"/>
              <w:rPr>
                <w:sz w:val="14"/>
                <w:szCs w:val="14"/>
                <w:color w:val="auto"/>
              </w:rPr>
            </w:pPr>
          </w:p>
        </w:tc>
        <w:tc>
          <w:tcPr>
            <w:tcW w:w="2260" w:type="dxa"/>
            <w:vAlign w:val="bottom"/>
            <w:gridSpan w:val="3"/>
            <w:vMerge w:val="restart"/>
          </w:tcPr>
          <w:p>
            <w:pPr>
              <w:jc w:val="center"/>
              <w:ind w:left="562"/>
              <w:spacing w:after="0"/>
              <w:rPr>
                <w:sz w:val="20"/>
                <w:szCs w:val="20"/>
                <w:color w:val="auto"/>
              </w:rPr>
            </w:pPr>
            <w:r>
              <w:rPr>
                <w:rFonts w:ascii="Arial" w:cs="Arial" w:eastAsia="Arial" w:hAnsi="Arial"/>
                <w:sz w:val="14"/>
                <w:szCs w:val="14"/>
                <w:b w:val="1"/>
                <w:bCs w:val="1"/>
                <w:color w:val="auto"/>
                <w:w w:val="92"/>
              </w:rPr>
              <w:t>Total value of restricted</w:t>
            </w:r>
          </w:p>
        </w:tc>
        <w:tc>
          <w:tcPr>
            <w:tcW w:w="0" w:type="dxa"/>
            <w:vAlign w:val="bottom"/>
          </w:tcPr>
          <w:p>
            <w:pPr>
              <w:spacing w:after="0"/>
              <w:rPr>
                <w:sz w:val="1"/>
                <w:szCs w:val="1"/>
                <w:color w:val="auto"/>
              </w:rPr>
            </w:pPr>
          </w:p>
        </w:tc>
      </w:tr>
      <w:tr>
        <w:trPr>
          <w:trHeight w:val="149"/>
        </w:trPr>
        <w:tc>
          <w:tcPr>
            <w:tcW w:w="1560" w:type="dxa"/>
            <w:vAlign w:val="bottom"/>
          </w:tcPr>
          <w:p>
            <w:pPr>
              <w:spacing w:after="0"/>
              <w:rPr>
                <w:sz w:val="12"/>
                <w:szCs w:val="12"/>
                <w:color w:val="auto"/>
              </w:rPr>
            </w:pPr>
          </w:p>
        </w:tc>
        <w:tc>
          <w:tcPr>
            <w:tcW w:w="3220" w:type="dxa"/>
            <w:vAlign w:val="bottom"/>
            <w:gridSpan w:val="2"/>
          </w:tcPr>
          <w:p>
            <w:pPr>
              <w:jc w:val="center"/>
              <w:ind w:left="1899"/>
              <w:spacing w:after="0" w:line="149" w:lineRule="exact"/>
              <w:rPr>
                <w:sz w:val="20"/>
                <w:szCs w:val="20"/>
                <w:color w:val="auto"/>
              </w:rPr>
            </w:pPr>
            <w:r>
              <w:rPr>
                <w:rFonts w:ascii="Arial" w:cs="Arial" w:eastAsia="Arial" w:hAnsi="Arial"/>
                <w:sz w:val="14"/>
                <w:szCs w:val="14"/>
                <w:b w:val="1"/>
                <w:bCs w:val="1"/>
                <w:color w:val="auto"/>
                <w:w w:val="92"/>
              </w:rPr>
              <w:t>performance-based</w:t>
            </w:r>
          </w:p>
        </w:tc>
        <w:tc>
          <w:tcPr>
            <w:tcW w:w="700" w:type="dxa"/>
            <w:vAlign w:val="bottom"/>
          </w:tcPr>
          <w:p>
            <w:pPr>
              <w:spacing w:after="0"/>
              <w:rPr>
                <w:sz w:val="12"/>
                <w:szCs w:val="12"/>
                <w:color w:val="auto"/>
              </w:rPr>
            </w:pPr>
          </w:p>
        </w:tc>
        <w:tc>
          <w:tcPr>
            <w:tcW w:w="1520" w:type="dxa"/>
            <w:vAlign w:val="bottom"/>
            <w:vMerge w:val="restart"/>
          </w:tcPr>
          <w:p>
            <w:pPr>
              <w:jc w:val="right"/>
              <w:spacing w:after="0"/>
              <w:rPr>
                <w:sz w:val="20"/>
                <w:szCs w:val="20"/>
                <w:color w:val="auto"/>
              </w:rPr>
            </w:pPr>
            <w:r>
              <w:rPr>
                <w:rFonts w:ascii="Arial" w:cs="Arial" w:eastAsia="Arial" w:hAnsi="Arial"/>
                <w:sz w:val="14"/>
                <w:szCs w:val="14"/>
                <w:b w:val="1"/>
                <w:bCs w:val="1"/>
                <w:color w:val="auto"/>
                <w:w w:val="96"/>
              </w:rPr>
              <w:t>Number of time-based</w:t>
            </w:r>
          </w:p>
        </w:tc>
        <w:tc>
          <w:tcPr>
            <w:tcW w:w="226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1560" w:type="dxa"/>
            <w:vAlign w:val="bottom"/>
            <w:vMerge w:val="restart"/>
          </w:tcPr>
          <w:p>
            <w:pPr>
              <w:spacing w:after="0"/>
              <w:rPr>
                <w:sz w:val="20"/>
                <w:szCs w:val="20"/>
                <w:color w:val="auto"/>
              </w:rPr>
            </w:pPr>
            <w:r>
              <w:rPr>
                <w:rFonts w:ascii="Arial" w:cs="Arial" w:eastAsia="Arial" w:hAnsi="Arial"/>
                <w:sz w:val="14"/>
                <w:szCs w:val="14"/>
                <w:b w:val="1"/>
                <w:bCs w:val="1"/>
                <w:color w:val="auto"/>
                <w:w w:val="93"/>
              </w:rPr>
              <w:t>Named Executive Officer</w:t>
            </w:r>
          </w:p>
        </w:tc>
        <w:tc>
          <w:tcPr>
            <w:tcW w:w="2020" w:type="dxa"/>
            <w:vAlign w:val="bottom"/>
          </w:tcPr>
          <w:p>
            <w:pPr>
              <w:spacing w:after="0"/>
              <w:rPr>
                <w:sz w:val="12"/>
                <w:szCs w:val="12"/>
                <w:color w:val="auto"/>
              </w:rPr>
            </w:pPr>
          </w:p>
        </w:tc>
        <w:tc>
          <w:tcPr>
            <w:tcW w:w="12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1"/>
              </w:rPr>
              <w:t>restricted share</w:t>
            </w:r>
          </w:p>
        </w:tc>
        <w:tc>
          <w:tcPr>
            <w:tcW w:w="700" w:type="dxa"/>
            <w:vAlign w:val="bottom"/>
          </w:tcPr>
          <w:p>
            <w:pPr>
              <w:spacing w:after="0"/>
              <w:rPr>
                <w:sz w:val="12"/>
                <w:szCs w:val="12"/>
                <w:color w:val="auto"/>
              </w:rPr>
            </w:pPr>
          </w:p>
        </w:tc>
        <w:tc>
          <w:tcPr>
            <w:tcW w:w="1520" w:type="dxa"/>
            <w:vAlign w:val="bottom"/>
            <w:vMerge w:val="continue"/>
          </w:tcPr>
          <w:p>
            <w:pPr>
              <w:spacing w:after="0"/>
              <w:rPr>
                <w:sz w:val="12"/>
                <w:szCs w:val="12"/>
                <w:color w:val="auto"/>
              </w:rPr>
            </w:pPr>
          </w:p>
        </w:tc>
        <w:tc>
          <w:tcPr>
            <w:tcW w:w="720" w:type="dxa"/>
            <w:vAlign w:val="bottom"/>
          </w:tcPr>
          <w:p>
            <w:pPr>
              <w:spacing w:after="0"/>
              <w:rPr>
                <w:sz w:val="12"/>
                <w:szCs w:val="12"/>
                <w:color w:val="auto"/>
              </w:rPr>
            </w:pPr>
          </w:p>
        </w:tc>
        <w:tc>
          <w:tcPr>
            <w:tcW w:w="1540" w:type="dxa"/>
            <w:vAlign w:val="bottom"/>
            <w:gridSpan w:val="2"/>
          </w:tcPr>
          <w:p>
            <w:pPr>
              <w:jc w:val="center"/>
              <w:ind w:right="60"/>
              <w:spacing w:after="0" w:line="149" w:lineRule="exact"/>
              <w:rPr>
                <w:sz w:val="20"/>
                <w:szCs w:val="20"/>
                <w:color w:val="auto"/>
              </w:rPr>
            </w:pPr>
            <w:r>
              <w:rPr>
                <w:rFonts w:ascii="Arial" w:cs="Arial" w:eastAsia="Arial" w:hAnsi="Arial"/>
                <w:sz w:val="14"/>
                <w:szCs w:val="14"/>
                <w:b w:val="1"/>
                <w:bCs w:val="1"/>
                <w:color w:val="auto"/>
                <w:w w:val="92"/>
              </w:rPr>
              <w:t>share units granted in</w:t>
            </w:r>
          </w:p>
        </w:tc>
        <w:tc>
          <w:tcPr>
            <w:tcW w:w="0" w:type="dxa"/>
            <w:vAlign w:val="bottom"/>
          </w:tcPr>
          <w:p>
            <w:pPr>
              <w:spacing w:after="0"/>
              <w:rPr>
                <w:sz w:val="1"/>
                <w:szCs w:val="1"/>
                <w:color w:val="auto"/>
              </w:rPr>
            </w:pPr>
          </w:p>
        </w:tc>
      </w:tr>
      <w:tr>
        <w:trPr>
          <w:trHeight w:val="178"/>
        </w:trPr>
        <w:tc>
          <w:tcPr>
            <w:tcW w:w="1560" w:type="dxa"/>
            <w:vAlign w:val="bottom"/>
            <w:tcBorders>
              <w:bottom w:val="single" w:sz="8" w:color="auto"/>
            </w:tcBorders>
            <w:vMerge w:val="continue"/>
          </w:tcPr>
          <w:p>
            <w:pPr>
              <w:spacing w:after="0"/>
              <w:rPr>
                <w:sz w:val="15"/>
                <w:szCs w:val="15"/>
                <w:color w:val="auto"/>
              </w:rPr>
            </w:pPr>
          </w:p>
        </w:tc>
        <w:tc>
          <w:tcPr>
            <w:tcW w:w="2020" w:type="dxa"/>
            <w:vAlign w:val="bottom"/>
          </w:tcPr>
          <w:p>
            <w:pPr>
              <w:spacing w:after="0"/>
              <w:rPr>
                <w:sz w:val="15"/>
                <w:szCs w:val="15"/>
                <w:color w:val="auto"/>
              </w:rPr>
            </w:pPr>
          </w:p>
        </w:tc>
        <w:tc>
          <w:tcPr>
            <w:tcW w:w="1200" w:type="dxa"/>
            <w:vAlign w:val="bottom"/>
          </w:tcPr>
          <w:p>
            <w:pPr>
              <w:jc w:val="center"/>
              <w:spacing w:after="0" w:line="158" w:lineRule="exact"/>
              <w:rPr>
                <w:sz w:val="20"/>
                <w:szCs w:val="20"/>
                <w:color w:val="auto"/>
              </w:rPr>
            </w:pPr>
            <w:r>
              <w:rPr>
                <w:rFonts w:ascii="Arial" w:cs="Arial" w:eastAsia="Arial" w:hAnsi="Arial"/>
                <w:sz w:val="14"/>
                <w:szCs w:val="14"/>
                <w:b w:val="1"/>
                <w:bCs w:val="1"/>
                <w:color w:val="auto"/>
                <w:w w:val="91"/>
              </w:rPr>
              <w:t>units (2)</w:t>
            </w:r>
          </w:p>
        </w:tc>
        <w:tc>
          <w:tcPr>
            <w:tcW w:w="2220" w:type="dxa"/>
            <w:vAlign w:val="bottom"/>
            <w:gridSpan w:val="2"/>
          </w:tcPr>
          <w:p>
            <w:pPr>
              <w:jc w:val="right"/>
              <w:spacing w:after="0" w:line="158" w:lineRule="exact"/>
              <w:rPr>
                <w:sz w:val="20"/>
                <w:szCs w:val="20"/>
                <w:color w:val="auto"/>
              </w:rPr>
            </w:pPr>
            <w:r>
              <w:rPr>
                <w:rFonts w:ascii="Arial" w:cs="Arial" w:eastAsia="Arial" w:hAnsi="Arial"/>
                <w:sz w:val="14"/>
                <w:szCs w:val="14"/>
                <w:b w:val="1"/>
                <w:bCs w:val="1"/>
                <w:color w:val="auto"/>
              </w:rPr>
              <w:t>restricted share units (2)</w:t>
            </w:r>
          </w:p>
        </w:tc>
        <w:tc>
          <w:tcPr>
            <w:tcW w:w="2200" w:type="dxa"/>
            <w:vAlign w:val="bottom"/>
            <w:gridSpan w:val="2"/>
          </w:tcPr>
          <w:p>
            <w:pPr>
              <w:jc w:val="center"/>
              <w:ind w:left="642"/>
              <w:spacing w:after="0" w:line="158" w:lineRule="exact"/>
              <w:rPr>
                <w:sz w:val="20"/>
                <w:szCs w:val="20"/>
                <w:color w:val="auto"/>
              </w:rPr>
            </w:pPr>
            <w:r>
              <w:rPr>
                <w:rFonts w:ascii="Arial" w:cs="Arial" w:eastAsia="Arial" w:hAnsi="Arial"/>
                <w:sz w:val="14"/>
                <w:szCs w:val="14"/>
                <w:b w:val="1"/>
                <w:bCs w:val="1"/>
                <w:color w:val="auto"/>
                <w:w w:val="92"/>
              </w:rPr>
              <w:t>2020 ($) (1)</w:t>
            </w: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03"/>
        </w:trPr>
        <w:tc>
          <w:tcPr>
            <w:tcW w:w="1560" w:type="dxa"/>
            <w:vAlign w:val="bottom"/>
            <w:tcBorders>
              <w:top w:val="single" w:sz="8" w:color="CCEEFF"/>
            </w:tcBorders>
            <w:shd w:val="clear" w:color="auto" w:fill="CCEEFF"/>
          </w:tcPr>
          <w:p>
            <w:pPr>
              <w:spacing w:after="0" w:line="203" w:lineRule="exact"/>
              <w:rPr>
                <w:sz w:val="20"/>
                <w:szCs w:val="20"/>
                <w:color w:val="auto"/>
              </w:rPr>
            </w:pPr>
            <w:r>
              <w:rPr>
                <w:rFonts w:ascii="Arial" w:cs="Arial" w:eastAsia="Arial" w:hAnsi="Arial"/>
                <w:sz w:val="18"/>
                <w:szCs w:val="18"/>
                <w:color w:val="auto"/>
              </w:rPr>
              <w:t>Olivier Ghesquiere</w:t>
            </w:r>
          </w:p>
        </w:tc>
        <w:tc>
          <w:tcPr>
            <w:tcW w:w="2020" w:type="dxa"/>
            <w:vAlign w:val="bottom"/>
            <w:tcBorders>
              <w:top w:val="single" w:sz="8" w:color="CCEEFF"/>
            </w:tcBorders>
            <w:shd w:val="clear" w:color="auto" w:fill="CCEEFF"/>
          </w:tcPr>
          <w:p>
            <w:pPr>
              <w:spacing w:after="0"/>
              <w:rPr>
                <w:sz w:val="17"/>
                <w:szCs w:val="17"/>
                <w:color w:val="auto"/>
              </w:rPr>
            </w:pPr>
          </w:p>
        </w:tc>
        <w:tc>
          <w:tcPr>
            <w:tcW w:w="120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72,957</w:t>
            </w:r>
          </w:p>
        </w:tc>
        <w:tc>
          <w:tcPr>
            <w:tcW w:w="700" w:type="dxa"/>
            <w:vAlign w:val="bottom"/>
            <w:tcBorders>
              <w:top w:val="single" w:sz="8" w:color="CCEEFF"/>
            </w:tcBorders>
            <w:shd w:val="clear" w:color="auto" w:fill="CCEEFF"/>
          </w:tcPr>
          <w:p>
            <w:pPr>
              <w:spacing w:after="0"/>
              <w:rPr>
                <w:sz w:val="17"/>
                <w:szCs w:val="17"/>
                <w:color w:val="auto"/>
              </w:rPr>
            </w:pPr>
          </w:p>
        </w:tc>
        <w:tc>
          <w:tcPr>
            <w:tcW w:w="152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22,274</w:t>
            </w:r>
          </w:p>
        </w:tc>
        <w:tc>
          <w:tcPr>
            <w:tcW w:w="720" w:type="dxa"/>
            <w:vAlign w:val="bottom"/>
            <w:tcBorders>
              <w:top w:val="single" w:sz="8" w:color="CCEEFF"/>
            </w:tcBorders>
            <w:shd w:val="clear" w:color="auto" w:fill="CCEEFF"/>
          </w:tcPr>
          <w:p>
            <w:pPr>
              <w:spacing w:after="0"/>
              <w:rPr>
                <w:sz w:val="17"/>
                <w:szCs w:val="17"/>
                <w:color w:val="auto"/>
              </w:rPr>
            </w:pPr>
          </w:p>
        </w:tc>
        <w:tc>
          <w:tcPr>
            <w:tcW w:w="148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1,336,091</w:t>
            </w:r>
          </w:p>
        </w:tc>
        <w:tc>
          <w:tcPr>
            <w:tcW w:w="6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1560" w:type="dxa"/>
            <w:vAlign w:val="bottom"/>
          </w:tcPr>
          <w:p>
            <w:pPr>
              <w:spacing w:after="0"/>
              <w:rPr>
                <w:sz w:val="20"/>
                <w:szCs w:val="20"/>
                <w:color w:val="auto"/>
              </w:rPr>
            </w:pPr>
            <w:r>
              <w:rPr>
                <w:rFonts w:ascii="Arial" w:cs="Arial" w:eastAsia="Arial" w:hAnsi="Arial"/>
                <w:sz w:val="18"/>
                <w:szCs w:val="18"/>
                <w:color w:val="auto"/>
              </w:rPr>
              <w:t>Michael K. Chan</w:t>
            </w:r>
          </w:p>
        </w:tc>
        <w:tc>
          <w:tcPr>
            <w:tcW w:w="3220" w:type="dxa"/>
            <w:vAlign w:val="bottom"/>
            <w:gridSpan w:val="2"/>
          </w:tcPr>
          <w:p>
            <w:pPr>
              <w:jc w:val="right"/>
              <w:spacing w:after="0"/>
              <w:rPr>
                <w:sz w:val="20"/>
                <w:szCs w:val="20"/>
                <w:color w:val="auto"/>
              </w:rPr>
            </w:pPr>
            <w:r>
              <w:rPr>
                <w:rFonts w:ascii="Arial" w:cs="Arial" w:eastAsia="Arial" w:hAnsi="Arial"/>
                <w:sz w:val="18"/>
                <w:szCs w:val="18"/>
                <w:color w:val="auto"/>
              </w:rPr>
              <w:t>21,887</w:t>
            </w:r>
          </w:p>
        </w:tc>
        <w:tc>
          <w:tcPr>
            <w:tcW w:w="2220" w:type="dxa"/>
            <w:vAlign w:val="bottom"/>
            <w:gridSpan w:val="2"/>
          </w:tcPr>
          <w:p>
            <w:pPr>
              <w:jc w:val="right"/>
              <w:spacing w:after="0"/>
              <w:rPr>
                <w:sz w:val="20"/>
                <w:szCs w:val="20"/>
                <w:color w:val="auto"/>
              </w:rPr>
            </w:pPr>
            <w:r>
              <w:rPr>
                <w:rFonts w:ascii="Arial" w:cs="Arial" w:eastAsia="Arial" w:hAnsi="Arial"/>
                <w:sz w:val="18"/>
                <w:szCs w:val="18"/>
                <w:color w:val="auto"/>
              </w:rPr>
              <w:t>6,682</w:t>
            </w:r>
          </w:p>
        </w:tc>
        <w:tc>
          <w:tcPr>
            <w:tcW w:w="2200" w:type="dxa"/>
            <w:vAlign w:val="bottom"/>
            <w:gridSpan w:val="2"/>
          </w:tcPr>
          <w:p>
            <w:pPr>
              <w:jc w:val="right"/>
              <w:spacing w:after="0"/>
              <w:rPr>
                <w:sz w:val="20"/>
                <w:szCs w:val="20"/>
                <w:color w:val="auto"/>
              </w:rPr>
            </w:pPr>
            <w:r>
              <w:rPr>
                <w:rFonts w:ascii="Arial" w:cs="Arial" w:eastAsia="Arial" w:hAnsi="Arial"/>
                <w:sz w:val="18"/>
                <w:szCs w:val="18"/>
                <w:color w:val="auto"/>
              </w:rPr>
              <w:t>400,823</w:t>
            </w: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14" w:lineRule="exact"/>
        <w:rPr>
          <w:sz w:val="20"/>
          <w:szCs w:val="20"/>
          <w:color w:val="auto"/>
        </w:rPr>
      </w:pPr>
    </w:p>
    <w:p>
      <w:pPr>
        <w:ind w:left="424" w:right="200" w:hanging="424"/>
        <w:spacing w:after="0" w:line="255" w:lineRule="auto"/>
        <w:tabs>
          <w:tab w:leader="none" w:pos="424" w:val="left"/>
        </w:tabs>
        <w:numPr>
          <w:ilvl w:val="0"/>
          <w:numId w:val="150"/>
        </w:numPr>
        <w:rPr>
          <w:rFonts w:ascii="Arial" w:cs="Arial" w:eastAsia="Arial" w:hAnsi="Arial"/>
          <w:sz w:val="18"/>
          <w:szCs w:val="18"/>
          <w:color w:val="auto"/>
        </w:rPr>
      </w:pPr>
      <w:r>
        <w:rPr>
          <w:rFonts w:ascii="Arial" w:cs="Arial" w:eastAsia="Arial" w:hAnsi="Arial"/>
          <w:sz w:val="18"/>
          <w:szCs w:val="18"/>
          <w:color w:val="auto"/>
        </w:rPr>
        <w:t>The total value of the 2020 LTIP awards assumes 100% vesting for the performance-based restricted share units and 100% vesting of the time-based restricted share units and values the awards using the $14.03 closing price of our common shares on October 1, 2020, the grant date of the 2020 LTIP awards.</w:t>
      </w:r>
    </w:p>
    <w:p>
      <w:pPr>
        <w:spacing w:after="0" w:line="2" w:lineRule="exact"/>
        <w:rPr>
          <w:rFonts w:ascii="Arial" w:cs="Arial" w:eastAsia="Arial" w:hAnsi="Arial"/>
          <w:sz w:val="18"/>
          <w:szCs w:val="18"/>
          <w:color w:val="auto"/>
        </w:rPr>
      </w:pPr>
    </w:p>
    <w:p>
      <w:pPr>
        <w:ind w:left="424" w:right="40" w:hanging="424"/>
        <w:spacing w:after="0" w:line="277" w:lineRule="auto"/>
        <w:tabs>
          <w:tab w:leader="none" w:pos="424" w:val="left"/>
        </w:tabs>
        <w:numPr>
          <w:ilvl w:val="0"/>
          <w:numId w:val="150"/>
        </w:numPr>
        <w:rPr>
          <w:rFonts w:ascii="Arial" w:cs="Arial" w:eastAsia="Arial" w:hAnsi="Arial"/>
          <w:sz w:val="17"/>
          <w:szCs w:val="17"/>
          <w:color w:val="auto"/>
        </w:rPr>
      </w:pPr>
      <w:r>
        <w:rPr>
          <w:rFonts w:ascii="Arial" w:cs="Arial" w:eastAsia="Arial" w:hAnsi="Arial"/>
          <w:sz w:val="17"/>
          <w:szCs w:val="17"/>
          <w:color w:val="auto"/>
        </w:rPr>
        <w:t>The aggregate grant date fair value for performance-based restricted share units and time-based restricted shares units calculated in accordance with FASB ASC 718 “Share-Based Compensation” amounted to approximately $2,092,000 and $406,000, respectively. As of March 31, 2021, the estimated target payout for the performance-based restricted share units is at maximum performance level of 200%.</w:t>
      </w:r>
    </w:p>
    <w:p>
      <w:pPr>
        <w:spacing w:after="0" w:line="105"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024"/>
          </w:cols>
          <w:pgMar w:left="436" w:top="274" w:right="439" w:bottom="1440" w:gutter="0" w:footer="0" w:header="0"/>
        </w:sectPr>
      </w:pPr>
    </w:p>
    <w:bookmarkStart w:id="189" w:name="page190"/>
    <w:bookmarkEnd w:id="189"/>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7174865" cy="38735"/>
                    </a:xfrm>
                    <a:prstGeom prst="rect">
                      <a:avLst/>
                    </a:prstGeom>
                    <a:noFill/>
                  </pic:spPr>
                </pic:pic>
              </a:graphicData>
            </a:graphic>
          </wp:anchor>
        </w:drawing>
        <w:t>Director Compensation</w:t>
      </w:r>
    </w:p>
    <w:p>
      <w:pPr>
        <w:spacing w:after="0" w:line="121" w:lineRule="exact"/>
        <w:rPr>
          <w:sz w:val="20"/>
          <w:szCs w:val="20"/>
          <w:color w:val="auto"/>
        </w:rPr>
      </w:pPr>
    </w:p>
    <w:p>
      <w:pPr>
        <w:ind w:left="440" w:right="60" w:firstLine="423"/>
        <w:spacing w:after="0" w:line="275" w:lineRule="auto"/>
        <w:rPr>
          <w:sz w:val="20"/>
          <w:szCs w:val="20"/>
          <w:color w:val="auto"/>
        </w:rPr>
      </w:pPr>
      <w:r>
        <w:rPr>
          <w:rFonts w:ascii="Arial" w:cs="Arial" w:eastAsia="Arial" w:hAnsi="Arial"/>
          <w:sz w:val="17"/>
          <w:szCs w:val="17"/>
          <w:color w:val="auto"/>
        </w:rPr>
        <w:t>The aggregate direct compensation we paid to our directors who are not officers for their services as directors as a group for the year ended December 31, 2020 was approximately $986,000, which included approximately $469,000 in restricted stock awards that vested in 2020 from grants made in prior year. Each director who is not an officer is entitled to a base annual cash retainer of $52,500 plus a restricted stock grant valued at $80,000 on the date of grant. This grant vests in full one year after grant. During 2020, our non-executive directors as a group were granted 64,568 time-based restricted share units through our 2019 Share Incentive Plan.</w:t>
      </w:r>
    </w:p>
    <w:p>
      <w:pPr>
        <w:spacing w:after="0" w:line="176" w:lineRule="exact"/>
        <w:rPr>
          <w:sz w:val="20"/>
          <w:szCs w:val="20"/>
          <w:color w:val="auto"/>
        </w:rPr>
      </w:pPr>
    </w:p>
    <w:p>
      <w:pPr>
        <w:ind w:right="120" w:firstLine="440"/>
        <w:spacing w:after="0" w:line="296" w:lineRule="auto"/>
        <w:rPr>
          <w:sz w:val="20"/>
          <w:szCs w:val="20"/>
          <w:color w:val="auto"/>
        </w:rPr>
      </w:pPr>
      <w:r>
        <w:rPr>
          <w:rFonts w:ascii="Arial" w:cs="Arial" w:eastAsia="Arial" w:hAnsi="Arial"/>
          <w:sz w:val="16"/>
          <w:szCs w:val="16"/>
          <w:color w:val="auto"/>
        </w:rPr>
        <w:t>Additionally, members of our Audit Committee receive $10,000 annually, members of the Compensation Committee receive $7,500 annually, members of the Governance and Nominating Committee receive $5,000 annually and members of our Operations Committee receive $7,500 annually. The head of the Audit Committee receives $36,000 annually, the head of the Compensation Committee receives $15,000 annually and the head of the Governance and Nominating Committee receives $10,000 annually. The Chairman of the Board receives an annual $15,000 fee. Directors were also reimbursed for expenses incurred to attend board or committee meetings which amounted to approximately $34,000 during 2020.</w:t>
      </w:r>
    </w:p>
    <w:p>
      <w:pPr>
        <w:spacing w:after="0" w:line="373"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Total Non-Executive Director Compensation in 2020</w:t>
      </w:r>
    </w:p>
    <w:p>
      <w:pPr>
        <w:spacing w:after="0" w:line="235" w:lineRule="exact"/>
        <w:rPr>
          <w:sz w:val="20"/>
          <w:szCs w:val="20"/>
          <w:color w:val="auto"/>
        </w:rPr>
      </w:pPr>
    </w:p>
    <w:tbl>
      <w:tblPr>
        <w:tblLayout w:type="fixed"/>
        <w:tblInd w:w="880" w:type="dxa"/>
        <w:tblCellMar>
          <w:top w:w="0" w:type="dxa"/>
          <w:left w:w="0" w:type="dxa"/>
          <w:bottom w:w="0" w:type="dxa"/>
          <w:right w:w="0" w:type="dxa"/>
        </w:tblCellMar>
      </w:tblPr>
      <w:tr>
        <w:trPr>
          <w:trHeight w:val="161"/>
        </w:trPr>
        <w:tc>
          <w:tcPr>
            <w:tcW w:w="580" w:type="dxa"/>
            <w:vAlign w:val="bottom"/>
          </w:tcPr>
          <w:p>
            <w:pPr>
              <w:spacing w:after="0"/>
              <w:rPr>
                <w:sz w:val="14"/>
                <w:szCs w:val="14"/>
                <w:color w:val="auto"/>
              </w:rPr>
            </w:pPr>
          </w:p>
        </w:tc>
        <w:tc>
          <w:tcPr>
            <w:tcW w:w="2480" w:type="dxa"/>
            <w:vAlign w:val="bottom"/>
          </w:tcPr>
          <w:p>
            <w:pPr>
              <w:spacing w:after="0"/>
              <w:rPr>
                <w:sz w:val="14"/>
                <w:szCs w:val="14"/>
                <w:color w:val="auto"/>
              </w:rPr>
            </w:pPr>
          </w:p>
        </w:tc>
        <w:tc>
          <w:tcPr>
            <w:tcW w:w="2460" w:type="dxa"/>
            <w:vAlign w:val="bottom"/>
            <w:gridSpan w:val="2"/>
            <w:vMerge w:val="restart"/>
          </w:tcPr>
          <w:p>
            <w:pPr>
              <w:jc w:val="right"/>
              <w:spacing w:after="0"/>
              <w:rPr>
                <w:sz w:val="20"/>
                <w:szCs w:val="20"/>
                <w:color w:val="auto"/>
              </w:rPr>
            </w:pPr>
            <w:r>
              <w:rPr>
                <w:rFonts w:ascii="Arial" w:cs="Arial" w:eastAsia="Arial" w:hAnsi="Arial"/>
                <w:sz w:val="14"/>
                <w:szCs w:val="14"/>
                <w:b w:val="1"/>
                <w:bCs w:val="1"/>
                <w:color w:val="auto"/>
              </w:rPr>
              <w:t>Fees Paid in Cash</w:t>
            </w:r>
          </w:p>
        </w:tc>
        <w:tc>
          <w:tcPr>
            <w:tcW w:w="680" w:type="dxa"/>
            <w:vAlign w:val="bottom"/>
          </w:tcPr>
          <w:p>
            <w:pPr>
              <w:spacing w:after="0"/>
              <w:rPr>
                <w:sz w:val="14"/>
                <w:szCs w:val="14"/>
                <w:color w:val="auto"/>
              </w:rPr>
            </w:pPr>
          </w:p>
        </w:tc>
        <w:tc>
          <w:tcPr>
            <w:tcW w:w="2360" w:type="dxa"/>
            <w:vAlign w:val="bottom"/>
            <w:gridSpan w:val="2"/>
          </w:tcPr>
          <w:p>
            <w:pPr>
              <w:ind w:left="100"/>
              <w:spacing w:after="0"/>
              <w:rPr>
                <w:sz w:val="20"/>
                <w:szCs w:val="20"/>
                <w:color w:val="auto"/>
              </w:rPr>
            </w:pPr>
            <w:r>
              <w:rPr>
                <w:rFonts w:ascii="Arial" w:cs="Arial" w:eastAsia="Arial" w:hAnsi="Arial"/>
                <w:sz w:val="14"/>
                <w:szCs w:val="14"/>
                <w:b w:val="1"/>
                <w:bCs w:val="1"/>
                <w:color w:val="auto"/>
              </w:rPr>
              <w:t>Total value of restricted</w:t>
            </w:r>
          </w:p>
        </w:tc>
        <w:tc>
          <w:tcPr>
            <w:tcW w:w="700" w:type="dxa"/>
            <w:vAlign w:val="bottom"/>
            <w:gridSpan w:val="2"/>
            <w:vMerge w:val="restart"/>
          </w:tcPr>
          <w:p>
            <w:pPr>
              <w:ind w:left="160"/>
              <w:spacing w:after="0"/>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148"/>
        </w:trPr>
        <w:tc>
          <w:tcPr>
            <w:tcW w:w="580" w:type="dxa"/>
            <w:vAlign w:val="bottom"/>
            <w:vMerge w:val="restart"/>
          </w:tcPr>
          <w:p>
            <w:pPr>
              <w:spacing w:after="0"/>
              <w:rPr>
                <w:sz w:val="20"/>
                <w:szCs w:val="20"/>
                <w:color w:val="auto"/>
              </w:rPr>
            </w:pPr>
            <w:r>
              <w:rPr>
                <w:rFonts w:ascii="Arial" w:cs="Arial" w:eastAsia="Arial" w:hAnsi="Arial"/>
                <w:sz w:val="14"/>
                <w:szCs w:val="14"/>
                <w:b w:val="1"/>
                <w:bCs w:val="1"/>
                <w:color w:val="auto"/>
                <w:w w:val="91"/>
              </w:rPr>
              <w:t>Directors</w:t>
            </w:r>
          </w:p>
        </w:tc>
        <w:tc>
          <w:tcPr>
            <w:tcW w:w="2480" w:type="dxa"/>
            <w:vAlign w:val="bottom"/>
            <w:vMerge w:val="restart"/>
          </w:tcPr>
          <w:p>
            <w:pPr>
              <w:spacing w:after="0"/>
              <w:rPr>
                <w:sz w:val="12"/>
                <w:szCs w:val="12"/>
                <w:color w:val="auto"/>
              </w:rPr>
            </w:pPr>
          </w:p>
        </w:tc>
        <w:tc>
          <w:tcPr>
            <w:tcW w:w="2460" w:type="dxa"/>
            <w:vAlign w:val="bottom"/>
            <w:gridSpan w:val="2"/>
            <w:vMerge w:val="continue"/>
          </w:tcPr>
          <w:p>
            <w:pPr>
              <w:spacing w:after="0"/>
              <w:rPr>
                <w:sz w:val="12"/>
                <w:szCs w:val="12"/>
                <w:color w:val="auto"/>
              </w:rPr>
            </w:pPr>
          </w:p>
        </w:tc>
        <w:tc>
          <w:tcPr>
            <w:tcW w:w="3040" w:type="dxa"/>
            <w:vAlign w:val="bottom"/>
            <w:gridSpan w:val="3"/>
          </w:tcPr>
          <w:p>
            <w:pPr>
              <w:jc w:val="right"/>
              <w:ind w:right="700"/>
              <w:spacing w:after="0" w:line="149" w:lineRule="exact"/>
              <w:rPr>
                <w:sz w:val="20"/>
                <w:szCs w:val="20"/>
                <w:color w:val="auto"/>
              </w:rPr>
            </w:pPr>
            <w:r>
              <w:rPr>
                <w:rFonts w:ascii="Arial" w:cs="Arial" w:eastAsia="Arial" w:hAnsi="Arial"/>
                <w:sz w:val="14"/>
                <w:szCs w:val="14"/>
                <w:b w:val="1"/>
                <w:bCs w:val="1"/>
                <w:color w:val="auto"/>
              </w:rPr>
              <w:t>share units granted in 2020</w:t>
            </w:r>
          </w:p>
        </w:tc>
        <w:tc>
          <w:tcPr>
            <w:tcW w:w="70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8"/>
        </w:trPr>
        <w:tc>
          <w:tcPr>
            <w:tcW w:w="580" w:type="dxa"/>
            <w:vAlign w:val="bottom"/>
            <w:tcBorders>
              <w:bottom w:val="single" w:sz="8" w:color="auto"/>
            </w:tcBorders>
            <w:vMerge w:val="continue"/>
          </w:tcPr>
          <w:p>
            <w:pPr>
              <w:spacing w:after="0"/>
              <w:rPr>
                <w:sz w:val="15"/>
                <w:szCs w:val="15"/>
                <w:color w:val="auto"/>
              </w:rPr>
            </w:pPr>
          </w:p>
        </w:tc>
        <w:tc>
          <w:tcPr>
            <w:tcW w:w="2480" w:type="dxa"/>
            <w:vAlign w:val="bottom"/>
            <w:vMerge w:val="continue"/>
          </w:tcPr>
          <w:p>
            <w:pPr>
              <w:spacing w:after="0"/>
              <w:rPr>
                <w:sz w:val="15"/>
                <w:szCs w:val="15"/>
                <w:color w:val="auto"/>
              </w:rPr>
            </w:pPr>
          </w:p>
        </w:tc>
        <w:tc>
          <w:tcPr>
            <w:tcW w:w="2460" w:type="dxa"/>
            <w:vAlign w:val="bottom"/>
            <w:gridSpan w:val="2"/>
          </w:tcPr>
          <w:p>
            <w:pPr>
              <w:jc w:val="right"/>
              <w:ind w:right="370"/>
              <w:spacing w:after="0" w:line="158" w:lineRule="exact"/>
              <w:rPr>
                <w:sz w:val="20"/>
                <w:szCs w:val="20"/>
                <w:color w:val="auto"/>
              </w:rPr>
            </w:pPr>
            <w:r>
              <w:rPr>
                <w:rFonts w:ascii="Arial" w:cs="Arial" w:eastAsia="Arial" w:hAnsi="Arial"/>
                <w:sz w:val="14"/>
                <w:szCs w:val="14"/>
                <w:b w:val="1"/>
                <w:bCs w:val="1"/>
                <w:color w:val="auto"/>
              </w:rPr>
              <w:t>($)</w:t>
            </w:r>
          </w:p>
        </w:tc>
        <w:tc>
          <w:tcPr>
            <w:tcW w:w="2360" w:type="dxa"/>
            <w:vAlign w:val="bottom"/>
            <w:gridSpan w:val="2"/>
          </w:tcPr>
          <w:p>
            <w:pPr>
              <w:jc w:val="right"/>
              <w:ind w:right="679"/>
              <w:spacing w:after="0" w:line="158" w:lineRule="exact"/>
              <w:rPr>
                <w:sz w:val="20"/>
                <w:szCs w:val="20"/>
                <w:color w:val="auto"/>
              </w:rPr>
            </w:pPr>
            <w:r>
              <w:rPr>
                <w:rFonts w:ascii="Arial" w:cs="Arial" w:eastAsia="Arial" w:hAnsi="Arial"/>
                <w:sz w:val="14"/>
                <w:szCs w:val="14"/>
                <w:b w:val="1"/>
                <w:bCs w:val="1"/>
                <w:color w:val="auto"/>
              </w:rPr>
              <w:t>($)</w:t>
            </w:r>
          </w:p>
        </w:tc>
        <w:tc>
          <w:tcPr>
            <w:tcW w:w="680" w:type="dxa"/>
            <w:vAlign w:val="bottom"/>
          </w:tcPr>
          <w:p>
            <w:pPr>
              <w:spacing w:after="0"/>
              <w:rPr>
                <w:sz w:val="15"/>
                <w:szCs w:val="15"/>
                <w:color w:val="auto"/>
              </w:rPr>
            </w:pPr>
          </w:p>
        </w:tc>
        <w:tc>
          <w:tcPr>
            <w:tcW w:w="640" w:type="dxa"/>
            <w:vAlign w:val="bottom"/>
          </w:tcPr>
          <w:p>
            <w:pPr>
              <w:jc w:val="right"/>
              <w:ind w:right="154"/>
              <w:spacing w:after="0" w:line="158" w:lineRule="exact"/>
              <w:rPr>
                <w:sz w:val="20"/>
                <w:szCs w:val="20"/>
                <w:color w:val="auto"/>
              </w:rPr>
            </w:pPr>
            <w:r>
              <w:rPr>
                <w:rFonts w:ascii="Arial" w:cs="Arial" w:eastAsia="Arial" w:hAnsi="Arial"/>
                <w:sz w:val="14"/>
                <w:szCs w:val="14"/>
                <w:b w:val="1"/>
                <w:bCs w:val="1"/>
                <w:color w:val="auto"/>
              </w:rPr>
              <w:t>($)</w:t>
            </w: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03"/>
        </w:trPr>
        <w:tc>
          <w:tcPr>
            <w:tcW w:w="306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Hyman Shwiel</w:t>
            </w:r>
          </w:p>
        </w:tc>
        <w:tc>
          <w:tcPr>
            <w:tcW w:w="1380" w:type="dxa"/>
            <w:vAlign w:val="bottom"/>
            <w:tcBorders>
              <w:top w:val="single" w:sz="8" w:color="CCEEFF"/>
            </w:tcBorders>
            <w:shd w:val="clear" w:color="auto" w:fill="CCEEFF"/>
          </w:tcPr>
          <w:p>
            <w:pPr>
              <w:spacing w:after="0"/>
              <w:rPr>
                <w:sz w:val="17"/>
                <w:szCs w:val="17"/>
                <w:color w:val="auto"/>
              </w:rPr>
            </w:pPr>
          </w:p>
        </w:tc>
        <w:tc>
          <w:tcPr>
            <w:tcW w:w="108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133,500</w:t>
            </w:r>
          </w:p>
        </w:tc>
        <w:tc>
          <w:tcPr>
            <w:tcW w:w="680" w:type="dxa"/>
            <w:vAlign w:val="bottom"/>
            <w:tcBorders>
              <w:top w:val="single" w:sz="8" w:color="CCEEFF"/>
            </w:tcBorders>
            <w:shd w:val="clear" w:color="auto" w:fill="CCEEFF"/>
          </w:tcPr>
          <w:p>
            <w:pPr>
              <w:spacing w:after="0"/>
              <w:rPr>
                <w:sz w:val="17"/>
                <w:szCs w:val="17"/>
                <w:color w:val="auto"/>
              </w:rPr>
            </w:pPr>
          </w:p>
        </w:tc>
        <w:tc>
          <w:tcPr>
            <w:tcW w:w="168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80,000</w:t>
            </w:r>
          </w:p>
        </w:tc>
        <w:tc>
          <w:tcPr>
            <w:tcW w:w="680" w:type="dxa"/>
            <w:vAlign w:val="bottom"/>
            <w:tcBorders>
              <w:top w:val="single" w:sz="8" w:color="CCEEFF"/>
            </w:tcBorders>
            <w:shd w:val="clear" w:color="auto" w:fill="CCEEFF"/>
          </w:tcPr>
          <w:p>
            <w:pPr>
              <w:spacing w:after="0"/>
              <w:rPr>
                <w:sz w:val="17"/>
                <w:szCs w:val="17"/>
                <w:color w:val="auto"/>
              </w:rPr>
            </w:pPr>
          </w:p>
        </w:tc>
        <w:tc>
          <w:tcPr>
            <w:tcW w:w="64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95"/>
              </w:rPr>
              <w:t>213,500</w:t>
            </w:r>
          </w:p>
        </w:tc>
        <w:tc>
          <w:tcPr>
            <w:tcW w:w="6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3060" w:type="dxa"/>
            <w:vAlign w:val="bottom"/>
            <w:gridSpan w:val="2"/>
          </w:tcPr>
          <w:p>
            <w:pPr>
              <w:spacing w:after="0"/>
              <w:rPr>
                <w:sz w:val="20"/>
                <w:szCs w:val="20"/>
                <w:color w:val="auto"/>
              </w:rPr>
            </w:pPr>
            <w:r>
              <w:rPr>
                <w:rFonts w:ascii="Arial" w:cs="Arial" w:eastAsia="Arial" w:hAnsi="Arial"/>
                <w:sz w:val="18"/>
                <w:szCs w:val="18"/>
                <w:color w:val="auto"/>
              </w:rPr>
              <w:t>Dudley R. Cottingham</w:t>
            </w:r>
          </w:p>
        </w:tc>
        <w:tc>
          <w:tcPr>
            <w:tcW w:w="2460" w:type="dxa"/>
            <w:vAlign w:val="bottom"/>
            <w:gridSpan w:val="2"/>
          </w:tcPr>
          <w:p>
            <w:pPr>
              <w:jc w:val="right"/>
              <w:spacing w:after="0"/>
              <w:rPr>
                <w:sz w:val="20"/>
                <w:szCs w:val="20"/>
                <w:color w:val="auto"/>
              </w:rPr>
            </w:pPr>
            <w:r>
              <w:rPr>
                <w:rFonts w:ascii="Arial" w:cs="Arial" w:eastAsia="Arial" w:hAnsi="Arial"/>
                <w:sz w:val="18"/>
                <w:szCs w:val="18"/>
                <w:color w:val="auto"/>
              </w:rPr>
              <w:t>87,500</w:t>
            </w:r>
          </w:p>
        </w:tc>
        <w:tc>
          <w:tcPr>
            <w:tcW w:w="2360" w:type="dxa"/>
            <w:vAlign w:val="bottom"/>
            <w:gridSpan w:val="2"/>
          </w:tcPr>
          <w:p>
            <w:pPr>
              <w:jc w:val="right"/>
              <w:spacing w:after="0"/>
              <w:rPr>
                <w:sz w:val="20"/>
                <w:szCs w:val="20"/>
                <w:color w:val="auto"/>
              </w:rPr>
            </w:pPr>
            <w:r>
              <w:rPr>
                <w:rFonts w:ascii="Arial" w:cs="Arial" w:eastAsia="Arial" w:hAnsi="Arial"/>
                <w:sz w:val="18"/>
                <w:szCs w:val="18"/>
                <w:color w:val="auto"/>
              </w:rPr>
              <w:t>80,000</w:t>
            </w:r>
          </w:p>
        </w:tc>
        <w:tc>
          <w:tcPr>
            <w:tcW w:w="68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w w:val="95"/>
              </w:rPr>
              <w:t>167,500</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0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David M. Nurek</w:t>
            </w:r>
          </w:p>
        </w:tc>
        <w:tc>
          <w:tcPr>
            <w:tcW w:w="2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70,000</w:t>
            </w:r>
          </w:p>
        </w:tc>
        <w:tc>
          <w:tcPr>
            <w:tcW w:w="23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80,000</w:t>
            </w:r>
          </w:p>
        </w:tc>
        <w:tc>
          <w:tcPr>
            <w:tcW w:w="68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150,000</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060" w:type="dxa"/>
            <w:vAlign w:val="bottom"/>
            <w:gridSpan w:val="2"/>
          </w:tcPr>
          <w:p>
            <w:pPr>
              <w:spacing w:after="0"/>
              <w:rPr>
                <w:sz w:val="20"/>
                <w:szCs w:val="20"/>
                <w:color w:val="auto"/>
              </w:rPr>
            </w:pPr>
            <w:r>
              <w:rPr>
                <w:rFonts w:ascii="Arial" w:cs="Arial" w:eastAsia="Arial" w:hAnsi="Arial"/>
                <w:sz w:val="18"/>
                <w:szCs w:val="18"/>
                <w:color w:val="auto"/>
              </w:rPr>
              <w:t>John A. Maccarone</w:t>
            </w:r>
          </w:p>
        </w:tc>
        <w:tc>
          <w:tcPr>
            <w:tcW w:w="2460" w:type="dxa"/>
            <w:vAlign w:val="bottom"/>
            <w:gridSpan w:val="2"/>
          </w:tcPr>
          <w:p>
            <w:pPr>
              <w:jc w:val="right"/>
              <w:spacing w:after="0"/>
              <w:rPr>
                <w:sz w:val="20"/>
                <w:szCs w:val="20"/>
                <w:color w:val="auto"/>
              </w:rPr>
            </w:pPr>
            <w:r>
              <w:rPr>
                <w:rFonts w:ascii="Arial" w:cs="Arial" w:eastAsia="Arial" w:hAnsi="Arial"/>
                <w:sz w:val="18"/>
                <w:szCs w:val="18"/>
                <w:color w:val="auto"/>
              </w:rPr>
              <w:t>65,000</w:t>
            </w:r>
          </w:p>
        </w:tc>
        <w:tc>
          <w:tcPr>
            <w:tcW w:w="2360" w:type="dxa"/>
            <w:vAlign w:val="bottom"/>
            <w:gridSpan w:val="2"/>
          </w:tcPr>
          <w:p>
            <w:pPr>
              <w:jc w:val="right"/>
              <w:spacing w:after="0"/>
              <w:rPr>
                <w:sz w:val="20"/>
                <w:szCs w:val="20"/>
                <w:color w:val="auto"/>
              </w:rPr>
            </w:pPr>
            <w:r>
              <w:rPr>
                <w:rFonts w:ascii="Arial" w:cs="Arial" w:eastAsia="Arial" w:hAnsi="Arial"/>
                <w:sz w:val="18"/>
                <w:szCs w:val="18"/>
                <w:color w:val="auto"/>
              </w:rPr>
              <w:t>80,000</w:t>
            </w:r>
          </w:p>
        </w:tc>
        <w:tc>
          <w:tcPr>
            <w:tcW w:w="68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w w:val="95"/>
              </w:rPr>
              <w:t>145,000</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0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Robert D. Pedersen</w:t>
            </w:r>
          </w:p>
        </w:tc>
        <w:tc>
          <w:tcPr>
            <w:tcW w:w="2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60,000</w:t>
            </w:r>
          </w:p>
        </w:tc>
        <w:tc>
          <w:tcPr>
            <w:tcW w:w="23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80,000</w:t>
            </w:r>
          </w:p>
        </w:tc>
        <w:tc>
          <w:tcPr>
            <w:tcW w:w="68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140,000</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060" w:type="dxa"/>
            <w:vAlign w:val="bottom"/>
            <w:gridSpan w:val="2"/>
          </w:tcPr>
          <w:p>
            <w:pPr>
              <w:spacing w:after="0"/>
              <w:rPr>
                <w:sz w:val="20"/>
                <w:szCs w:val="20"/>
                <w:color w:val="auto"/>
              </w:rPr>
            </w:pPr>
            <w:r>
              <w:rPr>
                <w:rFonts w:ascii="Arial" w:cs="Arial" w:eastAsia="Arial" w:hAnsi="Arial"/>
                <w:sz w:val="18"/>
                <w:szCs w:val="18"/>
                <w:color w:val="auto"/>
              </w:rPr>
              <w:t>Hennie Van der Merwe</w:t>
            </w:r>
          </w:p>
        </w:tc>
        <w:tc>
          <w:tcPr>
            <w:tcW w:w="2460" w:type="dxa"/>
            <w:vAlign w:val="bottom"/>
            <w:gridSpan w:val="2"/>
          </w:tcPr>
          <w:p>
            <w:pPr>
              <w:jc w:val="right"/>
              <w:spacing w:after="0"/>
              <w:rPr>
                <w:sz w:val="20"/>
                <w:szCs w:val="20"/>
                <w:color w:val="auto"/>
              </w:rPr>
            </w:pPr>
            <w:r>
              <w:rPr>
                <w:rFonts w:ascii="Arial" w:cs="Arial" w:eastAsia="Arial" w:hAnsi="Arial"/>
                <w:sz w:val="18"/>
                <w:szCs w:val="18"/>
                <w:color w:val="auto"/>
              </w:rPr>
              <w:t>57,500</w:t>
            </w:r>
          </w:p>
        </w:tc>
        <w:tc>
          <w:tcPr>
            <w:tcW w:w="2360" w:type="dxa"/>
            <w:vAlign w:val="bottom"/>
            <w:gridSpan w:val="2"/>
          </w:tcPr>
          <w:p>
            <w:pPr>
              <w:jc w:val="right"/>
              <w:spacing w:after="0"/>
              <w:rPr>
                <w:sz w:val="20"/>
                <w:szCs w:val="20"/>
                <w:color w:val="auto"/>
              </w:rPr>
            </w:pPr>
            <w:r>
              <w:rPr>
                <w:rFonts w:ascii="Arial" w:cs="Arial" w:eastAsia="Arial" w:hAnsi="Arial"/>
                <w:sz w:val="18"/>
                <w:szCs w:val="18"/>
                <w:color w:val="auto"/>
              </w:rPr>
              <w:t>80,000</w:t>
            </w:r>
          </w:p>
        </w:tc>
        <w:tc>
          <w:tcPr>
            <w:tcW w:w="68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w w:val="95"/>
              </w:rPr>
              <w:t>137,500</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0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Grace Tang</w:t>
            </w:r>
          </w:p>
        </w:tc>
        <w:tc>
          <w:tcPr>
            <w:tcW w:w="2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28,750</w:t>
            </w:r>
          </w:p>
        </w:tc>
        <w:tc>
          <w:tcPr>
            <w:tcW w:w="23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80,000</w:t>
            </w:r>
          </w:p>
        </w:tc>
        <w:tc>
          <w:tcPr>
            <w:tcW w:w="68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108,750</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bl>
    <w:p>
      <w:pPr>
        <w:spacing w:after="0" w:line="30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Vote Required</w:t>
      </w:r>
    </w:p>
    <w:p>
      <w:pPr>
        <w:spacing w:after="0" w:line="121" w:lineRule="exact"/>
        <w:rPr>
          <w:sz w:val="20"/>
          <w:szCs w:val="20"/>
          <w:color w:val="auto"/>
        </w:rPr>
      </w:pPr>
    </w:p>
    <w:p>
      <w:pPr>
        <w:ind w:right="480" w:firstLine="440"/>
        <w:spacing w:after="0" w:line="277" w:lineRule="auto"/>
        <w:rPr>
          <w:sz w:val="20"/>
          <w:szCs w:val="20"/>
          <w:color w:val="auto"/>
        </w:rPr>
      </w:pPr>
      <w:r>
        <w:rPr>
          <w:rFonts w:ascii="Arial" w:cs="Arial" w:eastAsia="Arial" w:hAnsi="Arial"/>
          <w:sz w:val="18"/>
          <w:szCs w:val="18"/>
          <w:color w:val="auto"/>
        </w:rPr>
        <w:t>Approval of the election of each of Messrs. Olivier Ghesquiere and James Earl and Ms. Cynthia Hostetler as a Class II director requires the affirmative vote of a majority of the votes cast at the 2021 Annual Meeting.</w:t>
      </w:r>
    </w:p>
    <w:p>
      <w:pPr>
        <w:spacing w:after="0" w:line="170" w:lineRule="exact"/>
        <w:rPr>
          <w:sz w:val="20"/>
          <w:szCs w:val="20"/>
          <w:color w:val="auto"/>
        </w:rPr>
      </w:pPr>
    </w:p>
    <w:p>
      <w:pPr>
        <w:jc w:val="both"/>
        <w:ind w:firstLine="440"/>
        <w:spacing w:after="0" w:line="311" w:lineRule="auto"/>
        <w:rPr>
          <w:sz w:val="20"/>
          <w:szCs w:val="20"/>
          <w:color w:val="auto"/>
        </w:rPr>
      </w:pPr>
      <w:r>
        <w:rPr>
          <w:rFonts w:ascii="Arial" w:cs="Arial" w:eastAsia="Arial" w:hAnsi="Arial"/>
          <w:sz w:val="16"/>
          <w:szCs w:val="16"/>
          <w:color w:val="auto"/>
        </w:rPr>
        <w:t>The Board of Directors unanimously recommends a vote in favor of each of the Class II director nominees. The Board notes that each nominee is either a tenured member of the Board of Directors and has significant experience in the container leasing industry or is a highly regarded executive with significant business and finance experience and an experienced member of the board of directors of several NYSE listed companies.</w:t>
      </w:r>
    </w:p>
    <w:p>
      <w:pPr>
        <w:spacing w:after="0" w:line="145" w:lineRule="exact"/>
        <w:rPr>
          <w:sz w:val="20"/>
          <w:szCs w:val="20"/>
          <w:color w:val="auto"/>
        </w:rPr>
      </w:pPr>
    </w:p>
    <w:p>
      <w:pPr>
        <w:jc w:val="center"/>
        <w:ind w:left="500" w:right="100"/>
        <w:spacing w:after="0" w:line="282" w:lineRule="auto"/>
        <w:rPr>
          <w:sz w:val="20"/>
          <w:szCs w:val="20"/>
          <w:color w:val="auto"/>
        </w:rPr>
      </w:pPr>
      <w:r>
        <w:rPr>
          <w:rFonts w:ascii="Arial" w:cs="Arial" w:eastAsia="Arial" w:hAnsi="Arial"/>
          <w:sz w:val="18"/>
          <w:szCs w:val="18"/>
          <w:b w:val="1"/>
          <w:bCs w:val="1"/>
          <w:color w:val="auto"/>
        </w:rPr>
        <w:t>Our Board of Directors unanimously recommends a vote FOR the approval of the election of each of Messrs. Olivier Ghesquiere and James Earl and Ms. Cynthia Hostetler as a Class II director as set forth in Proposal One.</w:t>
      </w:r>
    </w:p>
    <w:p>
      <w:pPr>
        <w:spacing w:after="0" w:line="98"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0940"/>
          </w:cols>
          <w:pgMar w:left="440" w:top="270" w:right="519" w:bottom="1440" w:gutter="0" w:footer="0" w:header="0"/>
        </w:sectPr>
      </w:pPr>
    </w:p>
    <w:bookmarkStart w:id="190" w:name="page191"/>
    <w:bookmarkEnd w:id="190"/>
    <w:p>
      <w:pPr>
        <w:jc w:val="center"/>
        <w:ind w:right="-1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7174865" cy="38735"/>
                    </a:xfrm>
                    <a:prstGeom prst="rect">
                      <a:avLst/>
                    </a:prstGeom>
                    <a:noFill/>
                  </pic:spPr>
                </pic:pic>
              </a:graphicData>
            </a:graphic>
          </wp:anchor>
        </w:drawing>
        <w:t>PROPOSAL TWO</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APPROVAL OF OUR ANNUAL AUDITED FINANCIAL STATEMENTS</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FOR THE FISCAL YEAR ENDED DECEMBER 31, 2020</w:t>
      </w:r>
    </w:p>
    <w:p>
      <w:pPr>
        <w:spacing w:after="0" w:line="211" w:lineRule="exact"/>
        <w:rPr>
          <w:sz w:val="20"/>
          <w:szCs w:val="20"/>
          <w:color w:val="auto"/>
        </w:rPr>
      </w:pPr>
    </w:p>
    <w:p>
      <w:pPr>
        <w:ind w:right="180" w:firstLine="440"/>
        <w:spacing w:after="0" w:line="259" w:lineRule="auto"/>
        <w:rPr>
          <w:sz w:val="20"/>
          <w:szCs w:val="20"/>
          <w:color w:val="auto"/>
        </w:rPr>
      </w:pPr>
      <w:r>
        <w:rPr>
          <w:rFonts w:ascii="Arial" w:cs="Arial" w:eastAsia="Arial" w:hAnsi="Arial"/>
          <w:sz w:val="18"/>
          <w:szCs w:val="18"/>
          <w:color w:val="auto"/>
        </w:rPr>
        <w:t>At the 2021 Annual Meeting, Shareholders will be asked to approve the Company’s annual audited financial statements for the fiscal year ended December 31, 2020, a copy of which is included in the enclosed 2020 Annual Report to Shareholders and will be laid before the Shareholders at the 2021 Annual Meeting. Proposal Two calls for a vote FOR the approval of the Company’s annual audited financial statements for the fiscal year ended December 31, 2020.</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Vote Required</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Adoption of Proposal Two requires the affirmative vote of a majority of the votes cast at the 2021 Annual Meeting.</w:t>
      </w:r>
    </w:p>
    <w:p>
      <w:pPr>
        <w:spacing w:after="0" w:line="221" w:lineRule="exact"/>
        <w:rPr>
          <w:sz w:val="20"/>
          <w:szCs w:val="20"/>
          <w:color w:val="auto"/>
        </w:rPr>
      </w:pPr>
    </w:p>
    <w:p>
      <w:pPr>
        <w:jc w:val="center"/>
        <w:ind w:left="460"/>
        <w:spacing w:after="0" w:line="282" w:lineRule="auto"/>
        <w:rPr>
          <w:sz w:val="20"/>
          <w:szCs w:val="20"/>
          <w:color w:val="auto"/>
        </w:rPr>
      </w:pPr>
      <w:r>
        <w:rPr>
          <w:rFonts w:ascii="Arial" w:cs="Arial" w:eastAsia="Arial" w:hAnsi="Arial"/>
          <w:sz w:val="18"/>
          <w:szCs w:val="18"/>
          <w:b w:val="1"/>
          <w:bCs w:val="1"/>
          <w:color w:val="auto"/>
        </w:rPr>
        <w:t>Our Board of Directors unanimously recommends a vote FOR the approval of the Company’s annual audited financial statements for the fiscal year ended December 31, 2020 as set forth in Proposal Two.</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000"/>
          </w:cols>
          <w:pgMar w:left="440" w:top="270" w:right="459" w:bottom="1440" w:gutter="0" w:footer="0" w:header="0"/>
        </w:sectPr>
      </w:pPr>
    </w:p>
    <w:bookmarkStart w:id="191" w:name="page192"/>
    <w:bookmarkEnd w:id="191"/>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7174865" cy="38735"/>
                    </a:xfrm>
                    <a:prstGeom prst="rect">
                      <a:avLst/>
                    </a:prstGeom>
                    <a:noFill/>
                  </pic:spPr>
                </pic:pic>
              </a:graphicData>
            </a:graphic>
          </wp:anchor>
        </w:drawing>
        <w:t>PROPOSAL THREE</w:t>
      </w:r>
    </w:p>
    <w:p>
      <w:pPr>
        <w:spacing w:after="0" w:line="225" w:lineRule="exact"/>
        <w:rPr>
          <w:sz w:val="20"/>
          <w:szCs w:val="20"/>
          <w:color w:val="auto"/>
        </w:rPr>
      </w:pPr>
    </w:p>
    <w:p>
      <w:pPr>
        <w:jc w:val="center"/>
        <w:ind w:left="460" w:right="100"/>
        <w:spacing w:after="0" w:line="261" w:lineRule="auto"/>
        <w:rPr>
          <w:sz w:val="20"/>
          <w:szCs w:val="20"/>
          <w:color w:val="auto"/>
        </w:rPr>
      </w:pPr>
      <w:r>
        <w:rPr>
          <w:rFonts w:ascii="Arial" w:cs="Arial" w:eastAsia="Arial" w:hAnsi="Arial"/>
          <w:sz w:val="18"/>
          <w:szCs w:val="18"/>
          <w:b w:val="1"/>
          <w:bCs w:val="1"/>
          <w:color w:val="auto"/>
        </w:rPr>
        <w:t>APPROVAL OF THE RE-APPOINTMENT OF KPMG LLP TO ACT AS OUR INDEPENDENT AUDITORS FOR THE FISCAL YEAR ENDING DECEMBER 31, 2021 AND THE AUTHORIZATION FOR OUR BOARD OF DIRECTORS, ACTING THROUGH OUR AUDIT COMMITTEE, TO FIX THE REMUNERATION OF OUR INDEPENDENT AUDITORS FOR THE FISCAL YEAR ENDING DECEMBER 31, 2021</w:t>
      </w:r>
    </w:p>
    <w:p>
      <w:pPr>
        <w:spacing w:after="0" w:line="184" w:lineRule="exact"/>
        <w:rPr>
          <w:sz w:val="20"/>
          <w:szCs w:val="20"/>
          <w:color w:val="auto"/>
        </w:rPr>
      </w:pPr>
    </w:p>
    <w:p>
      <w:pPr>
        <w:ind w:right="100" w:firstLine="440"/>
        <w:spacing w:after="0" w:line="259" w:lineRule="auto"/>
        <w:rPr>
          <w:sz w:val="20"/>
          <w:szCs w:val="20"/>
          <w:color w:val="auto"/>
        </w:rPr>
      </w:pPr>
      <w:r>
        <w:rPr>
          <w:rFonts w:ascii="Arial" w:cs="Arial" w:eastAsia="Arial" w:hAnsi="Arial"/>
          <w:sz w:val="18"/>
          <w:szCs w:val="18"/>
          <w:color w:val="auto"/>
        </w:rPr>
        <w:t>At the 2021 Annual Meeting, Shareholders will be asked to approve the re-appointment of KPMG LLP, an independent registered public accounting firm, to act as the Company’s independent auditors for the fiscal year ending December 31, 2021 and the authorization for the Board of Directors, acting through our Audit Committee, to fix the remuneration of the Company’s independent auditors for the fiscal year ending December 31, 2021.</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Independent Auditors Fees and Services</w:t>
      </w:r>
    </w:p>
    <w:p>
      <w:pPr>
        <w:spacing w:after="0" w:line="121" w:lineRule="exact"/>
        <w:rPr>
          <w:sz w:val="20"/>
          <w:szCs w:val="20"/>
          <w:color w:val="auto"/>
        </w:rPr>
      </w:pPr>
    </w:p>
    <w:p>
      <w:pPr>
        <w:ind w:right="240" w:firstLine="440"/>
        <w:spacing w:after="0" w:line="286" w:lineRule="auto"/>
        <w:rPr>
          <w:sz w:val="20"/>
          <w:szCs w:val="20"/>
          <w:color w:val="auto"/>
        </w:rPr>
      </w:pPr>
      <w:r>
        <w:rPr>
          <w:rFonts w:ascii="Arial" w:cs="Arial" w:eastAsia="Arial" w:hAnsi="Arial"/>
          <w:sz w:val="17"/>
          <w:szCs w:val="17"/>
          <w:color w:val="auto"/>
        </w:rPr>
        <w:t>Our Audit Committee pre-approves all services provided by KPMG LLP. All of the services and fees described below were reviewed and pre-approved by our Audit Committee. Our Audit Committee has delegated to the chairman of the Audit Committee certain limited authority to grant pre-approvals. These decisions to pre-approve a service must be presented to the full Audit Committee at its next scheduled meeting.</w:t>
      </w:r>
    </w:p>
    <w:p>
      <w:pPr>
        <w:spacing w:after="0" w:line="165" w:lineRule="exact"/>
        <w:rPr>
          <w:sz w:val="20"/>
          <w:szCs w:val="20"/>
          <w:color w:val="auto"/>
        </w:rPr>
      </w:pPr>
    </w:p>
    <w:p>
      <w:pPr>
        <w:ind w:right="360" w:firstLine="440"/>
        <w:spacing w:after="0" w:line="277" w:lineRule="auto"/>
        <w:rPr>
          <w:sz w:val="20"/>
          <w:szCs w:val="20"/>
          <w:color w:val="auto"/>
        </w:rPr>
      </w:pPr>
      <w:r>
        <w:rPr>
          <w:rFonts w:ascii="Arial" w:cs="Arial" w:eastAsia="Arial" w:hAnsi="Arial"/>
          <w:sz w:val="18"/>
          <w:szCs w:val="18"/>
          <w:color w:val="auto"/>
        </w:rPr>
        <w:t>The following is a summary of the fees billed to us by KPMG LLP for professional services rendered for the fiscal years ended December 31, 2020 and 2019:</w:t>
      </w:r>
    </w:p>
    <w:p>
      <w:pPr>
        <w:spacing w:after="0" w:line="176" w:lineRule="exact"/>
        <w:rPr>
          <w:sz w:val="20"/>
          <w:szCs w:val="20"/>
          <w:color w:val="auto"/>
        </w:rPr>
      </w:pPr>
    </w:p>
    <w:tbl>
      <w:tblPr>
        <w:tblLayout w:type="fixed"/>
        <w:tblInd w:w="1320" w:type="dxa"/>
        <w:tblCellMar>
          <w:top w:w="0" w:type="dxa"/>
          <w:left w:w="0" w:type="dxa"/>
          <w:bottom w:w="0" w:type="dxa"/>
          <w:right w:w="0" w:type="dxa"/>
        </w:tblCellMar>
      </w:tblPr>
      <w:tr>
        <w:trPr>
          <w:trHeight w:val="161"/>
        </w:trPr>
        <w:tc>
          <w:tcPr>
            <w:tcW w:w="820" w:type="dxa"/>
            <w:vAlign w:val="bottom"/>
            <w:vMerge w:val="restart"/>
          </w:tcPr>
          <w:p>
            <w:pPr>
              <w:spacing w:after="0"/>
              <w:rPr>
                <w:sz w:val="20"/>
                <w:szCs w:val="20"/>
                <w:color w:val="auto"/>
              </w:rPr>
            </w:pPr>
            <w:r>
              <w:rPr>
                <w:rFonts w:ascii="Arial" w:cs="Arial" w:eastAsia="Arial" w:hAnsi="Arial"/>
                <w:sz w:val="14"/>
                <w:szCs w:val="14"/>
                <w:b w:val="1"/>
                <w:bCs w:val="1"/>
                <w:color w:val="auto"/>
                <w:w w:val="90"/>
              </w:rPr>
              <w:t>Fee Category</w:t>
            </w:r>
          </w:p>
        </w:tc>
        <w:tc>
          <w:tcPr>
            <w:tcW w:w="5380" w:type="dxa"/>
            <w:vAlign w:val="bottom"/>
            <w:vMerge w:val="restart"/>
          </w:tcPr>
          <w:p>
            <w:pPr>
              <w:spacing w:after="0"/>
              <w:rPr>
                <w:sz w:val="14"/>
                <w:szCs w:val="14"/>
                <w:color w:val="auto"/>
              </w:rPr>
            </w:pPr>
          </w:p>
        </w:tc>
        <w:tc>
          <w:tcPr>
            <w:tcW w:w="880" w:type="dxa"/>
            <w:vAlign w:val="bottom"/>
          </w:tcPr>
          <w:p>
            <w:pPr>
              <w:jc w:val="right"/>
              <w:ind w:right="216"/>
              <w:spacing w:after="0"/>
              <w:rPr>
                <w:sz w:val="20"/>
                <w:szCs w:val="20"/>
                <w:color w:val="auto"/>
              </w:rPr>
            </w:pPr>
            <w:r>
              <w:rPr>
                <w:rFonts w:ascii="Arial" w:cs="Arial" w:eastAsia="Arial" w:hAnsi="Arial"/>
                <w:sz w:val="14"/>
                <w:szCs w:val="14"/>
                <w:b w:val="1"/>
                <w:bCs w:val="1"/>
                <w:color w:val="auto"/>
              </w:rPr>
              <w:t>2020</w:t>
            </w:r>
          </w:p>
        </w:tc>
        <w:tc>
          <w:tcPr>
            <w:tcW w:w="2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860" w:type="dxa"/>
            <w:vAlign w:val="bottom"/>
          </w:tcPr>
          <w:p>
            <w:pPr>
              <w:jc w:val="right"/>
              <w:ind w:right="216"/>
              <w:spacing w:after="0"/>
              <w:rPr>
                <w:sz w:val="20"/>
                <w:szCs w:val="20"/>
                <w:color w:val="auto"/>
              </w:rPr>
            </w:pPr>
            <w:r>
              <w:rPr>
                <w:rFonts w:ascii="Arial" w:cs="Arial" w:eastAsia="Arial" w:hAnsi="Arial"/>
                <w:sz w:val="14"/>
                <w:szCs w:val="14"/>
                <w:b w:val="1"/>
                <w:bCs w:val="1"/>
                <w:color w:val="auto"/>
              </w:rPr>
              <w:t>2019</w:t>
            </w: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8"/>
        </w:trPr>
        <w:tc>
          <w:tcPr>
            <w:tcW w:w="820" w:type="dxa"/>
            <w:vAlign w:val="bottom"/>
            <w:tcBorders>
              <w:bottom w:val="single" w:sz="8" w:color="auto"/>
            </w:tcBorders>
            <w:vMerge w:val="continue"/>
          </w:tcPr>
          <w:p>
            <w:pPr>
              <w:spacing w:after="0"/>
              <w:rPr>
                <w:sz w:val="15"/>
                <w:szCs w:val="15"/>
                <w:color w:val="auto"/>
              </w:rPr>
            </w:pPr>
          </w:p>
        </w:tc>
        <w:tc>
          <w:tcPr>
            <w:tcW w:w="5380" w:type="dxa"/>
            <w:vAlign w:val="bottom"/>
            <w:vMerge w:val="continue"/>
          </w:tcPr>
          <w:p>
            <w:pPr>
              <w:spacing w:after="0"/>
              <w:rPr>
                <w:sz w:val="15"/>
                <w:szCs w:val="15"/>
                <w:color w:val="auto"/>
              </w:rPr>
            </w:pPr>
          </w:p>
        </w:tc>
        <w:tc>
          <w:tcPr>
            <w:tcW w:w="1260" w:type="dxa"/>
            <w:vAlign w:val="bottom"/>
            <w:gridSpan w:val="3"/>
          </w:tcPr>
          <w:p>
            <w:pPr>
              <w:ind w:left="300"/>
              <w:spacing w:after="0" w:line="158" w:lineRule="exact"/>
              <w:rPr>
                <w:sz w:val="20"/>
                <w:szCs w:val="20"/>
                <w:color w:val="auto"/>
              </w:rPr>
            </w:pPr>
            <w:r>
              <w:rPr>
                <w:rFonts w:ascii="Arial" w:cs="Arial" w:eastAsia="Arial" w:hAnsi="Arial"/>
                <w:sz w:val="14"/>
                <w:szCs w:val="14"/>
                <w:b w:val="1"/>
                <w:bCs w:val="1"/>
                <w:color w:val="auto"/>
              </w:rPr>
              <w:t>Fees</w:t>
            </w:r>
          </w:p>
        </w:tc>
        <w:tc>
          <w:tcPr>
            <w:tcW w:w="900" w:type="dxa"/>
            <w:vAlign w:val="bottom"/>
            <w:gridSpan w:val="2"/>
          </w:tcPr>
          <w:p>
            <w:pPr>
              <w:ind w:left="280"/>
              <w:spacing w:after="0" w:line="158" w:lineRule="exact"/>
              <w:rPr>
                <w:sz w:val="20"/>
                <w:szCs w:val="20"/>
                <w:color w:val="auto"/>
              </w:rPr>
            </w:pPr>
            <w:r>
              <w:rPr>
                <w:rFonts w:ascii="Arial" w:cs="Arial" w:eastAsia="Arial" w:hAnsi="Arial"/>
                <w:sz w:val="14"/>
                <w:szCs w:val="14"/>
                <w:b w:val="1"/>
                <w:bCs w:val="1"/>
                <w:color w:val="auto"/>
              </w:rPr>
              <w:t>Fees</w:t>
            </w:r>
          </w:p>
        </w:tc>
        <w:tc>
          <w:tcPr>
            <w:tcW w:w="0" w:type="dxa"/>
            <w:vAlign w:val="bottom"/>
          </w:tcPr>
          <w:p>
            <w:pPr>
              <w:spacing w:after="0"/>
              <w:rPr>
                <w:sz w:val="1"/>
                <w:szCs w:val="1"/>
                <w:color w:val="auto"/>
              </w:rPr>
            </w:pPr>
          </w:p>
        </w:tc>
      </w:tr>
      <w:tr>
        <w:trPr>
          <w:trHeight w:val="203"/>
        </w:trPr>
        <w:tc>
          <w:tcPr>
            <w:tcW w:w="620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Audit Fees</w:t>
            </w:r>
          </w:p>
        </w:tc>
        <w:tc>
          <w:tcPr>
            <w:tcW w:w="88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90"/>
              </w:rPr>
              <w:t>$ 1,888,000</w:t>
            </w:r>
          </w:p>
        </w:tc>
        <w:tc>
          <w:tcPr>
            <w:tcW w:w="20" w:type="dxa"/>
            <w:vAlign w:val="bottom"/>
            <w:tcBorders>
              <w:top w:val="single" w:sz="8" w:color="CCEEFF"/>
            </w:tcBorders>
            <w:shd w:val="clear" w:color="auto" w:fill="CCEEFF"/>
          </w:tcPr>
          <w:p>
            <w:pPr>
              <w:spacing w:after="0"/>
              <w:rPr>
                <w:sz w:val="17"/>
                <w:szCs w:val="17"/>
                <w:color w:val="auto"/>
              </w:rPr>
            </w:pPr>
          </w:p>
        </w:tc>
        <w:tc>
          <w:tcPr>
            <w:tcW w:w="360" w:type="dxa"/>
            <w:vAlign w:val="bottom"/>
            <w:tcBorders>
              <w:top w:val="single" w:sz="8" w:color="CCEEFF"/>
            </w:tcBorders>
            <w:shd w:val="clear" w:color="auto" w:fill="CCEEFF"/>
          </w:tcPr>
          <w:p>
            <w:pPr>
              <w:spacing w:after="0"/>
              <w:rPr>
                <w:sz w:val="17"/>
                <w:szCs w:val="17"/>
                <w:color w:val="auto"/>
              </w:rPr>
            </w:pPr>
          </w:p>
        </w:tc>
        <w:tc>
          <w:tcPr>
            <w:tcW w:w="86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88"/>
              </w:rPr>
              <w:t>$ 1,792,000</w:t>
            </w:r>
          </w:p>
        </w:tc>
        <w:tc>
          <w:tcPr>
            <w:tcW w:w="4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6200" w:type="dxa"/>
            <w:vAlign w:val="bottom"/>
            <w:gridSpan w:val="2"/>
          </w:tcPr>
          <w:p>
            <w:pPr>
              <w:spacing w:after="0"/>
              <w:rPr>
                <w:sz w:val="20"/>
                <w:szCs w:val="20"/>
                <w:color w:val="auto"/>
              </w:rPr>
            </w:pPr>
            <w:r>
              <w:rPr>
                <w:rFonts w:ascii="Arial" w:cs="Arial" w:eastAsia="Arial" w:hAnsi="Arial"/>
                <w:sz w:val="18"/>
                <w:szCs w:val="18"/>
                <w:color w:val="auto"/>
              </w:rPr>
              <w:t>Audit-Related Fees</w:t>
            </w:r>
          </w:p>
        </w:tc>
        <w:tc>
          <w:tcPr>
            <w:tcW w:w="900" w:type="dxa"/>
            <w:vAlign w:val="bottom"/>
            <w:gridSpan w:val="2"/>
          </w:tcPr>
          <w:p>
            <w:pPr>
              <w:jc w:val="right"/>
              <w:ind w:right="20"/>
              <w:spacing w:after="0"/>
              <w:rPr>
                <w:sz w:val="20"/>
                <w:szCs w:val="20"/>
                <w:color w:val="auto"/>
              </w:rPr>
            </w:pPr>
            <w:r>
              <w:rPr>
                <w:rFonts w:ascii="Arial" w:cs="Arial" w:eastAsia="Arial" w:hAnsi="Arial"/>
                <w:sz w:val="18"/>
                <w:szCs w:val="18"/>
                <w:color w:val="auto"/>
              </w:rPr>
              <w:t>235,000</w:t>
            </w:r>
          </w:p>
        </w:tc>
        <w:tc>
          <w:tcPr>
            <w:tcW w:w="360" w:type="dxa"/>
            <w:vAlign w:val="bottom"/>
          </w:tcPr>
          <w:p>
            <w:pPr>
              <w:spacing w:after="0"/>
              <w:rPr>
                <w:sz w:val="18"/>
                <w:szCs w:val="18"/>
                <w:color w:val="auto"/>
              </w:rPr>
            </w:pPr>
          </w:p>
        </w:tc>
        <w:tc>
          <w:tcPr>
            <w:tcW w:w="900" w:type="dxa"/>
            <w:vAlign w:val="bottom"/>
            <w:gridSpan w:val="2"/>
          </w:tcPr>
          <w:p>
            <w:pPr>
              <w:jc w:val="right"/>
              <w:ind w:right="40"/>
              <w:spacing w:after="0"/>
              <w:rPr>
                <w:sz w:val="20"/>
                <w:szCs w:val="20"/>
                <w:color w:val="auto"/>
              </w:rPr>
            </w:pPr>
            <w:r>
              <w:rPr>
                <w:rFonts w:ascii="Arial" w:cs="Arial" w:eastAsia="Arial" w:hAnsi="Arial"/>
                <w:sz w:val="18"/>
                <w:szCs w:val="18"/>
                <w:color w:val="auto"/>
              </w:rPr>
              <w:t>30,000</w:t>
            </w:r>
          </w:p>
        </w:tc>
        <w:tc>
          <w:tcPr>
            <w:tcW w:w="0" w:type="dxa"/>
            <w:vAlign w:val="bottom"/>
          </w:tcPr>
          <w:p>
            <w:pPr>
              <w:spacing w:after="0"/>
              <w:rPr>
                <w:sz w:val="1"/>
                <w:szCs w:val="1"/>
                <w:color w:val="auto"/>
              </w:rPr>
            </w:pPr>
          </w:p>
        </w:tc>
      </w:tr>
      <w:tr>
        <w:trPr>
          <w:trHeight w:val="216"/>
        </w:trPr>
        <w:tc>
          <w:tcPr>
            <w:tcW w:w="62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Tax Fees</w:t>
            </w:r>
          </w:p>
        </w:tc>
        <w:tc>
          <w:tcPr>
            <w:tcW w:w="9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8,000</w:t>
            </w:r>
          </w:p>
        </w:tc>
        <w:tc>
          <w:tcPr>
            <w:tcW w:w="36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6,000</w:t>
            </w:r>
          </w:p>
        </w:tc>
        <w:tc>
          <w:tcPr>
            <w:tcW w:w="0" w:type="dxa"/>
            <w:vAlign w:val="bottom"/>
          </w:tcPr>
          <w:p>
            <w:pPr>
              <w:spacing w:after="0"/>
              <w:rPr>
                <w:sz w:val="1"/>
                <w:szCs w:val="1"/>
                <w:color w:val="auto"/>
              </w:rPr>
            </w:pPr>
          </w:p>
        </w:tc>
      </w:tr>
      <w:tr>
        <w:trPr>
          <w:trHeight w:val="223"/>
        </w:trPr>
        <w:tc>
          <w:tcPr>
            <w:tcW w:w="6200" w:type="dxa"/>
            <w:vAlign w:val="bottom"/>
            <w:gridSpan w:val="2"/>
          </w:tcPr>
          <w:p>
            <w:pPr>
              <w:spacing w:after="0"/>
              <w:rPr>
                <w:sz w:val="20"/>
                <w:szCs w:val="20"/>
                <w:color w:val="auto"/>
              </w:rPr>
            </w:pPr>
            <w:r>
              <w:rPr>
                <w:rFonts w:ascii="Arial" w:cs="Arial" w:eastAsia="Arial" w:hAnsi="Arial"/>
                <w:sz w:val="18"/>
                <w:szCs w:val="18"/>
                <w:color w:val="auto"/>
              </w:rPr>
              <w:t>Total Fees</w:t>
            </w: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0"/>
              </w:rPr>
              <w:t>$ 2,131,000</w:t>
            </w:r>
          </w:p>
        </w:tc>
        <w:tc>
          <w:tcPr>
            <w:tcW w:w="20" w:type="dxa"/>
            <w:vAlign w:val="bottom"/>
            <w:tcBorders>
              <w:bottom w:val="single" w:sz="8" w:color="auto"/>
            </w:tcBorders>
          </w:tcPr>
          <w:p>
            <w:pPr>
              <w:spacing w:after="0"/>
              <w:rPr>
                <w:sz w:val="19"/>
                <w:szCs w:val="19"/>
                <w:color w:val="auto"/>
              </w:rPr>
            </w:pPr>
          </w:p>
        </w:tc>
        <w:tc>
          <w:tcPr>
            <w:tcW w:w="360" w:type="dxa"/>
            <w:vAlign w:val="bottom"/>
          </w:tcPr>
          <w:p>
            <w:pPr>
              <w:spacing w:after="0"/>
              <w:rPr>
                <w:sz w:val="19"/>
                <w:szCs w:val="19"/>
                <w:color w:val="auto"/>
              </w:rPr>
            </w:pPr>
          </w:p>
        </w:tc>
        <w:tc>
          <w:tcPr>
            <w:tcW w:w="8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8"/>
              </w:rPr>
              <w:t>$ 1,828,000</w:t>
            </w: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820" w:type="dxa"/>
            <w:vAlign w:val="bottom"/>
          </w:tcPr>
          <w:p>
            <w:pPr>
              <w:spacing w:after="0" w:line="20" w:lineRule="exact"/>
              <w:rPr>
                <w:sz w:val="1"/>
                <w:szCs w:val="1"/>
                <w:color w:val="auto"/>
              </w:rPr>
            </w:pPr>
          </w:p>
        </w:tc>
        <w:tc>
          <w:tcPr>
            <w:tcW w:w="5380" w:type="dxa"/>
            <w:vAlign w:val="bottom"/>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right="480" w:firstLine="440"/>
        <w:spacing w:after="0" w:line="277" w:lineRule="auto"/>
        <w:rPr>
          <w:sz w:val="20"/>
          <w:szCs w:val="20"/>
          <w:color w:val="auto"/>
        </w:rPr>
      </w:pPr>
      <w:r>
        <w:rPr>
          <w:rFonts w:ascii="Arial" w:cs="Arial" w:eastAsia="Arial" w:hAnsi="Arial"/>
          <w:sz w:val="18"/>
          <w:szCs w:val="18"/>
          <w:i w:val="1"/>
          <w:iCs w:val="1"/>
          <w:color w:val="auto"/>
        </w:rPr>
        <w:t>Audit Fees—</w:t>
      </w:r>
      <w:r>
        <w:rPr>
          <w:rFonts w:ascii="Arial" w:cs="Arial" w:eastAsia="Arial" w:hAnsi="Arial"/>
          <w:sz w:val="18"/>
          <w:szCs w:val="18"/>
          <w:color w:val="auto"/>
        </w:rPr>
        <w:t>Consists of fees billed for professional services rendered for the audit of our financial statements and services that are normally</w:t>
      </w:r>
      <w:r>
        <w:rPr>
          <w:rFonts w:ascii="Arial" w:cs="Arial" w:eastAsia="Arial" w:hAnsi="Arial"/>
          <w:sz w:val="18"/>
          <w:szCs w:val="18"/>
          <w:i w:val="1"/>
          <w:iCs w:val="1"/>
          <w:color w:val="auto"/>
        </w:rPr>
        <w:t xml:space="preserve"> </w:t>
      </w:r>
      <w:r>
        <w:rPr>
          <w:rFonts w:ascii="Arial" w:cs="Arial" w:eastAsia="Arial" w:hAnsi="Arial"/>
          <w:sz w:val="18"/>
          <w:szCs w:val="18"/>
          <w:color w:val="auto"/>
        </w:rPr>
        <w:t>provided by our principal accountants in connection with statutory and regulatory filings or engagements.</w:t>
      </w:r>
    </w:p>
    <w:p>
      <w:pPr>
        <w:spacing w:after="0" w:line="170" w:lineRule="exact"/>
        <w:rPr>
          <w:sz w:val="20"/>
          <w:szCs w:val="20"/>
          <w:color w:val="auto"/>
        </w:rPr>
      </w:pPr>
    </w:p>
    <w:p>
      <w:pPr>
        <w:ind w:right="100" w:firstLine="440"/>
        <w:spacing w:after="0" w:line="277" w:lineRule="auto"/>
        <w:rPr>
          <w:sz w:val="20"/>
          <w:szCs w:val="20"/>
          <w:color w:val="auto"/>
        </w:rPr>
      </w:pPr>
      <w:r>
        <w:rPr>
          <w:rFonts w:ascii="Arial" w:cs="Arial" w:eastAsia="Arial" w:hAnsi="Arial"/>
          <w:sz w:val="18"/>
          <w:szCs w:val="18"/>
          <w:i w:val="1"/>
          <w:iCs w:val="1"/>
          <w:color w:val="auto"/>
        </w:rPr>
        <w:t>Audit-Related Fees—</w:t>
      </w:r>
      <w:r>
        <w:rPr>
          <w:rFonts w:ascii="Arial" w:cs="Arial" w:eastAsia="Arial" w:hAnsi="Arial"/>
          <w:sz w:val="18"/>
          <w:szCs w:val="18"/>
          <w:color w:val="auto"/>
        </w:rPr>
        <w:t>Consists of fees for attestation related services other than those described above as Audit Fees. Fees for both 2020 and 2019</w:t>
      </w:r>
      <w:r>
        <w:rPr>
          <w:rFonts w:ascii="Arial" w:cs="Arial" w:eastAsia="Arial" w:hAnsi="Arial"/>
          <w:sz w:val="18"/>
          <w:szCs w:val="18"/>
          <w:i w:val="1"/>
          <w:iCs w:val="1"/>
          <w:color w:val="auto"/>
        </w:rPr>
        <w:t xml:space="preserve"> </w:t>
      </w:r>
      <w:r>
        <w:rPr>
          <w:rFonts w:ascii="Arial" w:cs="Arial" w:eastAsia="Arial" w:hAnsi="Arial"/>
          <w:sz w:val="18"/>
          <w:szCs w:val="18"/>
          <w:color w:val="auto"/>
        </w:rPr>
        <w:t>were relate to the performance of agreed upon procedures on certain specific lender requirements.</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Tax Fees—</w:t>
      </w:r>
      <w:r>
        <w:rPr>
          <w:rFonts w:ascii="Arial" w:cs="Arial" w:eastAsia="Arial" w:hAnsi="Arial"/>
          <w:sz w:val="18"/>
          <w:szCs w:val="18"/>
          <w:color w:val="auto"/>
        </w:rPr>
        <w:t>Consists of fees billed for professional services for tax compliance, tax advice and tax planning.</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Vote Required</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Adoption of Proposal Three requires the affirmative vote of a majority of the votes cast at the 2021 Annual Meeting.</w:t>
      </w:r>
    </w:p>
    <w:p>
      <w:pPr>
        <w:spacing w:after="0" w:line="221" w:lineRule="exact"/>
        <w:rPr>
          <w:sz w:val="20"/>
          <w:szCs w:val="20"/>
          <w:color w:val="auto"/>
        </w:rPr>
      </w:pPr>
    </w:p>
    <w:p>
      <w:pPr>
        <w:jc w:val="center"/>
        <w:spacing w:after="0" w:line="261" w:lineRule="auto"/>
        <w:rPr>
          <w:sz w:val="20"/>
          <w:szCs w:val="20"/>
          <w:color w:val="auto"/>
        </w:rPr>
      </w:pPr>
      <w:r>
        <w:rPr>
          <w:rFonts w:ascii="Arial" w:cs="Arial" w:eastAsia="Arial" w:hAnsi="Arial"/>
          <w:sz w:val="18"/>
          <w:szCs w:val="18"/>
          <w:b w:val="1"/>
          <w:bCs w:val="1"/>
          <w:color w:val="auto"/>
        </w:rPr>
        <w:t>Our Board of Directors unanimously recommends a vote FOR the approval of the re-appointment of KPMG LLP, an independent registered public accounting firm, to act as the Company’s independent auditors for the fiscal year ending December 31, 2021 and the authorization for our Board of Directors, acting through our Audit Committee, to fix the remuneration of the Company’s independent auditors for the fiscal year ending December 31, 2021 as set forth in Proposal Three.</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000"/>
          </w:cols>
          <w:pgMar w:left="440" w:top="270" w:right="459" w:bottom="1440" w:gutter="0" w:footer="0" w:header="0"/>
        </w:sectPr>
      </w:pPr>
    </w:p>
    <w:bookmarkStart w:id="192" w:name="page193"/>
    <w:bookmarkEnd w:id="192"/>
    <w:p>
      <w:pPr>
        <w:jc w:val="center"/>
        <w:ind w:right="-11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7174865" cy="38735"/>
                    </a:xfrm>
                    <a:prstGeom prst="rect">
                      <a:avLst/>
                    </a:prstGeom>
                    <a:noFill/>
                  </pic:spPr>
                </pic:pic>
              </a:graphicData>
            </a:graphic>
          </wp:anchor>
        </w:drawing>
        <w:t>OTHER MATTERS</w:t>
      </w:r>
    </w:p>
    <w:p>
      <w:pPr>
        <w:spacing w:after="0" w:line="229" w:lineRule="exact"/>
        <w:rPr>
          <w:sz w:val="20"/>
          <w:szCs w:val="20"/>
          <w:color w:val="auto"/>
        </w:rPr>
      </w:pPr>
    </w:p>
    <w:p>
      <w:pPr>
        <w:ind w:firstLine="440"/>
        <w:spacing w:after="0" w:line="259" w:lineRule="auto"/>
        <w:rPr>
          <w:sz w:val="20"/>
          <w:szCs w:val="20"/>
          <w:color w:val="auto"/>
        </w:rPr>
      </w:pPr>
      <w:r>
        <w:rPr>
          <w:rFonts w:ascii="Arial" w:cs="Arial" w:eastAsia="Arial" w:hAnsi="Arial"/>
          <w:sz w:val="18"/>
          <w:szCs w:val="18"/>
          <w:color w:val="auto"/>
        </w:rPr>
        <w:t>Our Board of Directors is currently unaware of any other matters to come before the 2021 Annual Meeting other than as set forth in the accompanying Notice of 2021 Annual General Meeting of Shareholders and as more specifically described in this Proxy Statement. Each Common Share represented by a properly executed proxy which is returned and not revoked will be voted in accordance with the proxyholder’s best judgment as to any other business as may properly come before the 2021 Annual Meeting.</w:t>
      </w:r>
    </w:p>
    <w:p>
      <w:pPr>
        <w:spacing w:after="0" w:line="119"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0880"/>
          </w:cols>
          <w:pgMar w:left="440" w:top="270" w:right="579" w:bottom="1440" w:gutter="0" w:footer="0" w:header="0"/>
        </w:sectPr>
      </w:pPr>
    </w:p>
    <w:bookmarkStart w:id="193" w:name="page194"/>
    <w:bookmarkEnd w:id="193"/>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763778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7174865" cy="763778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94" w:name="page195"/>
    <w:bookmarkEnd w:id="194"/>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763778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7174865" cy="7637780"/>
                    </a:xfrm>
                    <a:prstGeom prst="rect">
                      <a:avLst/>
                    </a:prstGeom>
                    <a:noFill/>
                  </pic:spPr>
                </pic:pic>
              </a:graphicData>
            </a:graphic>
          </wp:anchor>
        </w:drawing>
      </w:r>
    </w:p>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51D9C564"/>
    <w:multiLevelType w:val="hybridMultilevel"/>
    <w:lvl w:ilvl="0">
      <w:lvlJc w:val="left"/>
      <w:lvlText w:val="(%1)"/>
      <w:numFmt w:val="lowerLetter"/>
      <w:start w:val="1"/>
    </w:lvl>
  </w:abstractNum>
  <w:abstractNum w:abstractNumId="1">
    <w:nsid w:val="613EFDC5"/>
    <w:multiLevelType w:val="hybridMultilevel"/>
    <w:lvl w:ilvl="0">
      <w:lvlJc w:val="left"/>
      <w:lvlText w:val="☐"/>
      <w:numFmt w:val="bullet"/>
      <w:start w:val="1"/>
    </w:lvl>
  </w:abstractNum>
  <w:abstractNum w:abstractNumId="2">
    <w:nsid w:val="BF72B14"/>
    <w:multiLevelType w:val="hybridMultilevel"/>
    <w:lvl w:ilvl="0">
      <w:lvlJc w:val="left"/>
      <w:lvlText w:val="☒"/>
      <w:numFmt w:val="bullet"/>
      <w:start w:val="1"/>
    </w:lvl>
  </w:abstractNum>
  <w:abstractNum w:abstractNumId="3">
    <w:nsid w:val="11447B73"/>
    <w:multiLevelType w:val="hybridMultilevel"/>
    <w:lvl w:ilvl="0">
      <w:lvlJc w:val="left"/>
      <w:lvlText w:val="☐"/>
      <w:numFmt w:val="bullet"/>
      <w:start w:val="1"/>
    </w:lvl>
  </w:abstractNum>
  <w:abstractNum w:abstractNumId="4">
    <w:nsid w:val="42963E5A"/>
    <w:multiLevelType w:val="hybridMultilevel"/>
    <w:lvl w:ilvl="0">
      <w:lvlJc w:val="left"/>
      <w:lvlText w:val="☐"/>
      <w:numFmt w:val="bullet"/>
      <w:start w:val="1"/>
    </w:lvl>
  </w:abstractNum>
  <w:abstractNum w:abstractNumId="5">
    <w:nsid w:val="A0382C5"/>
    <w:multiLevelType w:val="hybridMultilevel"/>
    <w:lvl w:ilvl="0">
      <w:lvlJc w:val="left"/>
      <w:lvlText w:val="(%1)"/>
      <w:numFmt w:val="decimal"/>
      <w:start w:val="441"/>
    </w:lvl>
  </w:abstractNum>
  <w:abstractNum w:abstractNumId="6">
    <w:nsid w:val="8F2B15E"/>
    <w:multiLevelType w:val="hybridMultilevel"/>
    <w:lvl w:ilvl="0">
      <w:lvlJc w:val="left"/>
      <w:lvlText w:val="%1."/>
      <w:numFmt w:val="upperLetter"/>
      <w:start w:val="1"/>
    </w:lvl>
  </w:abstractNum>
  <w:abstractNum w:abstractNumId="7">
    <w:nsid w:val="1A32234B"/>
    <w:multiLevelType w:val="hybridMultilevel"/>
    <w:lvl w:ilvl="0">
      <w:lvlJc w:val="left"/>
      <w:lvlText w:val="(%1)"/>
      <w:numFmt w:val="decimal"/>
      <w:start w:val="1"/>
    </w:lvl>
  </w:abstractNum>
  <w:abstractNum w:abstractNumId="8">
    <w:nsid w:val="3B0FD379"/>
    <w:multiLevelType w:val="hybridMultilevel"/>
    <w:lvl w:ilvl="0">
      <w:lvlJc w:val="left"/>
      <w:lvlText w:val="%1."/>
      <w:numFmt w:val="upperLetter"/>
      <w:start w:val="2"/>
    </w:lvl>
  </w:abstractNum>
  <w:abstractNum w:abstractNumId="9">
    <w:nsid w:val="68EB2F63"/>
    <w:multiLevelType w:val="hybridMultilevel"/>
    <w:lvl w:ilvl="0">
      <w:lvlJc w:val="left"/>
      <w:lvlText w:val="•"/>
      <w:numFmt w:val="bullet"/>
      <w:start w:val="1"/>
    </w:lvl>
  </w:abstractNum>
  <w:abstractNum w:abstractNumId="10">
    <w:nsid w:val="4962813B"/>
    <w:multiLevelType w:val="hybridMultilevel"/>
    <w:lvl w:ilvl="0">
      <w:lvlJc w:val="left"/>
      <w:lvlText w:val="•"/>
      <w:numFmt w:val="bullet"/>
      <w:start w:val="1"/>
    </w:lvl>
    <w:lvl w:ilvl="1">
      <w:lvlJc w:val="left"/>
      <w:lvlText w:val="(%2)"/>
      <w:numFmt w:val="lowerRoman"/>
      <w:start w:val="4"/>
    </w:lvl>
  </w:abstractNum>
  <w:abstractNum w:abstractNumId="11">
    <w:nsid w:val="60B6DF70"/>
    <w:multiLevelType w:val="hybridMultilevel"/>
    <w:lvl w:ilvl="0">
      <w:lvlJc w:val="left"/>
      <w:lvlText w:val="•"/>
      <w:numFmt w:val="bullet"/>
      <w:start w:val="1"/>
    </w:lvl>
    <w:lvl w:ilvl="1">
      <w:lvlJc w:val="left"/>
      <w:lvlText w:val="(%2)"/>
      <w:numFmt w:val="lowerRoman"/>
      <w:start w:val="6"/>
    </w:lvl>
  </w:abstractNum>
  <w:abstractNum w:abstractNumId="12">
    <w:nsid w:val="6A5EE64"/>
    <w:multiLevelType w:val="hybridMultilevel"/>
    <w:lvl w:ilvl="0">
      <w:lvlJc w:val="left"/>
      <w:lvlText w:val="•"/>
      <w:numFmt w:val="bullet"/>
      <w:start w:val="1"/>
    </w:lvl>
  </w:abstractNum>
  <w:abstractNum w:abstractNumId="13">
    <w:nsid w:val="14330624"/>
    <w:multiLevelType w:val="hybridMultilevel"/>
    <w:lvl w:ilvl="0">
      <w:lvlJc w:val="left"/>
      <w:lvlText w:val="•"/>
      <w:numFmt w:val="bullet"/>
      <w:start w:val="1"/>
    </w:lvl>
  </w:abstractNum>
  <w:abstractNum w:abstractNumId="14">
    <w:nsid w:val="7FFFCA11"/>
    <w:multiLevelType w:val="hybridMultilevel"/>
    <w:lvl w:ilvl="0">
      <w:lvlJc w:val="left"/>
      <w:lvlText w:val="•"/>
      <w:numFmt w:val="bullet"/>
      <w:start w:val="1"/>
    </w:lvl>
  </w:abstractNum>
  <w:abstractNum w:abstractNumId="15">
    <w:nsid w:val="1A27709E"/>
    <w:multiLevelType w:val="hybridMultilevel"/>
    <w:lvl w:ilvl="0">
      <w:lvlJc w:val="left"/>
      <w:lvlText w:val="•"/>
      <w:numFmt w:val="bullet"/>
      <w:start w:val="1"/>
    </w:lvl>
  </w:abstractNum>
  <w:abstractNum w:abstractNumId="16">
    <w:nsid w:val="71EA1109"/>
    <w:multiLevelType w:val="hybridMultilevel"/>
    <w:lvl w:ilvl="0">
      <w:lvlJc w:val="left"/>
      <w:lvlText w:val="•"/>
      <w:numFmt w:val="bullet"/>
      <w:start w:val="1"/>
    </w:lvl>
  </w:abstractNum>
  <w:abstractNum w:abstractNumId="17">
    <w:nsid w:val="100F59DC"/>
    <w:multiLevelType w:val="hybridMultilevel"/>
    <w:lvl w:ilvl="0">
      <w:lvlJc w:val="left"/>
      <w:lvlText w:val="•"/>
      <w:numFmt w:val="bullet"/>
      <w:start w:val="1"/>
    </w:lvl>
  </w:abstractNum>
  <w:abstractNum w:abstractNumId="18">
    <w:nsid w:val="7FB7E0AA"/>
    <w:multiLevelType w:val="hybridMultilevel"/>
    <w:lvl w:ilvl="0">
      <w:lvlJc w:val="left"/>
      <w:lvlText w:val="•"/>
      <w:numFmt w:val="bullet"/>
      <w:start w:val="1"/>
    </w:lvl>
  </w:abstractNum>
  <w:abstractNum w:abstractNumId="19">
    <w:nsid w:val="6EB5BD4"/>
    <w:multiLevelType w:val="hybridMultilevel"/>
    <w:lvl w:ilvl="0">
      <w:lvlJc w:val="left"/>
      <w:lvlText w:val="•"/>
      <w:numFmt w:val="bullet"/>
      <w:start w:val="1"/>
    </w:lvl>
  </w:abstractNum>
  <w:abstractNum w:abstractNumId="20">
    <w:nsid w:val="6F6DD9AC"/>
    <w:multiLevelType w:val="hybridMultilevel"/>
    <w:lvl w:ilvl="0">
      <w:lvlJc w:val="left"/>
      <w:lvlText w:val="•"/>
      <w:numFmt w:val="bullet"/>
      <w:start w:val="1"/>
    </w:lvl>
  </w:abstractNum>
  <w:abstractNum w:abstractNumId="21">
    <w:nsid w:val="94211F2"/>
    <w:multiLevelType w:val="hybridMultilevel"/>
    <w:lvl w:ilvl="0">
      <w:lvlJc w:val="left"/>
      <w:lvlText w:val="•"/>
      <w:numFmt w:val="bullet"/>
      <w:start w:val="1"/>
    </w:lvl>
  </w:abstractNum>
  <w:abstractNum w:abstractNumId="22">
    <w:nsid w:val="885E1B"/>
    <w:multiLevelType w:val="hybridMultilevel"/>
    <w:lvl w:ilvl="0">
      <w:lvlJc w:val="left"/>
      <w:lvlText w:val="•"/>
      <w:numFmt w:val="bullet"/>
      <w:start w:val="1"/>
    </w:lvl>
  </w:abstractNum>
  <w:abstractNum w:abstractNumId="23">
    <w:nsid w:val="76272110"/>
    <w:multiLevelType w:val="hybridMultilevel"/>
    <w:lvl w:ilvl="0">
      <w:lvlJc w:val="left"/>
      <w:lvlText w:val="•"/>
      <w:numFmt w:val="bullet"/>
      <w:start w:val="1"/>
    </w:lvl>
  </w:abstractNum>
  <w:abstractNum w:abstractNumId="24">
    <w:nsid w:val="4C04A8AF"/>
    <w:multiLevelType w:val="hybridMultilevel"/>
    <w:lvl w:ilvl="0">
      <w:lvlJc w:val="left"/>
      <w:lvlText w:val="•"/>
      <w:numFmt w:val="bullet"/>
      <w:start w:val="1"/>
    </w:lvl>
  </w:abstractNum>
  <w:abstractNum w:abstractNumId="25">
    <w:nsid w:val="1716703B"/>
    <w:multiLevelType w:val="hybridMultilevel"/>
    <w:lvl w:ilvl="0">
      <w:lvlJc w:val="left"/>
      <w:lvlText w:val="•"/>
      <w:numFmt w:val="bullet"/>
      <w:start w:val="1"/>
    </w:lvl>
  </w:abstractNum>
  <w:abstractNum w:abstractNumId="26">
    <w:nsid w:val="14E17E33"/>
    <w:multiLevelType w:val="hybridMultilevel"/>
    <w:lvl w:ilvl="0">
      <w:lvlJc w:val="left"/>
      <w:lvlText w:val="•"/>
      <w:numFmt w:val="bullet"/>
      <w:start w:val="1"/>
    </w:lvl>
  </w:abstractNum>
  <w:abstractNum w:abstractNumId="27">
    <w:nsid w:val="3222E7CD"/>
    <w:multiLevelType w:val="hybridMultilevel"/>
    <w:lvl w:ilvl="0">
      <w:lvlJc w:val="left"/>
      <w:lvlText w:val="•"/>
      <w:numFmt w:val="bullet"/>
      <w:start w:val="1"/>
    </w:lvl>
  </w:abstractNum>
  <w:abstractNum w:abstractNumId="28">
    <w:nsid w:val="74DE0EE3"/>
    <w:multiLevelType w:val="hybridMultilevel"/>
    <w:lvl w:ilvl="0">
      <w:lvlJc w:val="left"/>
      <w:lvlText w:val="•"/>
      <w:numFmt w:val="bullet"/>
      <w:start w:val="1"/>
    </w:lvl>
  </w:abstractNum>
  <w:abstractNum w:abstractNumId="29">
    <w:nsid w:val="68EBC550"/>
    <w:multiLevelType w:val="hybridMultilevel"/>
    <w:lvl w:ilvl="0">
      <w:lvlJc w:val="left"/>
      <w:lvlText w:val="•"/>
      <w:numFmt w:val="bullet"/>
      <w:start w:val="1"/>
    </w:lvl>
  </w:abstractNum>
  <w:abstractNum w:abstractNumId="30">
    <w:nsid w:val="2DF6D648"/>
    <w:multiLevelType w:val="hybridMultilevel"/>
    <w:lvl w:ilvl="0">
      <w:lvlJc w:val="left"/>
      <w:lvlText w:val="•"/>
      <w:numFmt w:val="bullet"/>
      <w:start w:val="1"/>
    </w:lvl>
  </w:abstractNum>
  <w:abstractNum w:abstractNumId="31">
    <w:nsid w:val="46B7D447"/>
    <w:multiLevelType w:val="hybridMultilevel"/>
    <w:lvl w:ilvl="0">
      <w:lvlJc w:val="left"/>
      <w:lvlText w:val="•"/>
      <w:numFmt w:val="bullet"/>
      <w:start w:val="1"/>
    </w:lvl>
  </w:abstractNum>
  <w:abstractNum w:abstractNumId="32">
    <w:nsid w:val="4A2AC315"/>
    <w:multiLevelType w:val="hybridMultilevel"/>
    <w:lvl w:ilvl="0">
      <w:lvlJc w:val="left"/>
      <w:lvlText w:val="%1."/>
      <w:numFmt w:val="upperLetter"/>
      <w:start w:val="1"/>
    </w:lvl>
  </w:abstractNum>
  <w:abstractNum w:abstractNumId="33">
    <w:nsid w:val="39EE015C"/>
    <w:multiLevelType w:val="hybridMultilevel"/>
    <w:lvl w:ilvl="0">
      <w:lvlJc w:val="left"/>
      <w:lvlText w:val="•"/>
      <w:numFmt w:val="bullet"/>
      <w:start w:val="1"/>
    </w:lvl>
    <w:lvl w:ilvl="1">
      <w:lvlJc w:val="left"/>
      <w:lvlText w:val="•"/>
      <w:numFmt w:val="bullet"/>
      <w:start w:val="1"/>
    </w:lvl>
  </w:abstractNum>
  <w:abstractNum w:abstractNumId="34">
    <w:nsid w:val="57FC4FBB"/>
    <w:multiLevelType w:val="hybridMultilevel"/>
    <w:lvl w:ilvl="0">
      <w:lvlJc w:val="left"/>
      <w:lvlText w:val="%1."/>
      <w:numFmt w:val="upperLetter"/>
      <w:start w:val="2"/>
    </w:lvl>
  </w:abstractNum>
  <w:abstractNum w:abstractNumId="35">
    <w:nsid w:val="CC1016F"/>
    <w:multiLevelType w:val="hybridMultilevel"/>
    <w:lvl w:ilvl="0">
      <w:lvlJc w:val="left"/>
      <w:lvlText w:val="•"/>
      <w:numFmt w:val="bullet"/>
      <w:start w:val="1"/>
    </w:lvl>
  </w:abstractNum>
  <w:abstractNum w:abstractNumId="36">
    <w:nsid w:val="43F18422"/>
    <w:multiLevelType w:val="hybridMultilevel"/>
    <w:lvl w:ilvl="0">
      <w:lvlJc w:val="left"/>
      <w:lvlText w:val="•"/>
      <w:numFmt w:val="bullet"/>
      <w:start w:val="1"/>
    </w:lvl>
  </w:abstractNum>
  <w:abstractNum w:abstractNumId="37">
    <w:nsid w:val="60EF0119"/>
    <w:multiLevelType w:val="hybridMultilevel"/>
    <w:lvl w:ilvl="0">
      <w:lvlJc w:val="left"/>
      <w:lvlText w:val="•"/>
      <w:numFmt w:val="bullet"/>
      <w:start w:val="1"/>
    </w:lvl>
  </w:abstractNum>
  <w:abstractNum w:abstractNumId="38">
    <w:nsid w:val="26F324BA"/>
    <w:multiLevelType w:val="hybridMultilevel"/>
    <w:lvl w:ilvl="0">
      <w:lvlJc w:val="left"/>
      <w:lvlText w:val="•"/>
      <w:numFmt w:val="bullet"/>
      <w:start w:val="1"/>
    </w:lvl>
  </w:abstractNum>
  <w:abstractNum w:abstractNumId="39">
    <w:nsid w:val="7F01579B"/>
    <w:multiLevelType w:val="hybridMultilevel"/>
    <w:lvl w:ilvl="0">
      <w:lvlJc w:val="left"/>
      <w:lvlText w:val="(%1)"/>
      <w:numFmt w:val="decimal"/>
      <w:start w:val="1"/>
    </w:lvl>
  </w:abstractNum>
  <w:abstractNum w:abstractNumId="40">
    <w:nsid w:val="49DA307D"/>
    <w:multiLevelType w:val="hybridMultilevel"/>
    <w:lvl w:ilvl="0">
      <w:lvlJc w:val="left"/>
      <w:lvlText w:val="•"/>
      <w:numFmt w:val="bullet"/>
      <w:start w:val="1"/>
    </w:lvl>
  </w:abstractNum>
  <w:abstractNum w:abstractNumId="41">
    <w:nsid w:val="7055A5F5"/>
    <w:multiLevelType w:val="hybridMultilevel"/>
    <w:lvl w:ilvl="0">
      <w:lvlJc w:val="left"/>
      <w:lvlText w:val="•"/>
      <w:numFmt w:val="bullet"/>
      <w:start w:val="1"/>
    </w:lvl>
  </w:abstractNum>
  <w:abstractNum w:abstractNumId="42">
    <w:nsid w:val="5FB8370B"/>
    <w:multiLevelType w:val="hybridMultilevel"/>
    <w:lvl w:ilvl="0">
      <w:lvlJc w:val="left"/>
      <w:lvlText w:val="•"/>
      <w:numFmt w:val="bullet"/>
      <w:start w:val="1"/>
    </w:lvl>
  </w:abstractNum>
  <w:abstractNum w:abstractNumId="43">
    <w:nsid w:val="50801EE1"/>
    <w:multiLevelType w:val="hybridMultilevel"/>
    <w:lvl w:ilvl="0">
      <w:lvlJc w:val="left"/>
      <w:lvlText w:val="\endash "/>
      <w:numFmt w:val="bullet"/>
      <w:start w:val="1"/>
    </w:lvl>
  </w:abstractNum>
  <w:abstractNum w:abstractNumId="44">
    <w:nsid w:val="488AC1A"/>
    <w:multiLevelType w:val="hybridMultilevel"/>
    <w:lvl w:ilvl="0">
      <w:lvlJc w:val="left"/>
      <w:lvlText w:val="%1."/>
      <w:numFmt w:val="upperLetter"/>
      <w:start w:val="3"/>
    </w:lvl>
  </w:abstractNum>
  <w:abstractNum w:abstractNumId="45">
    <w:nsid w:val="5FB8011C"/>
    <w:multiLevelType w:val="hybridMultilevel"/>
    <w:lvl w:ilvl="0">
      <w:lvlJc w:val="left"/>
      <w:lvlText w:val="%1."/>
      <w:numFmt w:val="upperLetter"/>
      <w:start w:val="4"/>
    </w:lvl>
  </w:abstractNum>
  <w:abstractNum w:abstractNumId="46">
    <w:nsid w:val="6AA78F7F"/>
    <w:multiLevelType w:val="hybridMultilevel"/>
    <w:lvl w:ilvl="0">
      <w:lvlJc w:val="left"/>
      <w:lvlText w:val="•"/>
      <w:numFmt w:val="bullet"/>
      <w:start w:val="1"/>
    </w:lvl>
  </w:abstractNum>
  <w:abstractNum w:abstractNumId="47">
    <w:nsid w:val="7672BD23"/>
    <w:multiLevelType w:val="hybridMultilevel"/>
    <w:lvl w:ilvl="0">
      <w:lvlJc w:val="left"/>
      <w:lvlText w:val="$"/>
      <w:numFmt w:val="bullet"/>
      <w:start w:val="1"/>
    </w:lvl>
  </w:abstractNum>
  <w:abstractNum w:abstractNumId="48">
    <w:nsid w:val="6FC75AF8"/>
    <w:multiLevelType w:val="hybridMultilevel"/>
    <w:lvl w:ilvl="0">
      <w:lvlJc w:val="left"/>
      <w:lvlText w:val="$"/>
      <w:numFmt w:val="bullet"/>
      <w:start w:val="1"/>
    </w:lvl>
  </w:abstractNum>
  <w:abstractNum w:abstractNumId="49">
    <w:nsid w:val="6A5F7029"/>
    <w:multiLevelType w:val="hybridMultilevel"/>
    <w:lvl w:ilvl="0">
      <w:lvlJc w:val="left"/>
      <w:lvlText w:val="(%1)"/>
      <w:numFmt w:val="decimal"/>
      <w:start w:val="1"/>
    </w:lvl>
  </w:abstractNum>
  <w:abstractNum w:abstractNumId="50">
    <w:nsid w:val="7D5E18F8"/>
    <w:multiLevelType w:val="hybridMultilevel"/>
    <w:lvl w:ilvl="0">
      <w:lvlJc w:val="left"/>
      <w:lvlText w:val="(%1)"/>
      <w:numFmt w:val="decimal"/>
      <w:start w:val="2"/>
    </w:lvl>
  </w:abstractNum>
  <w:abstractNum w:abstractNumId="51">
    <w:nsid w:val="5F3534A4"/>
    <w:multiLevelType w:val="hybridMultilevel"/>
    <w:lvl w:ilvl="0">
      <w:lvlJc w:val="left"/>
      <w:lvlText w:val="(%1)"/>
      <w:numFmt w:val="decimal"/>
      <w:start w:val="1"/>
    </w:lvl>
  </w:abstractNum>
  <w:abstractNum w:abstractNumId="52">
    <w:nsid w:val="73A1821B"/>
    <w:multiLevelType w:val="hybridMultilevel"/>
    <w:lvl w:ilvl="0">
      <w:lvlJc w:val="left"/>
      <w:lvlText w:val="(%1)"/>
      <w:numFmt w:val="decimal"/>
      <w:start w:val="1"/>
    </w:lvl>
  </w:abstractNum>
  <w:abstractNum w:abstractNumId="53">
    <w:nsid w:val="7DE67713"/>
    <w:multiLevelType w:val="hybridMultilevel"/>
    <w:lvl w:ilvl="0">
      <w:lvlJc w:val="left"/>
      <w:lvlText w:val="%1."/>
      <w:numFmt w:val="upperLetter"/>
      <w:start w:val="1"/>
    </w:lvl>
  </w:abstractNum>
  <w:abstractNum w:abstractNumId="54">
    <w:nsid w:val="555C55B5"/>
    <w:multiLevelType w:val="hybridMultilevel"/>
    <w:lvl w:ilvl="0">
      <w:lvlJc w:val="left"/>
      <w:lvlText w:val="(%1)"/>
      <w:numFmt w:val="decimal"/>
      <w:start w:val="1"/>
    </w:lvl>
  </w:abstractNum>
  <w:abstractNum w:abstractNumId="55">
    <w:nsid w:val="3FA62ACA"/>
    <w:multiLevelType w:val="hybridMultilevel"/>
    <w:lvl w:ilvl="0">
      <w:lvlJc w:val="left"/>
      <w:lvlText w:val="%1."/>
      <w:numFmt w:val="upperLetter"/>
      <w:start w:val="2"/>
    </w:lvl>
  </w:abstractNum>
  <w:abstractNum w:abstractNumId="56">
    <w:nsid w:val="14FCE74E"/>
    <w:multiLevelType w:val="hybridMultilevel"/>
    <w:lvl w:ilvl="0">
      <w:lvlJc w:val="left"/>
      <w:lvlText w:val="(%1)"/>
      <w:numFmt w:val="decimal"/>
      <w:start w:val="1"/>
    </w:lvl>
  </w:abstractNum>
  <w:abstractNum w:abstractNumId="57">
    <w:nsid w:val="6A3DD3E8"/>
    <w:multiLevelType w:val="hybridMultilevel"/>
    <w:lvl w:ilvl="0">
      <w:lvlJc w:val="left"/>
      <w:lvlText w:val="•"/>
      <w:numFmt w:val="bullet"/>
      <w:start w:val="1"/>
    </w:lvl>
  </w:abstractNum>
  <w:abstractNum w:abstractNumId="58">
    <w:nsid w:val="71C91298"/>
    <w:multiLevelType w:val="hybridMultilevel"/>
    <w:lvl w:ilvl="0">
      <w:lvlJc w:val="left"/>
      <w:lvlText w:val="•"/>
      <w:numFmt w:val="bullet"/>
      <w:start w:val="1"/>
    </w:lvl>
  </w:abstractNum>
  <w:abstractNum w:abstractNumId="59">
    <w:nsid w:val="9DAF632"/>
    <w:multiLevelType w:val="hybridMultilevel"/>
    <w:lvl w:ilvl="0">
      <w:lvlJc w:val="left"/>
      <w:lvlText w:val="•"/>
      <w:numFmt w:val="bullet"/>
      <w:start w:val="1"/>
    </w:lvl>
  </w:abstractNum>
  <w:abstractNum w:abstractNumId="60">
    <w:nsid w:val="53299938"/>
    <w:multiLevelType w:val="hybridMultilevel"/>
    <w:lvl w:ilvl="0">
      <w:lvlJc w:val="left"/>
      <w:lvlText w:val="%1."/>
      <w:numFmt w:val="upperLetter"/>
      <w:start w:val="3"/>
    </w:lvl>
  </w:abstractNum>
  <w:abstractNum w:abstractNumId="61">
    <w:nsid w:val="1FBFE8E0"/>
    <w:multiLevelType w:val="hybridMultilevel"/>
    <w:lvl w:ilvl="0">
      <w:lvlJc w:val="left"/>
      <w:lvlText w:val="%1."/>
      <w:numFmt w:val="upperLetter"/>
      <w:start w:val="4"/>
    </w:lvl>
  </w:abstractNum>
  <w:abstractNum w:abstractNumId="62">
    <w:nsid w:val="5092CA79"/>
    <w:multiLevelType w:val="hybridMultilevel"/>
    <w:lvl w:ilvl="0">
      <w:lvlJc w:val="left"/>
      <w:lvlText w:val="%1."/>
      <w:numFmt w:val="upperLetter"/>
      <w:start w:val="5"/>
    </w:lvl>
  </w:abstractNum>
  <w:abstractNum w:abstractNumId="63">
    <w:nsid w:val="1D545C4D"/>
    <w:multiLevelType w:val="hybridMultilevel"/>
    <w:lvl w:ilvl="0">
      <w:lvlJc w:val="left"/>
      <w:lvlText w:val="%1."/>
      <w:numFmt w:val="upperLetter"/>
      <w:start w:val="1"/>
    </w:lvl>
    <w:lvl w:ilvl="1">
      <w:lvlJc w:val="left"/>
      <w:lvlText w:val="•"/>
      <w:numFmt w:val="bullet"/>
      <w:start w:val="1"/>
    </w:lvl>
  </w:abstractNum>
  <w:abstractNum w:abstractNumId="64">
    <w:nsid w:val="59ADEA3D"/>
    <w:multiLevelType w:val="hybridMultilevel"/>
    <w:lvl w:ilvl="0">
      <w:lvlJc w:val="left"/>
      <w:lvlText w:val="*"/>
      <w:numFmt w:val="bullet"/>
      <w:start w:val="1"/>
    </w:lvl>
  </w:abstractNum>
  <w:abstractNum w:abstractNumId="65">
    <w:nsid w:val="288F1A34"/>
    <w:multiLevelType w:val="hybridMultilevel"/>
    <w:lvl w:ilvl="0">
      <w:lvlJc w:val="left"/>
      <w:lvlText w:val="(%1)"/>
      <w:numFmt w:val="decimal"/>
      <w:start w:val="1"/>
    </w:lvl>
  </w:abstractNum>
  <w:abstractNum w:abstractNumId="66">
    <w:nsid w:val="2A155DBC"/>
    <w:multiLevelType w:val="hybridMultilevel"/>
    <w:lvl w:ilvl="0">
      <w:lvlJc w:val="left"/>
      <w:lvlText w:val="(%1)"/>
      <w:numFmt w:val="decimal"/>
      <w:start w:val="9"/>
    </w:lvl>
  </w:abstractNum>
  <w:abstractNum w:abstractNumId="67">
    <w:nsid w:val="1D9F6E5F"/>
    <w:multiLevelType w:val="hybridMultilevel"/>
    <w:lvl w:ilvl="0">
      <w:lvlJc w:val="left"/>
      <w:lvlText w:val="(%1)"/>
      <w:numFmt w:val="decimal"/>
      <w:start w:val="10"/>
    </w:lvl>
  </w:abstractNum>
  <w:abstractNum w:abstractNumId="68">
    <w:nsid w:val="97E1B4E"/>
    <w:multiLevelType w:val="hybridMultilevel"/>
    <w:lvl w:ilvl="0">
      <w:lvlJc w:val="left"/>
      <w:lvlText w:val="%1."/>
      <w:numFmt w:val="upperLetter"/>
      <w:start w:val="2"/>
    </w:lvl>
  </w:abstractNum>
  <w:abstractNum w:abstractNumId="69">
    <w:nsid w:val="51088277"/>
    <w:multiLevelType w:val="hybridMultilevel"/>
    <w:lvl w:ilvl="0">
      <w:lvlJc w:val="left"/>
      <w:lvlText w:val="%1."/>
      <w:numFmt w:val="upperLetter"/>
      <w:start w:val="3"/>
    </w:lvl>
  </w:abstractNum>
  <w:abstractNum w:abstractNumId="70">
    <w:nsid w:val="1CA0C5FA"/>
    <w:multiLevelType w:val="hybridMultilevel"/>
    <w:lvl w:ilvl="0">
      <w:lvlJc w:val="left"/>
      <w:lvlText w:val="%1."/>
      <w:numFmt w:val="upperLetter"/>
      <w:start w:val="1"/>
    </w:lvl>
  </w:abstractNum>
  <w:abstractNum w:abstractNumId="71">
    <w:nsid w:val="53584BCB"/>
    <w:multiLevelType w:val="hybridMultilevel"/>
    <w:lvl w:ilvl="0">
      <w:lvlJc w:val="left"/>
      <w:lvlText w:val="%1."/>
      <w:numFmt w:val="upperLetter"/>
      <w:start w:val="2"/>
    </w:lvl>
  </w:abstractNum>
  <w:abstractNum w:abstractNumId="72">
    <w:nsid w:val="415E286C"/>
    <w:multiLevelType w:val="hybridMultilevel"/>
    <w:lvl w:ilvl="0">
      <w:lvlJc w:val="left"/>
      <w:lvlText w:val="%1."/>
      <w:numFmt w:val="upperLetter"/>
      <w:start w:val="1"/>
    </w:lvl>
  </w:abstractNum>
  <w:abstractNum w:abstractNumId="73">
    <w:nsid w:val="7C58FD05"/>
    <w:multiLevelType w:val="hybridMultilevel"/>
    <w:lvl w:ilvl="0">
      <w:lvlJc w:val="left"/>
      <w:lvlText w:val="%1."/>
      <w:numFmt w:val="upperLetter"/>
      <w:start w:val="2"/>
    </w:lvl>
  </w:abstractNum>
  <w:abstractNum w:abstractNumId="74">
    <w:nsid w:val="23D86AAC"/>
    <w:multiLevelType w:val="hybridMultilevel"/>
    <w:lvl w:ilvl="0">
      <w:lvlJc w:val="left"/>
      <w:lvlText w:val="%1."/>
      <w:numFmt w:val="upperLetter"/>
      <w:start w:val="1"/>
    </w:lvl>
  </w:abstractNum>
  <w:abstractNum w:abstractNumId="75">
    <w:nsid w:val="45E6D486"/>
    <w:multiLevelType w:val="hybridMultilevel"/>
    <w:lvl w:ilvl="0">
      <w:lvlJc w:val="left"/>
      <w:lvlText w:val="%1."/>
      <w:numFmt w:val="upperLetter"/>
      <w:start w:val="3"/>
    </w:lvl>
  </w:abstractNum>
  <w:abstractNum w:abstractNumId="76">
    <w:nsid w:val="5C10FE21"/>
    <w:multiLevelType w:val="hybridMultilevel"/>
    <w:lvl w:ilvl="0">
      <w:lvlJc w:val="left"/>
      <w:lvlText w:val="%1."/>
      <w:numFmt w:val="upperLetter"/>
      <w:start w:val="4"/>
    </w:lvl>
  </w:abstractNum>
  <w:abstractNum w:abstractNumId="77">
    <w:nsid w:val="E7FFA2B"/>
    <w:multiLevelType w:val="hybridMultilevel"/>
    <w:lvl w:ilvl="0">
      <w:lvlJc w:val="left"/>
      <w:lvlText w:val="%1."/>
      <w:numFmt w:val="upperLetter"/>
      <w:start w:val="5"/>
    </w:lvl>
  </w:abstractNum>
  <w:abstractNum w:abstractNumId="78">
    <w:nsid w:val="3C5991AA"/>
    <w:multiLevelType w:val="hybridMultilevel"/>
    <w:lvl w:ilvl="0">
      <w:lvlJc w:val="left"/>
      <w:lvlText w:val="•"/>
      <w:numFmt w:val="bullet"/>
      <w:start w:val="1"/>
    </w:lvl>
  </w:abstractNum>
  <w:abstractNum w:abstractNumId="79">
    <w:nsid w:val="4BD8591A"/>
    <w:multiLevelType w:val="hybridMultilevel"/>
    <w:lvl w:ilvl="0">
      <w:lvlJc w:val="left"/>
      <w:lvlText w:val="•"/>
      <w:numFmt w:val="bullet"/>
      <w:start w:val="1"/>
    </w:lvl>
  </w:abstractNum>
  <w:abstractNum w:abstractNumId="80">
    <w:nsid w:val="78DF6A55"/>
    <w:multiLevelType w:val="hybridMultilevel"/>
    <w:lvl w:ilvl="0">
      <w:lvlJc w:val="left"/>
      <w:lvlText w:val="•"/>
      <w:numFmt w:val="bullet"/>
      <w:start w:val="1"/>
    </w:lvl>
  </w:abstractNum>
  <w:abstractNum w:abstractNumId="81">
    <w:nsid w:val="39B7AAA2"/>
    <w:multiLevelType w:val="hybridMultilevel"/>
    <w:lvl w:ilvl="0">
      <w:lvlJc w:val="left"/>
      <w:lvlText w:val="%1."/>
      <w:numFmt w:val="upperLetter"/>
      <w:start w:val="6"/>
    </w:lvl>
  </w:abstractNum>
  <w:abstractNum w:abstractNumId="82">
    <w:nsid w:val="2B0D8DBE"/>
    <w:multiLevelType w:val="hybridMultilevel"/>
    <w:lvl w:ilvl="0">
      <w:lvlJc w:val="left"/>
      <w:lvlText w:val="%1."/>
      <w:numFmt w:val="upperLetter"/>
      <w:start w:val="7"/>
    </w:lvl>
  </w:abstractNum>
  <w:abstractNum w:abstractNumId="83">
    <w:nsid w:val="6C80EC70"/>
    <w:multiLevelType w:val="hybridMultilevel"/>
    <w:lvl w:ilvl="0">
      <w:lvlJc w:val="left"/>
      <w:lvlText w:val="%1."/>
      <w:numFmt w:val="upperLetter"/>
      <w:start w:val="9"/>
    </w:lvl>
  </w:abstractNum>
  <w:abstractNum w:abstractNumId="84">
    <w:nsid w:val="379E21B5"/>
    <w:multiLevelType w:val="hybridMultilevel"/>
    <w:lvl w:ilvl="0">
      <w:lvlJc w:val="left"/>
      <w:lvlText w:val="•"/>
      <w:numFmt w:val="bullet"/>
      <w:start w:val="1"/>
    </w:lvl>
  </w:abstractNum>
  <w:abstractNum w:abstractNumId="85">
    <w:nsid w:val="69E373"/>
    <w:multiLevelType w:val="hybridMultilevel"/>
    <w:lvl w:ilvl="0">
      <w:lvlJc w:val="left"/>
      <w:lvlText w:val="%1."/>
      <w:numFmt w:val="upperLetter"/>
      <w:start w:val="1"/>
    </w:lvl>
  </w:abstractNum>
  <w:abstractNum w:abstractNumId="86">
    <w:nsid w:val="2C27173B"/>
    <w:multiLevelType w:val="hybridMultilevel"/>
    <w:lvl w:ilvl="0">
      <w:lvlJc w:val="left"/>
      <w:lvlText w:val="(%1)"/>
      <w:numFmt w:val="decimal"/>
      <w:start w:val="1"/>
    </w:lvl>
  </w:abstractNum>
  <w:abstractNum w:abstractNumId="87">
    <w:nsid w:val="4C9B0904"/>
    <w:multiLevelType w:val="hybridMultilevel"/>
    <w:lvl w:ilvl="0">
      <w:lvlJc w:val="left"/>
      <w:lvlText w:val="%1."/>
      <w:numFmt w:val="upperLetter"/>
      <w:start w:val="2"/>
    </w:lvl>
  </w:abstractNum>
  <w:abstractNum w:abstractNumId="88">
    <w:nsid w:val="6AA7B75C"/>
    <w:multiLevelType w:val="hybridMultilevel"/>
    <w:lvl w:ilvl="0">
      <w:lvlJc w:val="left"/>
      <w:lvlText w:val="%1."/>
      <w:numFmt w:val="upperLetter"/>
      <w:start w:val="3"/>
    </w:lvl>
  </w:abstractNum>
  <w:abstractNum w:abstractNumId="89">
    <w:nsid w:val="1DF029D3"/>
    <w:multiLevelType w:val="hybridMultilevel"/>
    <w:lvl w:ilvl="0">
      <w:lvlJc w:val="left"/>
      <w:lvlText w:val="•"/>
      <w:numFmt w:val="bullet"/>
      <w:start w:val="1"/>
    </w:lvl>
  </w:abstractNum>
  <w:abstractNum w:abstractNumId="90">
    <w:nsid w:val="5675FF36"/>
    <w:multiLevelType w:val="hybridMultilevel"/>
    <w:lvl w:ilvl="0">
      <w:lvlJc w:val="left"/>
      <w:lvlText w:val="(%1)"/>
      <w:numFmt w:val="decimal"/>
      <w:start w:val="1"/>
    </w:lvl>
  </w:abstractNum>
  <w:abstractNum w:abstractNumId="91">
    <w:nsid w:val="3DD15094"/>
    <w:multiLevelType w:val="hybridMultilevel"/>
    <w:lvl w:ilvl="0">
      <w:lvlJc w:val="left"/>
      <w:lvlText w:val="•"/>
      <w:numFmt w:val="bullet"/>
      <w:start w:val="1"/>
    </w:lvl>
    <w:lvl w:ilvl="1">
      <w:lvlJc w:val="left"/>
      <w:lvlText w:val="•"/>
      <w:numFmt w:val="bullet"/>
      <w:start w:val="1"/>
    </w:lvl>
  </w:abstractNum>
  <w:abstractNum w:abstractNumId="92">
    <w:nsid w:val="3DB012B3"/>
    <w:multiLevelType w:val="hybridMultilevel"/>
    <w:lvl w:ilvl="0">
      <w:lvlJc w:val="left"/>
      <w:lvlText w:val="•"/>
      <w:numFmt w:val="bullet"/>
      <w:start w:val="1"/>
    </w:lvl>
  </w:abstractNum>
  <w:abstractNum w:abstractNumId="93">
    <w:nsid w:val="2708C9AF"/>
    <w:multiLevelType w:val="hybridMultilevel"/>
    <w:lvl w:ilvl="0">
      <w:lvlJc w:val="left"/>
      <w:lvlText w:val="(%1)"/>
      <w:numFmt w:val="lowerLetter"/>
      <w:start w:val="1"/>
    </w:lvl>
  </w:abstractNum>
  <w:abstractNum w:abstractNumId="94">
    <w:nsid w:val="5B25ACE2"/>
    <w:multiLevelType w:val="hybridMultilevel"/>
    <w:lvl w:ilvl="0">
      <w:lvlJc w:val="left"/>
      <w:lvlText w:val="(%1)"/>
      <w:numFmt w:val="lowerLetter"/>
      <w:start w:val="2"/>
    </w:lvl>
  </w:abstractNum>
  <w:abstractNum w:abstractNumId="95">
    <w:nsid w:val="175DFCF0"/>
    <w:multiLevelType w:val="hybridMultilevel"/>
    <w:lvl w:ilvl="0">
      <w:lvlJc w:val="left"/>
      <w:lvlText w:val="(%1)"/>
      <w:numFmt w:val="lowerLetter"/>
      <w:start w:val="3"/>
    </w:lvl>
  </w:abstractNum>
  <w:abstractNum w:abstractNumId="96">
    <w:nsid w:val="4F97E3E4"/>
    <w:multiLevelType w:val="hybridMultilevel"/>
    <w:lvl w:ilvl="0">
      <w:lvlJc w:val="left"/>
      <w:lvlText w:val="(%1)"/>
      <w:numFmt w:val="lowerLetter"/>
      <w:start w:val="4"/>
    </w:lvl>
  </w:abstractNum>
  <w:abstractNum w:abstractNumId="97">
    <w:nsid w:val="53B0A9E"/>
    <w:multiLevelType w:val="hybridMultilevel"/>
    <w:lvl w:ilvl="0">
      <w:lvlJc w:val="left"/>
      <w:lvlText w:val="(%1)"/>
      <w:numFmt w:val="lowerLetter"/>
      <w:start w:val="5"/>
    </w:lvl>
  </w:abstractNum>
  <w:abstractNum w:abstractNumId="98">
    <w:nsid w:val="34FD6B4F"/>
    <w:multiLevelType w:val="hybridMultilevel"/>
    <w:lvl w:ilvl="0">
      <w:lvlJc w:val="left"/>
      <w:lvlText w:val="(%1)"/>
      <w:numFmt w:val="lowerLetter"/>
      <w:start w:val="6"/>
    </w:lvl>
  </w:abstractNum>
  <w:abstractNum w:abstractNumId="99">
    <w:nsid w:val="5915FF32"/>
    <w:multiLevelType w:val="hybridMultilevel"/>
    <w:lvl w:ilvl="0">
      <w:lvlJc w:val="left"/>
      <w:lvlText w:val="(%1)"/>
      <w:numFmt w:val="lowerLetter"/>
      <w:start w:val="7"/>
    </w:lvl>
  </w:abstractNum>
  <w:abstractNum w:abstractNumId="100">
    <w:nsid w:val="56438D15"/>
    <w:multiLevelType w:val="hybridMultilevel"/>
    <w:lvl w:ilvl="0">
      <w:lvlJc w:val="left"/>
      <w:lvlText w:val="(%1)"/>
      <w:numFmt w:val="lowerLetter"/>
      <w:start w:val="8"/>
    </w:lvl>
  </w:abstractNum>
  <w:abstractNum w:abstractNumId="101">
    <w:nsid w:val="519E3149"/>
    <w:multiLevelType w:val="hybridMultilevel"/>
    <w:lvl w:ilvl="0">
      <w:lvlJc w:val="left"/>
      <w:lvlText w:val="(%1)"/>
      <w:numFmt w:val="lowerRoman"/>
      <w:start w:val="1"/>
    </w:lvl>
  </w:abstractNum>
  <w:abstractNum w:abstractNumId="102">
    <w:nsid w:val="2C6E4AFD"/>
    <w:multiLevelType w:val="hybridMultilevel"/>
    <w:lvl w:ilvl="0">
      <w:lvlJc w:val="left"/>
      <w:lvlText w:val="(%1)"/>
      <w:numFmt w:val="lowerLetter"/>
      <w:start w:val="10"/>
    </w:lvl>
  </w:abstractNum>
  <w:abstractNum w:abstractNumId="103">
    <w:nsid w:val="17A1B582"/>
    <w:multiLevelType w:val="hybridMultilevel"/>
    <w:lvl w:ilvl="0">
      <w:lvlJc w:val="left"/>
      <w:lvlText w:val="(%1)"/>
      <w:numFmt w:val="lowerLetter"/>
      <w:start w:val="11"/>
    </w:lvl>
  </w:abstractNum>
  <w:abstractNum w:abstractNumId="104">
    <w:nsid w:val="4DF72E4E"/>
    <w:multiLevelType w:val="hybridMultilevel"/>
    <w:lvl w:ilvl="0">
      <w:lvlJc w:val="left"/>
      <w:lvlText w:val="(%1)"/>
      <w:numFmt w:val="lowerLetter"/>
      <w:start w:val="12"/>
    </w:lvl>
  </w:abstractNum>
  <w:abstractNum w:abstractNumId="105">
    <w:nsid w:val="5046B5A9"/>
    <w:multiLevelType w:val="hybridMultilevel"/>
    <w:lvl w:ilvl="0">
      <w:lvlJc w:val="left"/>
      <w:lvlText w:val="(%1)"/>
      <w:numFmt w:val="lowerLetter"/>
      <w:start w:val="13"/>
    </w:lvl>
  </w:abstractNum>
  <w:abstractNum w:abstractNumId="106">
    <w:nsid w:val="5D888A08"/>
    <w:multiLevelType w:val="hybridMultilevel"/>
    <w:lvl w:ilvl="0">
      <w:lvlJc w:val="left"/>
      <w:lvlText w:val="(%1)"/>
      <w:numFmt w:val="lowerLetter"/>
      <w:start w:val="15"/>
    </w:lvl>
  </w:abstractNum>
  <w:abstractNum w:abstractNumId="107">
    <w:nsid w:val="2A082C70"/>
    <w:multiLevelType w:val="hybridMultilevel"/>
    <w:lvl w:ilvl="0">
      <w:lvlJc w:val="left"/>
      <w:lvlText w:val="(%1)"/>
      <w:numFmt w:val="lowerLetter"/>
      <w:start w:val="16"/>
    </w:lvl>
  </w:abstractNum>
  <w:abstractNum w:abstractNumId="108">
    <w:nsid w:val="5EC6AFD4"/>
    <w:multiLevelType w:val="hybridMultilevel"/>
    <w:lvl w:ilvl="0">
      <w:lvlJc w:val="left"/>
      <w:lvlText w:val="(%1)"/>
      <w:numFmt w:val="lowerLetter"/>
      <w:start w:val="17"/>
    </w:lvl>
  </w:abstractNum>
  <w:abstractNum w:abstractNumId="109">
    <w:nsid w:val="19E21BB2"/>
    <w:multiLevelType w:val="hybridMultilevel"/>
    <w:lvl w:ilvl="0">
      <w:lvlJc w:val="left"/>
      <w:lvlText w:val="(%1)"/>
      <w:numFmt w:val="lowerLetter"/>
      <w:start w:val="18"/>
    </w:lvl>
  </w:abstractNum>
  <w:abstractNum w:abstractNumId="110">
    <w:nsid w:val="75E0858A"/>
    <w:multiLevelType w:val="hybridMultilevel"/>
    <w:lvl w:ilvl="0">
      <w:lvlJc w:val="left"/>
      <w:lvlText w:val="(%1)"/>
      <w:numFmt w:val="lowerLetter"/>
      <w:start w:val="19"/>
    </w:lvl>
  </w:abstractNum>
  <w:abstractNum w:abstractNumId="111">
    <w:nsid w:val="57A61A29"/>
    <w:multiLevelType w:val="hybridMultilevel"/>
    <w:lvl w:ilvl="0">
      <w:lvlJc w:val="left"/>
      <w:lvlText w:val="(%1)"/>
      <w:numFmt w:val="lowerLetter"/>
      <w:start w:val="20"/>
    </w:lvl>
  </w:abstractNum>
  <w:abstractNum w:abstractNumId="112">
    <w:nsid w:val="5399C654"/>
    <w:multiLevelType w:val="hybridMultilevel"/>
    <w:lvl w:ilvl="0">
      <w:lvlJc w:val="left"/>
      <w:lvlText w:val="(%1)"/>
      <w:numFmt w:val="lowerLetter"/>
      <w:start w:val="21"/>
    </w:lvl>
  </w:abstractNum>
  <w:abstractNum w:abstractNumId="113">
    <w:nsid w:val="20EE1348"/>
    <w:multiLevelType w:val="hybridMultilevel"/>
    <w:lvl w:ilvl="0">
      <w:lvlJc w:val="left"/>
      <w:lvlText w:val="•"/>
      <w:numFmt w:val="bullet"/>
      <w:start w:val="1"/>
    </w:lvl>
  </w:abstractNum>
  <w:abstractNum w:abstractNumId="114">
    <w:nsid w:val="4427069A"/>
    <w:multiLevelType w:val="hybridMultilevel"/>
    <w:lvl w:ilvl="0">
      <w:lvlJc w:val="left"/>
      <w:lvlText w:val="(%1)"/>
      <w:numFmt w:val="decimal"/>
      <w:start w:val="1"/>
    </w:lvl>
  </w:abstractNum>
  <w:abstractNum w:abstractNumId="115">
    <w:nsid w:val="B37E80A"/>
    <w:multiLevelType w:val="hybridMultilevel"/>
    <w:lvl w:ilvl="0">
      <w:lvlJc w:val="left"/>
      <w:lvlText w:val="(%1)"/>
      <w:numFmt w:val="lowerRoman"/>
      <w:start w:val="5"/>
    </w:lvl>
  </w:abstractNum>
  <w:abstractNum w:abstractNumId="116">
    <w:nsid w:val="2157F6BC"/>
    <w:multiLevelType w:val="hybridMultilevel"/>
    <w:lvl w:ilvl="0">
      <w:lvlJc w:val="left"/>
      <w:lvlText w:val="(%1)"/>
      <w:numFmt w:val="lowerLetter"/>
      <w:start w:val="23"/>
    </w:lvl>
  </w:abstractNum>
  <w:abstractNum w:abstractNumId="117">
    <w:nsid w:val="704E1DD5"/>
    <w:multiLevelType w:val="hybridMultilevel"/>
    <w:lvl w:ilvl="0">
      <w:lvlJc w:val="left"/>
      <w:lvlText w:val="(%1)"/>
      <w:numFmt w:val="lowerLetter"/>
      <w:start w:val="1"/>
    </w:lvl>
  </w:abstractNum>
  <w:abstractNum w:abstractNumId="118">
    <w:nsid w:val="57D2F10E"/>
    <w:multiLevelType w:val="hybridMultilevel"/>
    <w:lvl w:ilvl="0">
      <w:lvlJc w:val="left"/>
      <w:lvlText w:val="(%1)"/>
      <w:numFmt w:val="decimal"/>
      <w:start w:val="1"/>
    </w:lvl>
  </w:abstractNum>
  <w:abstractNum w:abstractNumId="119">
    <w:nsid w:val="BFFAE18"/>
    <w:multiLevelType w:val="hybridMultilevel"/>
    <w:lvl w:ilvl="0">
      <w:lvlJc w:val="left"/>
      <w:lvlText w:val="(%1)"/>
      <w:numFmt w:val="decimal"/>
      <w:start w:val="1"/>
    </w:lvl>
  </w:abstractNum>
  <w:abstractNum w:abstractNumId="120">
    <w:nsid w:val="E3E47A8"/>
    <w:multiLevelType w:val="hybridMultilevel"/>
    <w:lvl w:ilvl="0">
      <w:lvlJc w:val="left"/>
      <w:lvlText w:val="(%1)"/>
      <w:numFmt w:val="lowerLetter"/>
      <w:start w:val="2"/>
    </w:lvl>
  </w:abstractNum>
  <w:abstractNum w:abstractNumId="121">
    <w:nsid w:val="2E48F044"/>
    <w:multiLevelType w:val="hybridMultilevel"/>
    <w:lvl w:ilvl="0">
      <w:lvlJc w:val="left"/>
      <w:lvlText w:val="(%1)"/>
      <w:numFmt w:val="decimal"/>
      <w:start w:val="1"/>
    </w:lvl>
  </w:abstractNum>
  <w:abstractNum w:abstractNumId="122">
    <w:nsid w:val="49D0FEAC"/>
    <w:multiLevelType w:val="hybridMultilevel"/>
    <w:lvl w:ilvl="0">
      <w:lvlJc w:val="left"/>
      <w:lvlText w:val="(%1)"/>
      <w:numFmt w:val="lowerLetter"/>
      <w:start w:val="1"/>
    </w:lvl>
  </w:abstractNum>
  <w:abstractNum w:abstractNumId="123">
    <w:nsid w:val="4BEE5A5B"/>
    <w:multiLevelType w:val="hybridMultilevel"/>
    <w:lvl w:ilvl="0">
      <w:lvlJc w:val="left"/>
      <w:lvlText w:val="(%1)"/>
      <w:numFmt w:val="lowerLetter"/>
      <w:start w:val="1"/>
    </w:lvl>
  </w:abstractNum>
  <w:abstractNum w:abstractNumId="124">
    <w:nsid w:val="5551B9F3"/>
    <w:multiLevelType w:val="hybridMultilevel"/>
    <w:lvl w:ilvl="0">
      <w:lvlJc w:val="left"/>
      <w:lvlText w:val="(%1)"/>
      <w:numFmt w:val="lowerLetter"/>
      <w:start w:val="2"/>
    </w:lvl>
  </w:abstractNum>
  <w:abstractNum w:abstractNumId="125">
    <w:nsid w:val="24F6AB8E"/>
    <w:multiLevelType w:val="hybridMultilevel"/>
    <w:lvl w:ilvl="0">
      <w:lvlJc w:val="left"/>
      <w:lvlText w:val="(%1)"/>
      <w:numFmt w:val="lowerLetter"/>
      <w:start w:val="1"/>
    </w:lvl>
  </w:abstractNum>
  <w:abstractNum w:abstractNumId="126">
    <w:nsid w:val="634C574C"/>
    <w:multiLevelType w:val="hybridMultilevel"/>
    <w:lvl w:ilvl="0">
      <w:lvlJc w:val="left"/>
      <w:lvlText w:val="(%1)"/>
      <w:numFmt w:val="lowerLetter"/>
      <w:start w:val="2"/>
    </w:lvl>
  </w:abstractNum>
  <w:abstractNum w:abstractNumId="127">
    <w:nsid w:val="24E99DD7"/>
    <w:multiLevelType w:val="hybridMultilevel"/>
    <w:lvl w:ilvl="0">
      <w:lvlJc w:val="left"/>
      <w:lvlText w:val="(%1)"/>
      <w:numFmt w:val="lowerLetter"/>
      <w:start w:val="1"/>
    </w:lvl>
  </w:abstractNum>
  <w:abstractNum w:abstractNumId="128">
    <w:nsid w:val="2A31B62D"/>
    <w:multiLevelType w:val="hybridMultilevel"/>
    <w:lvl w:ilvl="0">
      <w:lvlJc w:val="left"/>
      <w:lvlText w:val="(%1)"/>
      <w:numFmt w:val="lowerLetter"/>
      <w:start w:val="2"/>
    </w:lvl>
  </w:abstractNum>
  <w:abstractNum w:abstractNumId="129">
    <w:nsid w:val="1849C29B"/>
    <w:multiLevelType w:val="hybridMultilevel"/>
    <w:lvl w:ilvl="0">
      <w:lvlJc w:val="left"/>
      <w:lvlText w:val="(%1)"/>
      <w:numFmt w:val="decimal"/>
      <w:start w:val="1"/>
    </w:lvl>
  </w:abstractNum>
  <w:abstractNum w:abstractNumId="130">
    <w:nsid w:val="7DFF9D09"/>
    <w:multiLevelType w:val="hybridMultilevel"/>
    <w:lvl w:ilvl="0">
      <w:lvlJc w:val="left"/>
      <w:lvlText w:val="(%1)"/>
      <w:numFmt w:val="decimal"/>
      <w:start w:val="1"/>
    </w:lvl>
  </w:abstractNum>
  <w:abstractNum w:abstractNumId="131">
    <w:nsid w:val="754342"/>
    <w:multiLevelType w:val="hybridMultilevel"/>
    <w:lvl w:ilvl="0">
      <w:lvlJc w:val="left"/>
      <w:lvlText w:val="(%1)"/>
      <w:numFmt w:val="decimal"/>
      <w:start w:val="11"/>
    </w:lvl>
    <w:lvl w:ilvl="1">
      <w:lvlJc w:val="left"/>
      <w:lvlText w:val="(%2)"/>
      <w:numFmt w:val="lowerLetter"/>
      <w:start w:val="1"/>
    </w:lvl>
  </w:abstractNum>
  <w:abstractNum w:abstractNumId="132">
    <w:nsid w:val="69E7F3E5"/>
    <w:multiLevelType w:val="hybridMultilevel"/>
    <w:lvl w:ilvl="0">
      <w:lvlJc w:val="left"/>
      <w:lvlText w:val="(%1)"/>
      <w:numFmt w:val="lowerLetter"/>
      <w:start w:val="3"/>
    </w:lvl>
  </w:abstractNum>
  <w:abstractNum w:abstractNumId="133">
    <w:nsid w:val="2A6DE806"/>
    <w:multiLevelType w:val="hybridMultilevel"/>
    <w:lvl w:ilvl="0">
      <w:lvlJc w:val="left"/>
      <w:lvlText w:val="(%1)"/>
      <w:numFmt w:val="decimal"/>
      <w:start w:val="1"/>
    </w:lvl>
  </w:abstractNum>
  <w:abstractNum w:abstractNumId="134">
    <w:nsid w:val="1816F8C4"/>
    <w:multiLevelType w:val="hybridMultilevel"/>
    <w:lvl w:ilvl="0">
      <w:lvlJc w:val="left"/>
      <w:lvlText w:val="†"/>
      <w:numFmt w:val="bullet"/>
      <w:start w:val="1"/>
    </w:lvl>
  </w:abstractNum>
  <w:abstractNum w:abstractNumId="135">
    <w:nsid w:val="37DF2233"/>
    <w:multiLevelType w:val="hybridMultilevel"/>
    <w:lvl w:ilvl="0">
      <w:lvlJc w:val="left"/>
      <w:lvlText w:val="*"/>
      <w:numFmt w:val="bullet"/>
      <w:start w:val="1"/>
    </w:lvl>
  </w:abstractNum>
  <w:abstractNum w:abstractNumId="136">
    <w:nsid w:val="7AB49DAF"/>
    <w:multiLevelType w:val="hybridMultilevel"/>
    <w:lvl w:ilvl="0">
      <w:lvlJc w:val="left"/>
      <w:lvlText w:val="(%1)"/>
      <w:numFmt w:val="decimal"/>
      <w:start w:val="1"/>
    </w:lvl>
  </w:abstractNum>
  <w:abstractNum w:abstractNumId="137">
    <w:nsid w:val="759F82CD"/>
    <w:multiLevelType w:val="hybridMultilevel"/>
    <w:lvl w:ilvl="0">
      <w:lvlJc w:val="left"/>
      <w:lvlText w:val="(%1)"/>
      <w:numFmt w:val="decimal"/>
      <w:start w:val="1"/>
    </w:lvl>
  </w:abstractNum>
  <w:abstractNum w:abstractNumId="138">
    <w:nsid w:val="61E74EA3"/>
    <w:multiLevelType w:val="hybridMultilevel"/>
    <w:lvl w:ilvl="0">
      <w:lvlJc w:val="left"/>
      <w:lvlText w:val="%1."/>
      <w:numFmt w:val="decimal"/>
      <w:start w:val="1"/>
    </w:lvl>
  </w:abstractNum>
  <w:abstractNum w:abstractNumId="139">
    <w:nsid w:val="597B4D84"/>
    <w:multiLevelType w:val="hybridMultilevel"/>
    <w:lvl w:ilvl="0">
      <w:lvlJc w:val="left"/>
      <w:lvlText w:val="•"/>
      <w:numFmt w:val="bullet"/>
      <w:start w:val="1"/>
    </w:lvl>
  </w:abstractNum>
  <w:abstractNum w:abstractNumId="140">
    <w:nsid w:val="F819E7F"/>
    <w:multiLevelType w:val="hybridMultilevel"/>
    <w:lvl w:ilvl="0">
      <w:lvlJc w:val="left"/>
      <w:lvlText w:val="(%1)"/>
      <w:numFmt w:val="decimal"/>
      <w:start w:val="1"/>
    </w:lvl>
  </w:abstractNum>
  <w:abstractNum w:abstractNumId="141">
    <w:nsid w:val="57C7D42D"/>
    <w:multiLevelType w:val="hybridMultilevel"/>
    <w:lvl w:ilvl="0">
      <w:lvlJc w:val="left"/>
      <w:lvlText w:val="(%1)"/>
      <w:numFmt w:val="decimal"/>
      <w:start w:val="2"/>
    </w:lvl>
  </w:abstractNum>
  <w:abstractNum w:abstractNumId="142">
    <w:nsid w:val="312167AD"/>
    <w:multiLevelType w:val="hybridMultilevel"/>
    <w:lvl w:ilvl="0">
      <w:lvlJc w:val="left"/>
      <w:lvlText w:val="(%1)"/>
      <w:numFmt w:val="decimal"/>
      <w:start w:val="10"/>
    </w:lvl>
  </w:abstractNum>
  <w:abstractNum w:abstractNumId="143">
    <w:nsid w:val="631B64D4"/>
    <w:multiLevelType w:val="hybridMultilevel"/>
    <w:lvl w:ilvl="0">
      <w:lvlJc w:val="left"/>
      <w:lvlText w:val="(%1)"/>
      <w:numFmt w:val="decimal"/>
      <w:start w:val="1"/>
    </w:lvl>
  </w:abstractNum>
  <w:abstractNum w:abstractNumId="144">
    <w:nsid w:val="78B5E776"/>
    <w:multiLevelType w:val="hybridMultilevel"/>
    <w:lvl w:ilvl="0">
      <w:lvlJc w:val="left"/>
      <w:lvlText w:val="•"/>
      <w:numFmt w:val="bullet"/>
      <w:start w:val="1"/>
    </w:lvl>
  </w:abstractNum>
  <w:abstractNum w:abstractNumId="145">
    <w:nsid w:val="75486E47"/>
    <w:multiLevelType w:val="hybridMultilevel"/>
    <w:lvl w:ilvl="0">
      <w:lvlJc w:val="left"/>
      <w:lvlText w:val="•"/>
      <w:numFmt w:val="bullet"/>
      <w:start w:val="1"/>
    </w:lvl>
  </w:abstractNum>
  <w:abstractNum w:abstractNumId="146">
    <w:nsid w:val="6E534CDE"/>
    <w:multiLevelType w:val="hybridMultilevel"/>
    <w:lvl w:ilvl="0">
      <w:lvlJc w:val="left"/>
      <w:lvlText w:val="•"/>
      <w:numFmt w:val="bullet"/>
      <w:start w:val="1"/>
    </w:lvl>
  </w:abstractNum>
  <w:abstractNum w:abstractNumId="147">
    <w:nsid w:val="1A0DDE32"/>
    <w:multiLevelType w:val="hybridMultilevel"/>
    <w:lvl w:ilvl="0">
      <w:lvlJc w:val="left"/>
      <w:lvlText w:val="•"/>
      <w:numFmt w:val="bullet"/>
      <w:start w:val="1"/>
    </w:lvl>
  </w:abstractNum>
  <w:abstractNum w:abstractNumId="148">
    <w:nsid w:val="65968C1C"/>
    <w:multiLevelType w:val="hybridMultilevel"/>
    <w:lvl w:ilvl="0">
      <w:lvlJc w:val="left"/>
      <w:lvlText w:val="(%1)"/>
      <w:numFmt w:val="decimal"/>
      <w:start w:val="1"/>
    </w:lvl>
  </w:abstractNum>
  <w:abstractNum w:abstractNumId="149">
    <w:nsid w:val="46263DEC"/>
    <w:multiLevelType w:val="hybridMultilevel"/>
    <w:lvl w:ilvl="0">
      <w:lvlJc w:val="left"/>
      <w:lvlText w:val="(%1)"/>
      <w:numFmt w:val="decimal"/>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jpe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jpeg"/><Relationship Id="rId219" Type="http://schemas.openxmlformats.org/officeDocument/2006/relationships/image" Target="media/image212.jpe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2021-04-27T08:04:48Z</dcterms:created>
  <dcterms:modified xsi:type="dcterms:W3CDTF">2021-04-27T08:04:48Z</dcterms:modified>
</cp:coreProperties>
</file>